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png" ContentType="image/png"/>
  <Override PartName="/word/media/image2.png" ContentType="image/png"/>
  <Override PartName="/word/media/image3.jpeg" ContentType="image/jpeg"/>
  <Override PartName="/word/media/image5.png" ContentType="image/png"/>
  <Override PartName="/word/media/image4.png" ContentType="image/png"/>
  <Override PartName="/word/media/image6.png" ContentType="image/png"/>
  <Override PartName="/word/media/image7.png" ContentType="image/png"/>
  <Override PartName="/word/media/image8.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footer4.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before="240" w:after="0"/>
        <w:jc w:val="center"/>
        <w:rPr/>
      </w:pPr>
      <w:r>
        <w:rPr/>
        <w:drawing>
          <wp:inline distT="0" distB="0" distL="0" distR="0">
            <wp:extent cx="914400" cy="929640"/>
            <wp:effectExtent l="0" t="0" r="0" b="0"/>
            <wp:docPr id="1" name="Picture 7" descr="purfo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descr="purforos"/>
                    <pic:cNvPicPr>
                      <a:picLocks noChangeAspect="1" noChangeArrowheads="1"/>
                    </pic:cNvPicPr>
                  </pic:nvPicPr>
                  <pic:blipFill>
                    <a:blip r:embed="rId2"/>
                    <a:stretch>
                      <a:fillRect/>
                    </a:stretch>
                  </pic:blipFill>
                  <pic:spPr bwMode="auto">
                    <a:xfrm>
                      <a:off x="0" y="0"/>
                      <a:ext cx="914400" cy="929640"/>
                    </a:xfrm>
                    <a:prstGeom prst="rect">
                      <a:avLst/>
                    </a:prstGeom>
                  </pic:spPr>
                </pic:pic>
              </a:graphicData>
            </a:graphic>
          </wp:inline>
        </w:drawing>
      </w:r>
    </w:p>
    <w:p>
      <w:pPr>
        <w:pStyle w:val="Normal"/>
        <w:tabs>
          <w:tab w:val="clear" w:pos="720"/>
          <w:tab w:val="center" w:pos="4153" w:leader="none"/>
          <w:tab w:val="right" w:pos="8306" w:leader="none"/>
        </w:tabs>
        <w:spacing w:before="240" w:after="0"/>
        <w:jc w:val="center"/>
        <w:rPr>
          <w:sz w:val="32"/>
        </w:rPr>
      </w:pPr>
      <w:r>
        <w:rPr>
          <w:sz w:val="40"/>
        </w:rPr>
        <w:t>Ε</w:t>
      </w:r>
      <w:r>
        <w:rPr>
          <w:sz w:val="32"/>
        </w:rPr>
        <w:t xml:space="preserve">ΘΝΙΚΟ </w:t>
      </w:r>
      <w:r>
        <w:rPr>
          <w:sz w:val="40"/>
        </w:rPr>
        <w:t>Μ</w:t>
      </w:r>
      <w:r>
        <w:rPr>
          <w:sz w:val="32"/>
        </w:rPr>
        <w:t xml:space="preserve">ΕΤΣΟΒΙΟ </w:t>
      </w:r>
      <w:r>
        <w:rPr>
          <w:sz w:val="40"/>
        </w:rPr>
        <w:t>Π</w:t>
      </w:r>
      <w:r>
        <w:rPr>
          <w:sz w:val="32"/>
        </w:rPr>
        <w:t>ΟΛΥΤΕΧΝΕΙΟ</w:t>
      </w:r>
    </w:p>
    <w:p>
      <w:pPr>
        <w:pStyle w:val="Normal"/>
        <w:spacing w:before="120" w:after="0"/>
        <w:jc w:val="center"/>
        <w:rPr/>
      </w:pPr>
      <w:r>
        <w:rPr>
          <w:sz w:val="28"/>
        </w:rPr>
        <w:t>Σ</w:t>
      </w:r>
      <w:r>
        <w:rPr/>
        <w:t xml:space="preserve">ΧΟΛΗ </w:t>
      </w:r>
      <w:r>
        <w:rPr>
          <w:sz w:val="28"/>
        </w:rPr>
        <w:t>Η</w:t>
      </w:r>
      <w:r>
        <w:rPr/>
        <w:t xml:space="preserve">ΛΕΚΤΡΟΛΟΓΩΝ </w:t>
      </w:r>
      <w:r>
        <w:rPr>
          <w:sz w:val="28"/>
        </w:rPr>
        <w:t>Μ</w:t>
      </w:r>
      <w:r>
        <w:rPr/>
        <w:t xml:space="preserve">ΗΧΑΝΙΚΩΝ </w:t>
      </w:r>
      <w:r>
        <w:rPr>
          <w:sz w:val="28"/>
        </w:rPr>
        <w:t>Κ</w:t>
      </w:r>
      <w:r>
        <w:rPr/>
        <w:t xml:space="preserve">ΑΙ </w:t>
      </w:r>
      <w:r>
        <w:rPr>
          <w:sz w:val="28"/>
        </w:rPr>
        <w:t>Μ</w:t>
      </w:r>
      <w:r>
        <w:rPr/>
        <w:t xml:space="preserve">ΗΧΑΝΙΚΩΝ </w:t>
      </w:r>
      <w:r>
        <w:rPr>
          <w:sz w:val="28"/>
        </w:rPr>
        <w:t>Υ</w:t>
      </w:r>
      <w:r>
        <w:rPr/>
        <w:t>ΠΟΛΟΓΙΣΤΩΝ</w:t>
      </w:r>
    </w:p>
    <w:p>
      <w:pPr>
        <w:pStyle w:val="Normal"/>
        <w:spacing w:before="120" w:after="0"/>
        <w:jc w:val="center"/>
        <w:rPr>
          <w:smallCaps/>
          <w:sz w:val="28"/>
          <w:szCs w:val="28"/>
        </w:rPr>
      </w:pPr>
      <w:r>
        <w:rPr>
          <w:smallCaps/>
          <w:sz w:val="28"/>
          <w:szCs w:val="28"/>
        </w:rPr>
        <w:t>Τομεας ΣΥΣΤΗΜΑΤΩΝ ΜΕΤΑΔΟΣΗΣ ΠΛΗΡΟΦΟΡΙΑΣ</w:t>
      </w:r>
    </w:p>
    <w:p>
      <w:pPr>
        <w:pStyle w:val="Normal"/>
        <w:spacing w:before="120" w:after="0"/>
        <w:jc w:val="center"/>
        <w:rPr>
          <w:smallCaps/>
          <w:szCs w:val="28"/>
        </w:rPr>
      </w:pPr>
      <w:r>
        <w:rPr>
          <w:smallCaps/>
          <w:sz w:val="28"/>
          <w:szCs w:val="28"/>
        </w:rPr>
        <w:t>ΚΑΙ ΤΕΧΝΟΛΟΓΙΑΣ ΥΛΙΚΩΝ</w:t>
      </w:r>
    </w:p>
    <w:p>
      <w:pPr>
        <w:pStyle w:val="Normal"/>
        <w:rPr>
          <w:b/>
        </w:rPr>
      </w:pPr>
      <w:r>
        <w:rPr/>
        <w:tab/>
        <w:tab/>
        <w:tab/>
        <w:tab/>
        <w:tab/>
      </w:r>
    </w:p>
    <w:p>
      <w:pPr>
        <w:pStyle w:val="Normal"/>
        <w:keepNext w:val="true"/>
        <w:numPr>
          <w:ilvl w:val="0"/>
          <w:numId w:val="0"/>
        </w:numPr>
        <w:outlineLvl w:val="0"/>
        <w:rPr>
          <w:b/>
          <w:sz w:val="32"/>
        </w:rPr>
      </w:pPr>
      <w:r>
        <w:rPr>
          <w:b/>
          <w:sz w:val="32"/>
        </w:rPr>
      </w:r>
    </w:p>
    <w:p>
      <w:pPr>
        <w:pStyle w:val="Normal"/>
        <w:rPr/>
      </w:pPr>
      <w:r>
        <w:rPr/>
      </w:r>
    </w:p>
    <w:p>
      <w:pPr>
        <w:pStyle w:val="Normal"/>
        <w:rPr/>
      </w:pPr>
      <w:r>
        <w:rPr/>
      </w:r>
    </w:p>
    <w:p>
      <w:pPr>
        <w:pStyle w:val="Normal"/>
        <w:jc w:val="center"/>
        <w:rPr>
          <w:b/>
          <w:sz w:val="32"/>
        </w:rPr>
      </w:pPr>
      <w:r>
        <w:rPr>
          <w:b/>
          <w:sz w:val="32"/>
        </w:rPr>
        <w:t>Γενετικές ενδείξεις στην παιδική παχυσαρκία-</w:t>
      </w:r>
    </w:p>
    <w:p>
      <w:pPr>
        <w:pStyle w:val="Normal"/>
        <w:jc w:val="center"/>
        <w:rPr>
          <w:b/>
          <w:sz w:val="32"/>
        </w:rPr>
      </w:pPr>
      <w:r>
        <w:rPr>
          <w:b/>
          <w:sz w:val="32"/>
        </w:rPr>
        <w:t>μια συστηματική μελέτη</w:t>
      </w:r>
    </w:p>
    <w:p>
      <w:pPr>
        <w:pStyle w:val="Normal"/>
        <w:rPr/>
      </w:pPr>
      <w:r>
        <w:rPr/>
      </w:r>
    </w:p>
    <w:p>
      <w:pPr>
        <w:pStyle w:val="Normal"/>
        <w:rPr/>
      </w:pPr>
      <w:r>
        <w:rPr/>
      </w:r>
    </w:p>
    <w:p>
      <w:pPr>
        <w:pStyle w:val="Normal"/>
        <w:rPr/>
      </w:pPr>
      <w:r>
        <w:rPr/>
      </w:r>
    </w:p>
    <w:p>
      <w:pPr>
        <w:pStyle w:val="Normal"/>
        <w:rPr/>
      </w:pPr>
      <w:r>
        <w:rPr/>
      </w:r>
    </w:p>
    <w:p>
      <w:pPr>
        <w:pStyle w:val="Normal"/>
        <w:jc w:val="center"/>
        <w:rPr>
          <w:sz w:val="32"/>
        </w:rPr>
      </w:pPr>
      <w:r>
        <w:rPr>
          <w:sz w:val="32"/>
        </w:rPr>
        <w:t>ΔΙΠΛΩΜΑΤΙΚΗ ΕΡΓΑΣΙΑ</w:t>
      </w:r>
    </w:p>
    <w:p>
      <w:pPr>
        <w:pStyle w:val="Normal"/>
        <w:jc w:val="center"/>
        <w:rPr>
          <w:b/>
        </w:rPr>
      </w:pPr>
      <w:r>
        <w:rPr>
          <w:b/>
        </w:rPr>
      </w:r>
    </w:p>
    <w:p>
      <w:pPr>
        <w:pStyle w:val="Normal"/>
        <w:jc w:val="center"/>
        <w:rPr/>
      </w:pPr>
      <w:r>
        <w:rPr/>
        <w:t>του</w:t>
      </w:r>
    </w:p>
    <w:p>
      <w:pPr>
        <w:pStyle w:val="Normal"/>
        <w:jc w:val="center"/>
        <w:rPr>
          <w:b/>
        </w:rPr>
      </w:pPr>
      <w:r>
        <w:rPr>
          <w:b/>
        </w:rPr>
      </w:r>
    </w:p>
    <w:p>
      <w:pPr>
        <w:pStyle w:val="Normal"/>
        <w:jc w:val="center"/>
        <w:rPr>
          <w:b/>
        </w:rPr>
      </w:pPr>
      <w:r>
        <w:rPr>
          <w:b/>
        </w:rPr>
        <w:t>ΘΑΝΑΣΑΡΑ ΜΑΡΙΟΥ</w:t>
      </w:r>
    </w:p>
    <w:p>
      <w:pPr>
        <w:pStyle w:val="Normal"/>
        <w:jc w:val="center"/>
        <w:rPr/>
      </w:pPr>
      <w:r>
        <w:rPr/>
      </w:r>
    </w:p>
    <w:p>
      <w:pPr>
        <w:pStyle w:val="Normal"/>
        <w:jc w:val="center"/>
        <w:rPr/>
      </w:pPr>
      <w:r>
        <w:rPr/>
      </w:r>
    </w:p>
    <w:p>
      <w:pPr>
        <w:pStyle w:val="Normal"/>
        <w:jc w:val="center"/>
        <w:rPr/>
      </w:pPr>
      <w:r>
        <w:rPr/>
      </w:r>
    </w:p>
    <w:p>
      <w:pPr>
        <w:pStyle w:val="Normal"/>
        <w:rPr/>
      </w:pPr>
      <w:r>
        <w:rPr/>
      </w:r>
    </w:p>
    <w:p>
      <w:pPr>
        <w:pStyle w:val="Normal"/>
        <w:jc w:val="center"/>
        <w:rPr/>
      </w:pPr>
      <w:r>
        <w:rPr/>
      </w:r>
    </w:p>
    <w:p>
      <w:pPr>
        <w:pStyle w:val="Normal"/>
        <w:jc w:val="center"/>
        <w:rPr/>
      </w:pPr>
      <w:r>
        <w:rPr/>
      </w:r>
    </w:p>
    <w:p>
      <w:pPr>
        <w:pStyle w:val="Normal"/>
        <w:rPr/>
      </w:pPr>
      <w:r>
        <w:rPr/>
      </w:r>
    </w:p>
    <w:p>
      <w:pPr>
        <w:pStyle w:val="Normal"/>
        <w:jc w:val="center"/>
        <w:rPr/>
      </w:pPr>
      <w:r>
        <w:rPr/>
      </w:r>
    </w:p>
    <w:p>
      <w:pPr>
        <w:pStyle w:val="Normal"/>
        <w:spacing w:before="0" w:after="40"/>
        <w:rPr/>
      </w:pPr>
      <w:r>
        <w:rPr>
          <w:b/>
        </w:rPr>
        <w:t>Επιβλέπων :</w:t>
        <w:tab/>
        <w:tab/>
      </w:r>
      <w:r>
        <w:rPr>
          <w:bCs/>
        </w:rPr>
        <w:t>Γεώργιος Ματσόπουλος</w:t>
      </w:r>
    </w:p>
    <w:p>
      <w:pPr>
        <w:pStyle w:val="Normal"/>
        <w:ind w:firstLine="720" w:left="1440"/>
        <w:rPr/>
      </w:pPr>
      <w:r>
        <w:rPr/>
        <w:t>Καθηγητής Ε.Μ.Π.</w:t>
      </w:r>
    </w:p>
    <w:p>
      <w:pPr>
        <w:pStyle w:val="Normal"/>
        <w:jc w:val="center"/>
        <w:rPr/>
      </w:pPr>
      <w:r>
        <w:rPr/>
      </w:r>
    </w:p>
    <w:p>
      <w:pPr>
        <w:pStyle w:val="Normal"/>
        <w:spacing w:before="0" w:after="40"/>
        <w:rPr/>
      </w:pPr>
      <w:r>
        <w:rPr>
          <w:b/>
        </w:rPr>
        <w:t>Συνεπιβλέπουσα :</w:t>
        <w:tab/>
      </w:r>
      <w:r>
        <w:rPr>
          <w:bCs/>
        </w:rPr>
        <w:t>Ουρανία Πετροπούλου</w:t>
      </w:r>
    </w:p>
    <w:p>
      <w:pPr>
        <w:pStyle w:val="Normal"/>
        <w:ind w:firstLine="720" w:left="1440"/>
        <w:rPr/>
      </w:pPr>
      <w:r>
        <w:rPr/>
        <w:t>ΕΔΙΠ  Ε.Μ.Π.</w:t>
      </w:r>
    </w:p>
    <w:p>
      <w:pPr>
        <w:pStyle w:val="Normal"/>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sectPr>
          <w:headerReference w:type="even" r:id="rId3"/>
          <w:headerReference w:type="default" r:id="rId4"/>
          <w:headerReference w:type="first" r:id="rId5"/>
          <w:footerReference w:type="even" r:id="rId6"/>
          <w:footerReference w:type="default" r:id="rId7"/>
          <w:footerReference w:type="first" r:id="rId8"/>
          <w:type w:val="nextPage"/>
          <w:pgSz w:w="11906" w:h="16838"/>
          <w:pgMar w:left="1588" w:right="1418" w:gutter="0" w:header="720" w:top="1418" w:footer="720" w:bottom="1418"/>
          <w:pgNumType w:fmt="decimal"/>
          <w:formProt w:val="false"/>
          <w:textDirection w:val="lrTb"/>
          <w:docGrid w:type="default" w:linePitch="360" w:charSpace="0"/>
        </w:sectPr>
        <w:pStyle w:val="Normal"/>
        <w:jc w:val="center"/>
        <w:rPr/>
      </w:pPr>
      <w:r>
        <w:rPr/>
        <w:t>Αθήνα, Φεβρουάριος 2024</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sectPr>
          <w:headerReference w:type="even" r:id="rId9"/>
          <w:headerReference w:type="default" r:id="rId10"/>
          <w:headerReference w:type="first" r:id="rId11"/>
          <w:footerReference w:type="even" r:id="rId12"/>
          <w:footerReference w:type="default" r:id="rId13"/>
          <w:footerReference w:type="first" r:id="rId14"/>
          <w:type w:val="nextPage"/>
          <w:pgSz w:w="11906" w:h="16838"/>
          <w:pgMar w:left="1588" w:right="1418" w:gutter="0" w:header="720" w:top="1418" w:footer="720" w:bottom="1418"/>
          <w:pgNumType w:fmt="decimal"/>
          <w:formProt w:val="false"/>
          <w:textDirection w:val="lrTb"/>
          <w:docGrid w:type="default" w:linePitch="360" w:charSpace="0"/>
        </w:sectPr>
        <w:pStyle w:val="Normal"/>
        <w:rPr/>
      </w:pPr>
      <w:r>
        <w:rPr/>
        <w:t>Η σελίδα αυτή είναι σκόπιμα λευκή.</w:t>
      </w:r>
    </w:p>
    <w:p>
      <w:pPr>
        <w:pStyle w:val="Normal"/>
        <w:spacing w:before="120" w:after="0"/>
        <w:rPr/>
      </w:pPr>
      <w:r>
        <w:drawing>
          <wp:anchor behindDoc="0" distT="0" distB="0" distL="114300" distR="114300" simplePos="0" locked="0" layoutInCell="0" allowOverlap="0" relativeHeight="17">
            <wp:simplePos x="0" y="0"/>
            <wp:positionH relativeFrom="column">
              <wp:posOffset>1270</wp:posOffset>
            </wp:positionH>
            <wp:positionV relativeFrom="paragraph">
              <wp:posOffset>74295</wp:posOffset>
            </wp:positionV>
            <wp:extent cx="828040" cy="835025"/>
            <wp:effectExtent l="0" t="0" r="0" b="0"/>
            <wp:wrapSquare wrapText="bothSides"/>
            <wp:docPr id="2" name="Picture 2" descr="purfo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urforos"/>
                    <pic:cNvPicPr>
                      <a:picLocks noChangeAspect="1" noChangeArrowheads="1"/>
                    </pic:cNvPicPr>
                  </pic:nvPicPr>
                  <pic:blipFill>
                    <a:blip r:embed="rId15"/>
                    <a:stretch>
                      <a:fillRect/>
                    </a:stretch>
                  </pic:blipFill>
                  <pic:spPr bwMode="auto">
                    <a:xfrm>
                      <a:off x="0" y="0"/>
                      <a:ext cx="828040" cy="835025"/>
                    </a:xfrm>
                    <a:prstGeom prst="rect">
                      <a:avLst/>
                    </a:prstGeom>
                  </pic:spPr>
                </pic:pic>
              </a:graphicData>
            </a:graphic>
          </wp:anchor>
        </w:drawing>
      </w:r>
      <w:r>
        <w:rPr/>
        <w:t>ΕΘΝΙΚΟ ΜΕΤΣΟΒΙΟ ΠΟΛΥΤΕΧΝΕΙΟ</w:t>
      </w:r>
    </w:p>
    <w:p>
      <w:pPr>
        <w:pStyle w:val="Normal"/>
        <w:spacing w:before="60" w:after="0"/>
        <w:rPr>
          <w:sz w:val="20"/>
        </w:rPr>
      </w:pPr>
      <w:r>
        <w:rPr>
          <w:sz w:val="20"/>
        </w:rPr>
        <w:t>ΣΧΟΛΗ ΗΛΕΚΤΡΟΛΟΓΩΝ ΜΗΧΑΝΙΚΩΝ</w:t>
      </w:r>
    </w:p>
    <w:p>
      <w:pPr>
        <w:pStyle w:val="Normal"/>
        <w:rPr>
          <w:sz w:val="20"/>
        </w:rPr>
      </w:pPr>
      <w:r>
        <w:rPr>
          <w:sz w:val="20"/>
        </w:rPr>
        <w:t>ΚΑΙ ΜΗΧΑΝΙΚΩΝ ΥΠΟΛΟΓΙΣΤΩΝ</w:t>
      </w:r>
    </w:p>
    <w:p>
      <w:pPr>
        <w:pStyle w:val="Normal"/>
        <w:rPr>
          <w:caps/>
          <w:sz w:val="20"/>
        </w:rPr>
      </w:pPr>
      <w:r>
        <w:rPr>
          <w:caps/>
          <w:sz w:val="20"/>
        </w:rPr>
        <w:t xml:space="preserve">Τομέας συστηματων μεταδοσησ πληροφοριασ </w:t>
      </w:r>
    </w:p>
    <w:p>
      <w:pPr>
        <w:pStyle w:val="Normal"/>
        <w:rPr>
          <w:caps/>
          <w:sz w:val="20"/>
        </w:rPr>
      </w:pPr>
      <w:r>
        <w:rPr>
          <w:caps/>
          <w:sz w:val="20"/>
        </w:rPr>
        <w:t>και τεχνολογιασ υλικων</w:t>
      </w:r>
    </w:p>
    <w:p>
      <w:pPr>
        <w:pStyle w:val="Normal"/>
        <w:rPr>
          <w:caps/>
          <w:sz w:val="20"/>
        </w:rPr>
      </w:pPr>
      <w:r>
        <w:rPr>
          <w:caps/>
          <w:sz w:val="20"/>
        </w:rPr>
      </w:r>
    </w:p>
    <w:p>
      <w:pPr>
        <w:pStyle w:val="Normal"/>
        <w:rPr>
          <w:caps/>
          <w:sz w:val="20"/>
        </w:rPr>
      </w:pPr>
      <w:r>
        <w:rPr>
          <w:caps/>
          <w:sz w:val="20"/>
        </w:rPr>
      </w:r>
    </w:p>
    <w:p>
      <w:pPr>
        <w:pStyle w:val="Normal"/>
        <w:rPr>
          <w:caps/>
          <w:sz w:val="20"/>
        </w:rPr>
      </w:pPr>
      <w:r>
        <w:rPr>
          <w:caps/>
          <w:sz w:val="20"/>
        </w:rPr>
      </w:r>
    </w:p>
    <w:p>
      <w:pPr>
        <w:pStyle w:val="Normal"/>
        <w:rPr>
          <w:sz w:val="32"/>
        </w:rPr>
      </w:pPr>
      <w:r>
        <w:rPr>
          <w:sz w:val="32"/>
        </w:rPr>
      </w:r>
    </w:p>
    <w:p>
      <w:pPr>
        <w:pStyle w:val="Normal"/>
        <w:rPr>
          <w:sz w:val="32"/>
        </w:rPr>
      </w:pPr>
      <w:r>
        <w:rPr>
          <w:sz w:val="32"/>
        </w:rPr>
      </w:r>
    </w:p>
    <w:p>
      <w:pPr>
        <w:pStyle w:val="Normal"/>
        <w:jc w:val="center"/>
        <w:rPr>
          <w:b/>
          <w:sz w:val="32"/>
        </w:rPr>
      </w:pPr>
      <w:r>
        <w:rPr>
          <w:b/>
          <w:sz w:val="32"/>
        </w:rPr>
        <w:t>Γενετικές ενδείξεις στην παιδική παχυσαρκία-</w:t>
      </w:r>
    </w:p>
    <w:p>
      <w:pPr>
        <w:pStyle w:val="Normal"/>
        <w:jc w:val="center"/>
        <w:rPr>
          <w:b/>
          <w:sz w:val="32"/>
        </w:rPr>
      </w:pPr>
      <w:r>
        <w:rPr>
          <w:b/>
          <w:sz w:val="32"/>
        </w:rPr>
        <w:t>μια συστηματική μελέτη</w:t>
      </w:r>
    </w:p>
    <w:p>
      <w:pPr>
        <w:pStyle w:val="Normal"/>
        <w:jc w:val="center"/>
        <w:rPr>
          <w:b/>
          <w:sz w:val="36"/>
        </w:rPr>
      </w:pPr>
      <w:r>
        <w:rPr>
          <w:b/>
          <w:sz w:val="36"/>
        </w:rPr>
      </w:r>
    </w:p>
    <w:p>
      <w:pPr>
        <w:pStyle w:val="Normal"/>
        <w:rPr/>
      </w:pPr>
      <w:r>
        <w:rPr/>
      </w:r>
    </w:p>
    <w:p>
      <w:pPr>
        <w:pStyle w:val="Normal"/>
        <w:spacing w:before="0" w:after="120"/>
        <w:rPr/>
      </w:pPr>
      <w:r>
        <w:rPr/>
      </w:r>
    </w:p>
    <w:p>
      <w:pPr>
        <w:pStyle w:val="Normal"/>
        <w:jc w:val="center"/>
        <w:rPr>
          <w:sz w:val="32"/>
        </w:rPr>
      </w:pPr>
      <w:r>
        <w:rPr>
          <w:sz w:val="32"/>
        </w:rPr>
        <w:t>ΔΙΠΛΩΜΑΤΙΚΗ ΕΡΓΑΣΙΑ</w:t>
      </w:r>
    </w:p>
    <w:p>
      <w:pPr>
        <w:pStyle w:val="Normal"/>
        <w:jc w:val="center"/>
        <w:rPr>
          <w:b/>
        </w:rPr>
      </w:pPr>
      <w:r>
        <w:rPr>
          <w:b/>
        </w:rPr>
      </w:r>
    </w:p>
    <w:p>
      <w:pPr>
        <w:pStyle w:val="Normal"/>
        <w:jc w:val="center"/>
        <w:rPr/>
      </w:pPr>
      <w:r>
        <w:rPr/>
        <w:t>του</w:t>
      </w:r>
    </w:p>
    <w:p>
      <w:pPr>
        <w:pStyle w:val="Normal"/>
        <w:jc w:val="center"/>
        <w:rPr>
          <w:b/>
        </w:rPr>
      </w:pPr>
      <w:r>
        <w:rPr>
          <w:b/>
        </w:rPr>
      </w:r>
    </w:p>
    <w:p>
      <w:pPr>
        <w:pStyle w:val="Normal"/>
        <w:jc w:val="center"/>
        <w:rPr>
          <w:b/>
        </w:rPr>
      </w:pPr>
      <w:r>
        <w:rPr>
          <w:b/>
        </w:rPr>
        <w:t>ΘΑΝΑΣΑΡΑ ΜΑΡΙΟΥ</w:t>
      </w:r>
    </w:p>
    <w:p>
      <w:pPr>
        <w:pStyle w:val="Normal"/>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spacing w:before="0" w:after="40"/>
        <w:rPr/>
      </w:pPr>
      <w:r>
        <w:rPr>
          <w:b/>
        </w:rPr>
        <w:t>Επιβλέπων :</w:t>
        <w:tab/>
        <w:tab/>
      </w:r>
      <w:r>
        <w:rPr>
          <w:bCs/>
        </w:rPr>
        <w:t>Γεώργιος Ματσόπουλος</w:t>
      </w:r>
    </w:p>
    <w:p>
      <w:pPr>
        <w:pStyle w:val="Normal"/>
        <w:ind w:firstLine="720" w:left="1440"/>
        <w:rPr/>
      </w:pPr>
      <w:r>
        <w:rPr/>
        <w:t>Καθηγητής Ε.Μ.Π.</w:t>
      </w:r>
    </w:p>
    <w:p>
      <w:pPr>
        <w:pStyle w:val="Normal"/>
        <w:jc w:val="center"/>
        <w:rPr/>
      </w:pPr>
      <w:r>
        <w:rPr/>
      </w:r>
    </w:p>
    <w:p>
      <w:pPr>
        <w:pStyle w:val="Normal"/>
        <w:spacing w:before="0" w:after="40"/>
        <w:rPr/>
      </w:pPr>
      <w:r>
        <w:rPr>
          <w:b/>
        </w:rPr>
        <w:t>Συνεπιβλέπουσα :</w:t>
        <w:tab/>
      </w:r>
      <w:r>
        <w:rPr>
          <w:bCs/>
        </w:rPr>
        <w:t>Ουρανία Πετροπούλου</w:t>
      </w:r>
    </w:p>
    <w:p>
      <w:pPr>
        <w:pStyle w:val="Normal"/>
        <w:ind w:firstLine="720" w:left="1440"/>
        <w:rPr/>
      </w:pPr>
      <w:r>
        <w:rPr/>
        <w:t>ΕΔΙΠ  Ε.Μ.Π.</w:t>
      </w:r>
    </w:p>
    <w:p>
      <w:pPr>
        <w:pStyle w:val="Normal"/>
        <w:rPr/>
      </w:pPr>
      <w:r>
        <w:rPr/>
      </w:r>
    </w:p>
    <w:p>
      <w:pPr>
        <w:pStyle w:val="Normal"/>
        <w:jc w:val="center"/>
        <w:rPr/>
      </w:pPr>
      <w:r>
        <w:rPr/>
      </w:r>
    </w:p>
    <w:p>
      <w:pPr>
        <w:pStyle w:val="Normal"/>
        <w:rPr/>
      </w:pPr>
      <w:r>
        <w:rPr/>
        <w:t xml:space="preserve">Εγκρίθηκε από την τριμελή εξεταστική επιτροπή την </w:t>
      </w:r>
      <w:r>
        <w:rPr>
          <w:lang w:val="en-US"/>
        </w:rPr>
        <w:t xml:space="preserve">19 </w:t>
      </w:r>
      <w:r>
        <w:rPr/>
        <w:t>Φεβρουαρίου  2024.</w:t>
      </w:r>
    </w:p>
    <w:p>
      <w:pPr>
        <w:pStyle w:val="Normal"/>
        <w:jc w:val="center"/>
        <w:rPr/>
      </w:pPr>
      <w:r>
        <w:rPr/>
      </w:r>
    </w:p>
    <w:p>
      <w:pPr>
        <w:pStyle w:val="Normal"/>
        <w:jc w:val="center"/>
        <w:rPr/>
      </w:pPr>
      <w:r>
        <w:rPr/>
      </w:r>
    </w:p>
    <w:p>
      <w:pPr>
        <w:pStyle w:val="Normal"/>
        <w:keepNext w:val="true"/>
        <w:numPr>
          <w:ilvl w:val="0"/>
          <w:numId w:val="0"/>
        </w:numPr>
        <w:outlineLvl w:val="0"/>
        <w:rPr>
          <w:sz w:val="32"/>
        </w:rPr>
      </w:pPr>
      <w:r>
        <w:rPr>
          <w:sz w:val="32"/>
        </w:rPr>
      </w:r>
    </w:p>
    <w:p>
      <w:pPr>
        <w:pStyle w:val="Normal"/>
        <w:ind w:left="540"/>
        <w:rPr/>
      </w:pPr>
      <w:r>
        <w:rPr>
          <w:i/>
        </w:rPr>
        <w:t>(Υπογραφή)</w:t>
        <w:tab/>
        <w:tab/>
        <w:t xml:space="preserve">         (Υπογραφή)</w:t>
        <w:tab/>
        <w:tab/>
        <w:t xml:space="preserve">         (Υπογραφή)</w:t>
      </w:r>
    </w:p>
    <w:p>
      <w:pPr>
        <w:pStyle w:val="Normal"/>
        <w:jc w:val="center"/>
        <w:rPr/>
      </w:pPr>
      <w:r>
        <w:rPr/>
        <w:t>...................................</w:t>
        <w:tab/>
        <w:tab/>
        <w:t>...................................</w:t>
        <w:tab/>
        <w:tab/>
        <w:t>...................................</w:t>
      </w:r>
    </w:p>
    <w:p>
      <w:pPr>
        <w:pStyle w:val="Normal"/>
        <w:ind w:left="540"/>
        <w:rPr>
          <w:sz w:val="20"/>
        </w:rPr>
      </w:pPr>
      <w:r>
        <w:rPr>
          <w:bCs/>
          <w:sz w:val="20"/>
        </w:rPr>
        <w:t xml:space="preserve">Γ. Ματσόπουλος </w:t>
      </w:r>
      <w:r>
        <w:rPr>
          <w:sz w:val="20"/>
        </w:rPr>
        <w:tab/>
        <w:t xml:space="preserve">                          Α. Παναγόπουλος </w:t>
        <w:tab/>
        <w:t xml:space="preserve">                        Π. Τσανάκας </w:t>
      </w:r>
    </w:p>
    <w:p>
      <w:pPr>
        <w:pStyle w:val="Normal"/>
        <w:ind w:left="540"/>
        <w:rPr>
          <w:sz w:val="20"/>
        </w:rPr>
      </w:pPr>
      <w:r>
        <w:rPr>
          <w:sz w:val="20"/>
        </w:rPr>
        <w:t>Καθηγητής Ε.Μ.Π.</w:t>
        <w:tab/>
        <w:tab/>
        <w:t xml:space="preserve">           Καθηγητής Ε.Μ.Π.</w:t>
        <w:tab/>
        <w:tab/>
        <w:t xml:space="preserve">          Καθηγητής Ε.Μ.Π.</w:t>
      </w:r>
    </w:p>
    <w:p>
      <w:pPr>
        <w:pStyle w:val="Normal"/>
        <w:jc w:val="center"/>
        <w:rPr/>
      </w:pPr>
      <w:r>
        <w:rPr/>
      </w:r>
    </w:p>
    <w:p>
      <w:pPr>
        <w:pStyle w:val="Normal"/>
        <w:jc w:val="center"/>
        <w:rPr/>
      </w:pPr>
      <w:r>
        <w:rPr/>
      </w:r>
    </w:p>
    <w:p>
      <w:pPr>
        <w:pStyle w:val="Normal"/>
        <w:jc w:val="center"/>
        <w:rPr/>
      </w:pPr>
      <w:r>
        <w:rPr/>
      </w:r>
    </w:p>
    <w:p>
      <w:pPr>
        <w:pStyle w:val="Normal"/>
        <w:jc w:val="center"/>
        <w:rPr/>
      </w:pPr>
      <w:r>
        <w:rPr/>
        <w:t>Αθήνα, Φεβρουάριος 2024</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i/>
          <w:i/>
        </w:rPr>
      </w:pPr>
      <w:r>
        <w:rPr>
          <w:i/>
        </w:rPr>
      </w:r>
    </w:p>
    <w:p>
      <w:pPr>
        <w:pStyle w:val="Normal"/>
        <w:rPr>
          <w:i/>
          <w:i/>
        </w:rPr>
      </w:pPr>
      <w:r>
        <w:rPr>
          <w:i/>
        </w:rPr>
        <w:t>(Υπογραφή)</w:t>
      </w:r>
    </w:p>
    <w:p>
      <w:pPr>
        <w:pStyle w:val="Normal"/>
        <w:rPr/>
      </w:pPr>
      <w:r>
        <w:rPr/>
        <w:t xml:space="preserve"> </w:t>
      </w:r>
      <w:r>
        <w:rPr/>
        <w:t xml:space="preserve">................................... </w:t>
      </w:r>
    </w:p>
    <w:p>
      <w:pPr>
        <w:pStyle w:val="Normal"/>
        <w:rPr>
          <w:b/>
        </w:rPr>
      </w:pPr>
      <w:r>
        <w:rPr>
          <w:b/>
        </w:rPr>
        <w:t>ΘΑΝΑΣΑΡΑΣ ΜΑΡΙΟΣ</w:t>
      </w:r>
    </w:p>
    <w:p>
      <w:pPr>
        <w:pStyle w:val="Normal"/>
        <w:rPr/>
      </w:pPr>
      <w:r>
        <w:rPr/>
      </w:r>
    </w:p>
    <w:p>
      <w:pPr>
        <w:pStyle w:val="Normal"/>
        <w:rPr/>
      </w:pPr>
      <w:r>
        <w:rPr/>
        <w:t xml:space="preserve">Διπλωματούχος Ηλεκτρολόγος Μηχανικός και Μηχανικός Υπολογιστών Ε.Μ.Π. </w:t>
      </w:r>
    </w:p>
    <w:p>
      <w:pPr>
        <w:pStyle w:val="Normal"/>
        <w:rPr/>
      </w:pPr>
      <w:r>
        <w:rPr/>
      </w:r>
    </w:p>
    <w:p>
      <w:pPr>
        <w:pStyle w:val="Normal"/>
        <w:rPr/>
      </w:pPr>
      <w:r>
        <w:rPr/>
        <w:t xml:space="preserve">Copyright © Θανασάρας Μάριος, 2024. </w:t>
      </w:r>
    </w:p>
    <w:p>
      <w:pPr>
        <w:pStyle w:val="Normal"/>
        <w:rPr/>
      </w:pPr>
      <w:r>
        <w:rPr/>
        <w:t xml:space="preserve">Με επιφύλαξη παντός δικαιώματος. All rights reserved. </w:t>
      </w:r>
    </w:p>
    <w:p>
      <w:pPr>
        <w:pStyle w:val="Normal"/>
        <w:rPr/>
      </w:pPr>
      <w:r>
        <w:rPr/>
      </w:r>
    </w:p>
    <w:p>
      <w:pPr>
        <w:pStyle w:val="Normal"/>
        <w:rPr/>
      </w:pPr>
      <w:r>
        <w:rPr/>
        <w:t xml:space="preserve">Απαγορεύεται η αντιγραφή, αποθήκευση και διανομή της παρούσας εργασίας, εξ ολοκλήρου ή τμήματος αυτής, για εμπορικό σκοπό. Επιτρέπεται η ανατύπωση, αποθήκευση και διανομή για σκοπό μη κερδοσκοπικό, εκπαιδευτικής ή ερευνητικής ϕύσης, υπό την προϋπόθεση να αναφέρεται η πηγή προέλευσης και να διατηρείται το παρόν μήνυμα. Ερωτήματα που αφορούν τη χρήση της εργασίας για κερδοσκοπικό σκοπό πρέπει να απευθύνονται στον συγγραφέα. </w:t>
      </w:r>
    </w:p>
    <w:p>
      <w:pPr>
        <w:pStyle w:val="Normal"/>
        <w:rPr/>
      </w:pPr>
      <w:r>
        <w:rPr/>
      </w:r>
    </w:p>
    <w:p>
      <w:pPr>
        <w:pStyle w:val="Normal"/>
        <w:rPr/>
      </w:pPr>
      <w:r>
        <w:rPr/>
        <w:t>Οι απόψεις και τα συμπεράσματα που περιέχονται σε αυτό το έγγραφο εκφράζουν τον συγγραφέα και δεν πρέπει να ερμηνευθεί ότι αντιπροσωπεύουν τις επίσημες θέσεις του Εθνικού Μετσόβιου Πολυτεχνείου.</w:t>
      </w:r>
    </w:p>
    <w:p>
      <w:pPr>
        <w:pStyle w:val="Normal"/>
        <w:rPr/>
      </w:pPr>
      <w:r>
        <w:rPr/>
      </w:r>
    </w:p>
    <w:p>
      <w:pPr>
        <w:pStyle w:val="Normal"/>
        <w:jc w:val="center"/>
        <w:rPr>
          <w:b/>
          <w:sz w:val="32"/>
        </w:rPr>
      </w:pPr>
      <w:r>
        <w:rPr>
          <w:b/>
          <w:sz w:val="32"/>
        </w:rPr>
        <w:t>Περίληψη</w:t>
      </w:r>
    </w:p>
    <w:p>
      <w:pPr>
        <w:pStyle w:val="Normal"/>
        <w:rPr/>
      </w:pPr>
      <w:r>
        <w:rPr/>
      </w:r>
    </w:p>
    <w:p>
      <w:pPr>
        <w:pStyle w:val="Normal"/>
        <w:jc w:val="both"/>
        <w:rPr/>
      </w:pPr>
      <w:r>
        <w:rPr>
          <w:rFonts w:eastAsia="Calibri"/>
          <w:color w:val="2A3140"/>
        </w:rPr>
        <w:t>Η παιδική παχυσαρκία αποτελεί μια παγκόσμια πρόκληση για την υγεία, με εκτεταμένες συνέπειες για τη σωματική και ψυχική ευεξία. Ενώ περιβαλλοντικοί παράγοντες συμβάλλουν σημαντικά, ένας αυξανόμενος όγκος ερευνών και επιστημονικών δεδομένων υπογραμμίζει τον κεντρικό ρόλο των γενετικών παραγόντων στην ανάπτυξη της παχυσαρκίας στα παιδιά. Η παρούσα εργασία παρέχει μια συνοπτική επισκόπηση των γενετικών βάσεων της παιδικής παχυσαρκίας, επισημαίνοντας κύρια ευρήματα από τρέχουσες έρευνες. Πολλές μελέτες έχουν εντοπίσει συγκεκριμένες γενετικές παραλλαγές που σχετίζονται με τον μεταβολισμό, τον έλεγχο της όρεξης και την αδιποσία, φωτίζοντας τη γενετική αρχιτεκτονική που συμβάλλει στην ευαισθησία. Σημαντικά γονίδια, συμπεριλαμβανομένων εκείνων που σχετίζονται με τον σηματοδοτητή λεπτίνης και την ισορροπία της ενέργειας, έχουν συσχετιστεί με τη δυσλειτουργία του βάρους του σώματος. Σημαντικός είναι επίσης ο ρόλος των γενετικών επιδράσεων-περιβαλλοντικών παραγόντων, υπογραμμίζοντας την ανάγκη για μια βαθύτερη κατανόηση του πώς οι γενετικές προδιαθέσεις αλληλεπιδρούν με περιβαλλοντικούς παράγοντες. Η κοινωνικοοικονομική κατάσταση, η διατροφική συνήθεια και τα επίπεδα σωματικής δραστηριότητας διαδραματίζουν κεντρικό ρόλο στον ρυθμιστικό χαρακτήρα των γονιδίων που σχετίζονται με την παχυσαρκία, διαμορφώνοντας την ατομική ευαισθησία. Παρά την πρόοδο, δυσκολίες παραμένουν στον τομέα της αποκρυπτογράφησης των γενετικών παραγόντων που συμβάλλουν στην παχυσαρκία των παιδιών. Ερευνητικές προσπάθειες, χρησιμοποιώντας μελέτες επιδημιολογίας μεγάλης κλίμακας και εξερευνώντας μηχανισμούς επιγενετικής, συνεχίζουν να εμπλουτίζουν την κατανόησή της πάθησης αυτής, ανοίγοντας το δρόμο για στοχευμένες παρεμβάσεις και εξατομικευμένες προσεγγίσεις για την αντιμετώπιση αυτής της αυξανόμενης κρίσης δημόσιας υγείας. Η παρούσα εργασία συνοψίζει το πολύπλοκο φαινόμενο της παχυσαρκίας στα παιδιά, υπογραμμίζοντας την αναγκαιότητα της ολοκληρωμένης ενσωμάτωσης των γενετικών ερευνών στην πρόληψη και τη θεραπεία.</w:t>
      </w:r>
    </w:p>
    <w:p>
      <w:pPr>
        <w:pStyle w:val="Normal"/>
        <w:rPr/>
      </w:pPr>
      <w:r>
        <w:rPr/>
      </w:r>
    </w:p>
    <w:p>
      <w:pPr>
        <w:pStyle w:val="Normal"/>
        <w:rPr/>
      </w:pPr>
      <w:r>
        <w:rPr/>
      </w:r>
    </w:p>
    <w:p>
      <w:pPr>
        <w:pStyle w:val="Normal"/>
        <w:rPr>
          <w:b/>
        </w:rPr>
      </w:pPr>
      <w:r>
        <w:rPr>
          <w:b/>
        </w:rPr>
        <w:t xml:space="preserve">Λέξεις κλειδιά: </w:t>
      </w:r>
      <w:r>
        <w:rPr/>
        <w:t>παιδική παχυσαρκία, γενετικοί παράγοντες, επιδημιολογία, γενετική ευαισθησία, κληρονομικότητα</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t>Η σελίδα αυτή είναι σκόπιμα λευκή.</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jc w:val="center"/>
        <w:rPr>
          <w:b/>
          <w:sz w:val="32"/>
          <w:lang w:val="en-US"/>
        </w:rPr>
      </w:pPr>
      <w:r>
        <w:rPr>
          <w:b/>
          <w:sz w:val="32"/>
          <w:lang w:val="en-US"/>
        </w:rPr>
        <w:t>Abstract</w:t>
      </w:r>
    </w:p>
    <w:p>
      <w:pPr>
        <w:pStyle w:val="Normal"/>
        <w:rPr>
          <w:lang w:val="en-US"/>
        </w:rPr>
      </w:pPr>
      <w:r>
        <w:rPr>
          <w:lang w:val="en-US"/>
        </w:rPr>
      </w:r>
    </w:p>
    <w:p>
      <w:pPr>
        <w:pStyle w:val="Normal"/>
        <w:jc w:val="both"/>
        <w:rPr>
          <w:lang w:val="en-US"/>
        </w:rPr>
      </w:pPr>
      <w:r>
        <w:rPr>
          <w:color w:val="2A3140"/>
          <w:lang w:val="en-US"/>
        </w:rPr>
        <w:t>Childhood obesity is a global health challenge with far-reaching implications for physical and mental well-being. While environmental factors contribute significantly, a growing body of evidence underscores the pivotal role of genetic factors in the development of obesity in children. This paper provides a concise overview of the genetic underpinnings of child obesity, highlighting key findings from current research. Numerous studies have identified specific genetic variants associated with metabolism, appetite regulation, and adiposity, shedding light on the genetic architecture contributing to susceptibility. Notable genes, including those involved in leptin signaling and energy homeostasis, have been implicated in the dysregulation of body weight. Crucially, gene-environment interactions further complicate the landscape, emphasizing the need for a nuanced understanding of how genetic predispositions interact with environmental factors. Socioeconomic status, dietary patterns, and physical activity levels play pivotal roles in modulating the expression of obesity-related genes, shaping individual susceptibility. Despite progress, challenges persist in deciphering the intricate web of genetic factors contributing to child obesity. Ongoing research utilizing genome-wide association studies and exploring epigenetic mechanisms continues to refine our understanding, paving the way for targeted interventions and personalized approaches to mitigate this burgeoning public health crisis. This paper encapsulates the complexity of child obesity, emphasizing the imperative of integrating genetic insights into holistic prevention and intervention strategies.</w:t>
      </w:r>
    </w:p>
    <w:p>
      <w:pPr>
        <w:pStyle w:val="Normal"/>
        <w:rPr>
          <w:lang w:val="en-US"/>
        </w:rPr>
      </w:pPr>
      <w:r>
        <w:rPr>
          <w:lang w:val="en-US"/>
        </w:rPr>
      </w:r>
    </w:p>
    <w:p>
      <w:pPr>
        <w:pStyle w:val="Normal"/>
        <w:rPr>
          <w:lang w:val="en-US"/>
        </w:rPr>
      </w:pPr>
      <w:r>
        <w:rPr>
          <w:lang w:val="en-US"/>
        </w:rPr>
      </w:r>
    </w:p>
    <w:p>
      <w:pPr>
        <w:pStyle w:val="Normal"/>
        <w:rPr>
          <w:b/>
          <w:lang w:val="en-US"/>
        </w:rPr>
      </w:pPr>
      <w:r>
        <w:rPr>
          <w:b/>
          <w:lang w:val="en-US"/>
        </w:rPr>
        <w:t>Key words:</w:t>
      </w:r>
      <w:r>
        <w:rPr>
          <w:lang w:val="en-US"/>
        </w:rPr>
        <w:t xml:space="preserve"> child obesity, genetic factors, epidemiology, genetic susceptibility, heritability</w:t>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pPr>
      <w:r>
        <w:rPr/>
        <w:t>Η σελίδα αυτή είναι σκόπιμα λευκή.</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b/>
          <w:sz w:val="32"/>
        </w:rPr>
      </w:pPr>
      <w:r>
        <w:rPr>
          <w:b/>
          <w:sz w:val="32"/>
        </w:rPr>
        <w:t xml:space="preserve">Ευχαριστίες </w:t>
      </w:r>
    </w:p>
    <w:p>
      <w:pPr>
        <w:pStyle w:val="Normal"/>
        <w:rPr/>
      </w:pPr>
      <w:r>
        <w:rPr/>
      </w:r>
    </w:p>
    <w:p>
      <w:pPr>
        <w:pStyle w:val="Normal"/>
        <w:ind w:firstLine="720"/>
        <w:jc w:val="both"/>
        <w:rPr>
          <w:rFonts w:eastAsia="Calibri"/>
        </w:rPr>
      </w:pPr>
      <w:r>
        <w:rPr>
          <w:rFonts w:eastAsia="Calibri"/>
        </w:rPr>
        <w:t>Θα ήθελα να ευχαριστήσω τον επιβλέποντα καθηγητή κ. Γεώργιο Ματσόπουλο, και τη Δρ. Ουρανία Πετροπούλου (Ε.ΔΙ.Π. Ε.Μ.Π.), που μου εμπιστεύτηκαν το συγκεκριμένο θέμα και μου έδωσαν την ευκαιρία να ασχοληθώ με το συγκεκριμένο θέμα, που απασχολεί όλο και περισσότερο τα τελευταία χρόνια την επιστημονική κοινότητα. Επίσης ευχαριστώ τους καθηγητές κ. Αθανάσιο Παναγόπουλο και κ. Παναγιώτη Τσανάκα, για τη συμμετοχή τους στην εξεταστική επιτροπή.</w:t>
      </w:r>
    </w:p>
    <w:p>
      <w:pPr>
        <w:pStyle w:val="Normal"/>
        <w:ind w:firstLine="720"/>
        <w:jc w:val="both"/>
        <w:rPr>
          <w:rFonts w:eastAsia="Calibri"/>
        </w:rPr>
      </w:pPr>
      <w:r>
        <w:rPr>
          <w:rFonts w:eastAsia="Calibri"/>
        </w:rPr>
        <w:t>Τέλος, ευχαριστώ την οικογένειά μου, τη σύζυγο και τις κόρες μου για τη στήριξή τους σε όλο αυτό το δύσκολο χρονικό διάστημα της συγγραφής της εν λόγω διπλωματικής, καθώς και σε όλα τα χρόνια των σπουδών μου.</w:t>
      </w:r>
    </w:p>
    <w:p>
      <w:pPr>
        <w:pStyle w:val="Normal"/>
        <w:rPr>
          <w:rFonts w:eastAsia="Calibri"/>
        </w:rPr>
      </w:pPr>
      <w:r>
        <w:rPr>
          <w:rFonts w:eastAsia="Calibri"/>
        </w:rPr>
      </w:r>
    </w:p>
    <w:p>
      <w:pPr>
        <w:pStyle w:val="Normal"/>
        <w:jc w:val="right"/>
        <w:rPr>
          <w:rFonts w:eastAsia="Calibri"/>
        </w:rPr>
      </w:pPr>
      <w:r>
        <w:rPr>
          <w:rFonts w:eastAsia="Calibri"/>
        </w:rPr>
        <w:t>Αθήνα, Φεβρουάριος 2024</w:t>
      </w:r>
    </w:p>
    <w:p>
      <w:pPr>
        <w:pStyle w:val="Normal"/>
        <w:jc w:val="right"/>
        <w:rPr>
          <w:sz w:val="28"/>
          <w:szCs w:val="28"/>
        </w:rPr>
      </w:pPr>
      <w:r>
        <w:rPr>
          <w:rFonts w:eastAsia="Calibri"/>
        </w:rPr>
        <w:t>Θανασάρας Μάριος</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sdt>
      <w:sdtPr>
        <w:docPartObj>
          <w:docPartGallery w:val="Table of Contents"/>
          <w:docPartUnique w:val="true"/>
        </w:docPartObj>
      </w:sdtPr>
      <w:sdtContent>
        <w:p>
          <w:pPr>
            <w:pStyle w:val="TOCHeading"/>
            <w:jc w:val="center"/>
            <w:rPr>
              <w:rFonts w:ascii="Times New Roman" w:hAnsi="Times New Roman"/>
              <w:color w:themeColor="text1" w:val="000000"/>
              <w:lang w:val="el-GR"/>
            </w:rPr>
          </w:pPr>
          <w:bookmarkStart w:id="0" w:name="_Toc66605381"/>
          <w:bookmarkStart w:id="1" w:name="_Toc66615920"/>
          <w:bookmarkStart w:id="2" w:name="_Toc66615250"/>
          <w:r>
            <w:rPr>
              <w:rFonts w:ascii="Times New Roman" w:hAnsi="Times New Roman"/>
              <w:color w:themeColor="text1" w:val="000000"/>
              <w:lang w:val="el-GR"/>
            </w:rPr>
            <w:t>Πίνακας περιεχομένων</w:t>
          </w:r>
        </w:p>
        <w:p>
          <w:pPr>
            <w:pStyle w:val="TOC1"/>
            <w:tabs>
              <w:tab w:val="clear" w:pos="720"/>
              <w:tab w:val="right" w:pos="8303" w:leader="dot"/>
            </w:tabs>
            <w:rPr>
              <w:rFonts w:ascii="Times New Roman" w:hAnsi="Times New Roman" w:eastAsia="" w:cs="Times New Roman" w:eastAsiaTheme="minorEastAsia"/>
              <w:b w:val="false"/>
              <w:bCs w:val="false"/>
              <w:kern w:val="2"/>
              <w:sz w:val="24"/>
              <w:szCs w:val="24"/>
              <w14:ligatures w14:val="standardContextual"/>
            </w:rPr>
          </w:pPr>
          <w:r>
            <w:fldChar w:fldCharType="begin"/>
          </w:r>
          <w:r>
            <w:rPr>
              <w:webHidden/>
              <w:rStyle w:val="Style12"/>
              <w:rFonts w:cs="Times New Roman" w:ascii="Times New Roman" w:hAnsi="Times New Roman"/>
            </w:rPr>
            <w:instrText xml:space="preserve"> TOC \z \o "1-3" \u \h</w:instrText>
          </w:r>
          <w:r>
            <w:rPr>
              <w:webHidden/>
              <w:rStyle w:val="Style12"/>
              <w:rFonts w:cs="Times New Roman" w:ascii="Times New Roman" w:hAnsi="Times New Roman"/>
            </w:rPr>
            <w:fldChar w:fldCharType="separate"/>
          </w:r>
          <w:hyperlink w:anchor="_Toc154923804">
            <w:r>
              <w:rPr>
                <w:webHidden/>
                <w:rStyle w:val="Style12"/>
                <w:rFonts w:cs="Times New Roman" w:ascii="Times New Roman" w:hAnsi="Times New Roman"/>
              </w:rPr>
              <w:t>Ευρετήριο Εικόνων</w:t>
            </w:r>
            <w:r>
              <w:rPr>
                <w:webHidden/>
              </w:rPr>
              <w:fldChar w:fldCharType="begin"/>
            </w:r>
            <w:r>
              <w:rPr>
                <w:webHidden/>
              </w:rPr>
              <w:instrText xml:space="preserve">PAGEREF _Toc154923804 \h</w:instrText>
            </w:r>
            <w:r>
              <w:rPr>
                <w:webHidden/>
              </w:rPr>
              <w:fldChar w:fldCharType="separate"/>
            </w:r>
            <w:r>
              <w:rPr>
                <w:rStyle w:val="Style12"/>
                <w:rFonts w:cs="Times New Roman" w:ascii="Times New Roman" w:hAnsi="Times New Roman"/>
                <w:vanish w:val="false"/>
              </w:rPr>
              <w:tab/>
              <w:t>11</w:t>
            </w:r>
            <w:r>
              <w:rPr>
                <w:webHidden/>
              </w:rPr>
              <w:fldChar w:fldCharType="end"/>
            </w:r>
          </w:hyperlink>
        </w:p>
        <w:p>
          <w:pPr>
            <w:pStyle w:val="TOC1"/>
            <w:tabs>
              <w:tab w:val="clear" w:pos="720"/>
              <w:tab w:val="right" w:pos="8303" w:leader="dot"/>
            </w:tabs>
            <w:rPr>
              <w:rFonts w:ascii="Times New Roman" w:hAnsi="Times New Roman" w:eastAsia="" w:cs="Times New Roman" w:eastAsiaTheme="minorEastAsia"/>
              <w:b w:val="false"/>
              <w:bCs w:val="false"/>
              <w:kern w:val="2"/>
              <w:sz w:val="24"/>
              <w:szCs w:val="24"/>
              <w14:ligatures w14:val="standardContextual"/>
            </w:rPr>
          </w:pPr>
          <w:hyperlink w:anchor="_Toc154923805">
            <w:r>
              <w:rPr>
                <w:webHidden/>
                <w:rStyle w:val="Style12"/>
                <w:rFonts w:cs="Times New Roman" w:ascii="Times New Roman" w:hAnsi="Times New Roman"/>
              </w:rPr>
              <w:t>Ευρετήριο Πινάκων</w:t>
            </w:r>
            <w:r>
              <w:rPr>
                <w:webHidden/>
              </w:rPr>
              <w:fldChar w:fldCharType="begin"/>
            </w:r>
            <w:r>
              <w:rPr>
                <w:webHidden/>
              </w:rPr>
              <w:instrText xml:space="preserve">PAGEREF _Toc154923805 \h</w:instrText>
            </w:r>
            <w:r>
              <w:rPr>
                <w:webHidden/>
              </w:rPr>
              <w:fldChar w:fldCharType="separate"/>
            </w:r>
            <w:r>
              <w:rPr>
                <w:rStyle w:val="Style12"/>
                <w:rFonts w:cs="Times New Roman" w:ascii="Times New Roman" w:hAnsi="Times New Roman"/>
                <w:vanish w:val="false"/>
              </w:rPr>
              <w:tab/>
              <w:t>13</w:t>
            </w:r>
            <w:r>
              <w:rPr>
                <w:webHidden/>
              </w:rPr>
              <w:fldChar w:fldCharType="end"/>
            </w:r>
          </w:hyperlink>
        </w:p>
        <w:p>
          <w:pPr>
            <w:pStyle w:val="TOC1"/>
            <w:tabs>
              <w:tab w:val="clear" w:pos="720"/>
              <w:tab w:val="right" w:pos="8303" w:leader="dot"/>
            </w:tabs>
            <w:rPr>
              <w:rFonts w:ascii="Times New Roman" w:hAnsi="Times New Roman" w:eastAsia="" w:cs="Times New Roman" w:eastAsiaTheme="minorEastAsia"/>
              <w:b w:val="false"/>
              <w:bCs w:val="false"/>
              <w:kern w:val="2"/>
              <w:sz w:val="24"/>
              <w:szCs w:val="24"/>
              <w14:ligatures w14:val="standardContextual"/>
            </w:rPr>
          </w:pPr>
          <w:hyperlink w:anchor="_Toc154923806">
            <w:r>
              <w:rPr>
                <w:webHidden/>
                <w:rStyle w:val="Style12"/>
                <w:rFonts w:cs="Times New Roman" w:ascii="Times New Roman" w:hAnsi="Times New Roman"/>
                <w:lang w:val="en-US"/>
              </w:rPr>
              <w:t>E</w:t>
            </w:r>
            <w:r>
              <w:rPr>
                <w:rStyle w:val="Style12"/>
                <w:rFonts w:cs="Times New Roman" w:ascii="Times New Roman" w:hAnsi="Times New Roman"/>
              </w:rPr>
              <w:t>ισαγωγή</w:t>
            </w:r>
            <w:r>
              <w:rPr>
                <w:webHidden/>
              </w:rPr>
              <w:fldChar w:fldCharType="begin"/>
            </w:r>
            <w:r>
              <w:rPr>
                <w:webHidden/>
              </w:rPr>
              <w:instrText xml:space="preserve">PAGEREF _Toc154923806 \h</w:instrText>
            </w:r>
            <w:r>
              <w:rPr>
                <w:webHidden/>
              </w:rPr>
              <w:fldChar w:fldCharType="separate"/>
            </w:r>
            <w:r>
              <w:rPr>
                <w:rStyle w:val="Style12"/>
                <w:rFonts w:cs="Times New Roman" w:ascii="Times New Roman" w:hAnsi="Times New Roman"/>
                <w:vanish w:val="false"/>
              </w:rPr>
              <w:tab/>
              <w:t>14</w:t>
            </w:r>
            <w:r>
              <w:rPr>
                <w:webHidden/>
              </w:rPr>
              <w:fldChar w:fldCharType="end"/>
            </w:r>
          </w:hyperlink>
        </w:p>
        <w:p>
          <w:pPr>
            <w:pStyle w:val="TOC1"/>
            <w:tabs>
              <w:tab w:val="clear" w:pos="720"/>
              <w:tab w:val="right" w:pos="8303" w:leader="dot"/>
            </w:tabs>
            <w:rPr>
              <w:rFonts w:ascii="Times New Roman" w:hAnsi="Times New Roman" w:eastAsia="" w:cs="Times New Roman" w:eastAsiaTheme="minorEastAsia"/>
              <w:b w:val="false"/>
              <w:bCs w:val="false"/>
              <w:kern w:val="2"/>
              <w:sz w:val="24"/>
              <w:szCs w:val="24"/>
              <w14:ligatures w14:val="standardContextual"/>
            </w:rPr>
          </w:pPr>
          <w:hyperlink w:anchor="_Toc154923807">
            <w:r>
              <w:rPr>
                <w:webHidden/>
                <w:rStyle w:val="Style12"/>
                <w:rFonts w:cs="Times New Roman" w:ascii="Times New Roman" w:hAnsi="Times New Roman"/>
              </w:rPr>
              <w:t>Κεφάλαιο 1: Εισαγωγικά στοιχεία και έννοιες</w:t>
            </w:r>
            <w:r>
              <w:rPr>
                <w:webHidden/>
              </w:rPr>
              <w:fldChar w:fldCharType="begin"/>
            </w:r>
            <w:r>
              <w:rPr>
                <w:webHidden/>
              </w:rPr>
              <w:instrText xml:space="preserve">PAGEREF _Toc154923807 \h</w:instrText>
            </w:r>
            <w:r>
              <w:rPr>
                <w:webHidden/>
              </w:rPr>
              <w:fldChar w:fldCharType="separate"/>
            </w:r>
            <w:r>
              <w:rPr>
                <w:rStyle w:val="Style12"/>
                <w:rFonts w:cs="Times New Roman" w:ascii="Times New Roman" w:hAnsi="Times New Roman"/>
                <w:vanish w:val="false"/>
              </w:rPr>
              <w:tab/>
              <w:t>18</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08">
            <w:r>
              <w:rPr>
                <w:webHidden/>
                <w:rStyle w:val="Style12"/>
                <w:rFonts w:cs="Times New Roman" w:ascii="Times New Roman" w:hAnsi="Times New Roman"/>
              </w:rPr>
              <w:t>1.1 Σύντομη περιγραφή και σφαιρική εικόνα της παιδικής παχυσαρκίας ως μια επιδημία υγεία</w:t>
            </w:r>
            <w:r>
              <w:rPr>
                <w:webHidden/>
              </w:rPr>
              <w:fldChar w:fldCharType="begin"/>
            </w:r>
            <w:r>
              <w:rPr>
                <w:webHidden/>
              </w:rPr>
              <w:instrText xml:space="preserve">PAGEREF _Toc154923808 \h</w:instrText>
            </w:r>
            <w:r>
              <w:rPr>
                <w:webHidden/>
              </w:rPr>
              <w:fldChar w:fldCharType="separate"/>
            </w:r>
            <w:r>
              <w:rPr>
                <w:rStyle w:val="Style12"/>
                <w:rFonts w:cs="Times New Roman" w:ascii="Times New Roman" w:hAnsi="Times New Roman"/>
                <w:vanish w:val="false"/>
              </w:rPr>
              <w:tab/>
              <w:t>18</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09">
            <w:r>
              <w:rPr>
                <w:webHidden/>
                <w:rStyle w:val="Style12"/>
                <w:rFonts w:cs="Times New Roman" w:ascii="Times New Roman" w:hAnsi="Times New Roman"/>
              </w:rPr>
              <w:t>1.2 Η σημασία της κατανόησης της συνεισφοράς των γενετικών παραγόντων</w:t>
            </w:r>
            <w:r>
              <w:rPr>
                <w:webHidden/>
              </w:rPr>
              <w:fldChar w:fldCharType="begin"/>
            </w:r>
            <w:r>
              <w:rPr>
                <w:webHidden/>
              </w:rPr>
              <w:instrText xml:space="preserve">PAGEREF _Toc154923809 \h</w:instrText>
            </w:r>
            <w:r>
              <w:rPr>
                <w:webHidden/>
              </w:rPr>
              <w:fldChar w:fldCharType="separate"/>
            </w:r>
            <w:r>
              <w:rPr>
                <w:rStyle w:val="Style12"/>
                <w:rFonts w:cs="Times New Roman" w:ascii="Times New Roman" w:hAnsi="Times New Roman"/>
                <w:vanish w:val="false"/>
              </w:rPr>
              <w:tab/>
              <w:t>23</w:t>
            </w:r>
            <w:r>
              <w:rPr>
                <w:webHidden/>
              </w:rPr>
              <w:fldChar w:fldCharType="end"/>
            </w:r>
          </w:hyperlink>
        </w:p>
        <w:p>
          <w:pPr>
            <w:pStyle w:val="TOC1"/>
            <w:tabs>
              <w:tab w:val="clear" w:pos="720"/>
              <w:tab w:val="right" w:pos="8303" w:leader="dot"/>
            </w:tabs>
            <w:rPr>
              <w:rFonts w:ascii="Times New Roman" w:hAnsi="Times New Roman" w:eastAsia="" w:cs="Times New Roman" w:eastAsiaTheme="minorEastAsia"/>
              <w:b w:val="false"/>
              <w:bCs w:val="false"/>
              <w:kern w:val="2"/>
              <w:sz w:val="24"/>
              <w:szCs w:val="24"/>
              <w14:ligatures w14:val="standardContextual"/>
            </w:rPr>
          </w:pPr>
          <w:hyperlink w:anchor="_Toc154923810">
            <w:r>
              <w:rPr>
                <w:webHidden/>
                <w:rStyle w:val="Style12"/>
                <w:rFonts w:cs="Times New Roman" w:ascii="Times New Roman" w:hAnsi="Times New Roman"/>
              </w:rPr>
              <w:t>Κεφάλαιο 2: Μεθοδολογία Έρευνας</w:t>
            </w:r>
            <w:r>
              <w:rPr>
                <w:webHidden/>
              </w:rPr>
              <w:fldChar w:fldCharType="begin"/>
            </w:r>
            <w:r>
              <w:rPr>
                <w:webHidden/>
              </w:rPr>
              <w:instrText xml:space="preserve">PAGEREF _Toc154923810 \h</w:instrText>
            </w:r>
            <w:r>
              <w:rPr>
                <w:webHidden/>
              </w:rPr>
              <w:fldChar w:fldCharType="separate"/>
            </w:r>
            <w:r>
              <w:rPr>
                <w:rStyle w:val="Style12"/>
                <w:rFonts w:cs="Times New Roman" w:ascii="Times New Roman" w:hAnsi="Times New Roman"/>
                <w:vanish w:val="false"/>
              </w:rPr>
              <w:tab/>
              <w:t>25</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11">
            <w:r>
              <w:rPr>
                <w:webHidden/>
                <w:rStyle w:val="Style12"/>
                <w:rFonts w:cs="Times New Roman" w:ascii="Times New Roman" w:hAnsi="Times New Roman"/>
              </w:rPr>
              <w:t>2.1 Στόχος της βιβλιογραφικής ανασκόπησης</w:t>
            </w:r>
            <w:r>
              <w:rPr>
                <w:webHidden/>
              </w:rPr>
              <w:fldChar w:fldCharType="begin"/>
            </w:r>
            <w:r>
              <w:rPr>
                <w:webHidden/>
              </w:rPr>
              <w:instrText xml:space="preserve">PAGEREF _Toc154923811 \h</w:instrText>
            </w:r>
            <w:r>
              <w:rPr>
                <w:webHidden/>
              </w:rPr>
              <w:fldChar w:fldCharType="separate"/>
            </w:r>
            <w:r>
              <w:rPr>
                <w:rStyle w:val="Style12"/>
                <w:rFonts w:cs="Times New Roman" w:ascii="Times New Roman" w:hAnsi="Times New Roman"/>
                <w:vanish w:val="false"/>
              </w:rPr>
              <w:tab/>
              <w:t>25</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12">
            <w:r>
              <w:rPr>
                <w:webHidden/>
                <w:rStyle w:val="Style12"/>
                <w:rFonts w:cs="Times New Roman" w:ascii="Times New Roman" w:hAnsi="Times New Roman"/>
              </w:rPr>
              <w:t>2.2 Ερευνητικά ερωτήματα</w:t>
            </w:r>
            <w:r>
              <w:rPr>
                <w:webHidden/>
              </w:rPr>
              <w:fldChar w:fldCharType="begin"/>
            </w:r>
            <w:r>
              <w:rPr>
                <w:webHidden/>
              </w:rPr>
              <w:instrText xml:space="preserve">PAGEREF _Toc154923812 \h</w:instrText>
            </w:r>
            <w:r>
              <w:rPr>
                <w:webHidden/>
              </w:rPr>
              <w:fldChar w:fldCharType="separate"/>
            </w:r>
            <w:r>
              <w:rPr>
                <w:rStyle w:val="Style12"/>
                <w:rFonts w:cs="Times New Roman" w:ascii="Times New Roman" w:hAnsi="Times New Roman"/>
                <w:vanish w:val="false"/>
              </w:rPr>
              <w:tab/>
              <w:t>26</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13">
            <w:r>
              <w:rPr>
                <w:webHidden/>
                <w:rStyle w:val="Style12"/>
                <w:rFonts w:cs="Times New Roman" w:ascii="Times New Roman" w:hAnsi="Times New Roman"/>
              </w:rPr>
              <w:t>2.3 Πηγές δεδομένων</w:t>
            </w:r>
            <w:r>
              <w:rPr>
                <w:webHidden/>
              </w:rPr>
              <w:fldChar w:fldCharType="begin"/>
            </w:r>
            <w:r>
              <w:rPr>
                <w:webHidden/>
              </w:rPr>
              <w:instrText xml:space="preserve">PAGEREF _Toc154923813 \h</w:instrText>
            </w:r>
            <w:r>
              <w:rPr>
                <w:webHidden/>
              </w:rPr>
              <w:fldChar w:fldCharType="separate"/>
            </w:r>
            <w:r>
              <w:rPr>
                <w:rStyle w:val="Style12"/>
                <w:rFonts w:cs="Times New Roman" w:ascii="Times New Roman" w:hAnsi="Times New Roman"/>
                <w:vanish w:val="false"/>
              </w:rPr>
              <w:tab/>
              <w:t>27</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14">
            <w:r>
              <w:rPr>
                <w:webHidden/>
                <w:rStyle w:val="Style12"/>
                <w:rFonts w:cs="Times New Roman" w:ascii="Times New Roman" w:hAnsi="Times New Roman"/>
              </w:rPr>
              <w:t>2.4 Ανασκόπηση βιβλιογραφίας</w:t>
            </w:r>
            <w:r>
              <w:rPr>
                <w:webHidden/>
              </w:rPr>
              <w:fldChar w:fldCharType="begin"/>
            </w:r>
            <w:r>
              <w:rPr>
                <w:webHidden/>
              </w:rPr>
              <w:instrText xml:space="preserve">PAGEREF _Toc154923814 \h</w:instrText>
            </w:r>
            <w:r>
              <w:rPr>
                <w:webHidden/>
              </w:rPr>
              <w:fldChar w:fldCharType="separate"/>
            </w:r>
            <w:r>
              <w:rPr>
                <w:rStyle w:val="Style12"/>
                <w:rFonts w:cs="Times New Roman" w:ascii="Times New Roman" w:hAnsi="Times New Roman"/>
                <w:vanish w:val="false"/>
              </w:rPr>
              <w:tab/>
              <w:t>28</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15">
            <w:r>
              <w:rPr>
                <w:webHidden/>
                <w:rStyle w:val="Style12"/>
                <w:rFonts w:cs="Times New Roman" w:ascii="Times New Roman" w:hAnsi="Times New Roman"/>
              </w:rPr>
              <w:t>2.5 Ανάλυση δεδομένων</w:t>
            </w:r>
            <w:r>
              <w:rPr>
                <w:webHidden/>
              </w:rPr>
              <w:fldChar w:fldCharType="begin"/>
            </w:r>
            <w:r>
              <w:rPr>
                <w:webHidden/>
              </w:rPr>
              <w:instrText xml:space="preserve">PAGEREF _Toc154923815 \h</w:instrText>
            </w:r>
            <w:r>
              <w:rPr>
                <w:webHidden/>
              </w:rPr>
              <w:fldChar w:fldCharType="separate"/>
            </w:r>
            <w:r>
              <w:rPr>
                <w:rStyle w:val="Style12"/>
                <w:rFonts w:cs="Times New Roman" w:ascii="Times New Roman" w:hAnsi="Times New Roman"/>
                <w:vanish w:val="false"/>
              </w:rPr>
              <w:tab/>
              <w:t>30</w:t>
            </w:r>
            <w:r>
              <w:rPr>
                <w:webHidden/>
              </w:rPr>
              <w:fldChar w:fldCharType="end"/>
            </w:r>
          </w:hyperlink>
        </w:p>
        <w:p>
          <w:pPr>
            <w:pStyle w:val="TOC1"/>
            <w:tabs>
              <w:tab w:val="clear" w:pos="720"/>
              <w:tab w:val="right" w:pos="8303" w:leader="dot"/>
            </w:tabs>
            <w:rPr>
              <w:rFonts w:ascii="Times New Roman" w:hAnsi="Times New Roman" w:eastAsia="" w:cs="Times New Roman" w:eastAsiaTheme="minorEastAsia"/>
              <w:b w:val="false"/>
              <w:bCs w:val="false"/>
              <w:kern w:val="2"/>
              <w:sz w:val="24"/>
              <w:szCs w:val="24"/>
              <w14:ligatures w14:val="standardContextual"/>
            </w:rPr>
          </w:pPr>
          <w:hyperlink w:anchor="_Toc154923816">
            <w:r>
              <w:rPr>
                <w:webHidden/>
                <w:rStyle w:val="Style12"/>
                <w:rFonts w:cs="Times New Roman" w:ascii="Times New Roman" w:hAnsi="Times New Roman"/>
              </w:rPr>
              <w:t>Κεφάλαιο 3: Γενετικές εκτιμήσεις που σχετίζ</w:t>
            </w:r>
            <w:r>
              <w:rPr>
                <w:rStyle w:val="Style12"/>
                <w:rFonts w:cs="Times New Roman" w:ascii="Times New Roman" w:hAnsi="Times New Roman"/>
                <w:lang w:val="en-US"/>
              </w:rPr>
              <w:t>o</w:t>
            </w:r>
            <w:r>
              <w:rPr>
                <w:rStyle w:val="Style12"/>
                <w:rFonts w:cs="Times New Roman" w:ascii="Times New Roman" w:hAnsi="Times New Roman"/>
              </w:rPr>
              <w:t>νται με την παιδική παχυσαρκία</w:t>
            </w:r>
            <w:r>
              <w:rPr>
                <w:webHidden/>
              </w:rPr>
              <w:fldChar w:fldCharType="begin"/>
            </w:r>
            <w:r>
              <w:rPr>
                <w:webHidden/>
              </w:rPr>
              <w:instrText xml:space="preserve">PAGEREF _Toc154923816 \h</w:instrText>
            </w:r>
            <w:r>
              <w:rPr>
                <w:webHidden/>
              </w:rPr>
              <w:fldChar w:fldCharType="separate"/>
            </w:r>
            <w:r>
              <w:rPr>
                <w:rStyle w:val="Style12"/>
                <w:rFonts w:cs="Times New Roman" w:ascii="Times New Roman" w:hAnsi="Times New Roman"/>
                <w:vanish w:val="false"/>
              </w:rPr>
              <w:tab/>
              <w:t>33</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17">
            <w:r>
              <w:rPr>
                <w:webHidden/>
                <w:rStyle w:val="Style12"/>
                <w:rFonts w:cs="Times New Roman" w:ascii="Times New Roman" w:hAnsi="Times New Roman"/>
              </w:rPr>
              <w:t>3.1 Γενικά</w:t>
            </w:r>
            <w:r>
              <w:rPr>
                <w:webHidden/>
              </w:rPr>
              <w:fldChar w:fldCharType="begin"/>
            </w:r>
            <w:r>
              <w:rPr>
                <w:webHidden/>
              </w:rPr>
              <w:instrText xml:space="preserve">PAGEREF _Toc154923817 \h</w:instrText>
            </w:r>
            <w:r>
              <w:rPr>
                <w:webHidden/>
              </w:rPr>
              <w:fldChar w:fldCharType="separate"/>
            </w:r>
            <w:r>
              <w:rPr>
                <w:rStyle w:val="Style12"/>
                <w:rFonts w:cs="Times New Roman" w:ascii="Times New Roman" w:hAnsi="Times New Roman"/>
                <w:vanish w:val="false"/>
              </w:rPr>
              <w:tab/>
              <w:t>33</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18">
            <w:r>
              <w:rPr>
                <w:webHidden/>
                <w:rStyle w:val="Style12"/>
                <w:rFonts w:cs="Times New Roman" w:ascii="Times New Roman" w:hAnsi="Times New Roman"/>
              </w:rPr>
              <w:t>3.2 Γενετικά αίτια της παχυσαρκία στην παιδική ηλικία</w:t>
            </w:r>
            <w:r>
              <w:rPr>
                <w:webHidden/>
              </w:rPr>
              <w:fldChar w:fldCharType="begin"/>
            </w:r>
            <w:r>
              <w:rPr>
                <w:webHidden/>
              </w:rPr>
              <w:instrText xml:space="preserve">PAGEREF _Toc154923818 \h</w:instrText>
            </w:r>
            <w:r>
              <w:rPr>
                <w:webHidden/>
              </w:rPr>
              <w:fldChar w:fldCharType="separate"/>
            </w:r>
            <w:r>
              <w:rPr>
                <w:rStyle w:val="Style12"/>
                <w:rFonts w:cs="Times New Roman" w:ascii="Times New Roman" w:hAnsi="Times New Roman"/>
                <w:vanish w:val="false"/>
              </w:rPr>
              <w:tab/>
              <w:t>34</w:t>
            </w:r>
            <w:r>
              <w:rPr>
                <w:webHidden/>
              </w:rPr>
              <w:fldChar w:fldCharType="end"/>
            </w:r>
          </w:hyperlink>
        </w:p>
        <w:p>
          <w:pPr>
            <w:pStyle w:val="TOC3"/>
            <w:tabs>
              <w:tab w:val="clear" w:pos="720"/>
              <w:tab w:val="right" w:pos="8303" w:leader="dot"/>
            </w:tabs>
            <w:rPr>
              <w:rFonts w:ascii="Times New Roman" w:hAnsi="Times New Roman" w:eastAsia="" w:cs="Times New Roman" w:eastAsiaTheme="minorEastAsia"/>
              <w:kern w:val="2"/>
              <w:sz w:val="24"/>
              <w:szCs w:val="24"/>
              <w14:ligatures w14:val="standardContextual"/>
            </w:rPr>
          </w:pPr>
          <w:hyperlink w:anchor="_Toc154923819">
            <w:r>
              <w:rPr>
                <w:webHidden/>
                <w:rStyle w:val="Style12"/>
                <w:rFonts w:cs="Times New Roman" w:ascii="Times New Roman" w:hAnsi="Times New Roman"/>
              </w:rPr>
              <w:t xml:space="preserve">3.2.1 Το σύνδρομο </w:t>
            </w:r>
            <w:r>
              <w:rPr>
                <w:rStyle w:val="Style12"/>
                <w:rFonts w:cs="Times New Roman" w:ascii="Times New Roman" w:hAnsi="Times New Roman"/>
                <w:lang w:val="en-US"/>
              </w:rPr>
              <w:t>Prader</w:t>
            </w:r>
            <w:r>
              <w:rPr>
                <w:rStyle w:val="Style12"/>
                <w:rFonts w:cs="Times New Roman" w:ascii="Times New Roman" w:hAnsi="Times New Roman"/>
              </w:rPr>
              <w:t>-</w:t>
            </w:r>
            <w:r>
              <w:rPr>
                <w:rStyle w:val="Style12"/>
                <w:rFonts w:cs="Times New Roman" w:ascii="Times New Roman" w:hAnsi="Times New Roman"/>
                <w:lang w:val="en-US"/>
              </w:rPr>
              <w:t>Willi</w:t>
            </w:r>
            <w:r>
              <w:rPr>
                <w:webHidden/>
              </w:rPr>
              <w:fldChar w:fldCharType="begin"/>
            </w:r>
            <w:r>
              <w:rPr>
                <w:webHidden/>
              </w:rPr>
              <w:instrText xml:space="preserve">PAGEREF _Toc154923819 \h</w:instrText>
            </w:r>
            <w:r>
              <w:rPr>
                <w:webHidden/>
              </w:rPr>
              <w:fldChar w:fldCharType="separate"/>
            </w:r>
            <w:r>
              <w:rPr>
                <w:rStyle w:val="Style12"/>
                <w:rFonts w:cs="Times New Roman" w:ascii="Times New Roman" w:hAnsi="Times New Roman"/>
                <w:vanish w:val="false"/>
              </w:rPr>
              <w:tab/>
              <w:t>34</w:t>
            </w:r>
            <w:r>
              <w:rPr>
                <w:webHidden/>
              </w:rPr>
              <w:fldChar w:fldCharType="end"/>
            </w:r>
          </w:hyperlink>
        </w:p>
        <w:p>
          <w:pPr>
            <w:pStyle w:val="TOC3"/>
            <w:tabs>
              <w:tab w:val="clear" w:pos="720"/>
              <w:tab w:val="right" w:pos="8303" w:leader="dot"/>
            </w:tabs>
            <w:rPr>
              <w:rFonts w:ascii="Times New Roman" w:hAnsi="Times New Roman" w:eastAsia="" w:cs="Times New Roman" w:eastAsiaTheme="minorEastAsia"/>
              <w:kern w:val="2"/>
              <w:sz w:val="24"/>
              <w:szCs w:val="24"/>
              <w14:ligatures w14:val="standardContextual"/>
            </w:rPr>
          </w:pPr>
          <w:hyperlink w:anchor="_Toc154923820">
            <w:r>
              <w:rPr>
                <w:webHidden/>
                <w:rStyle w:val="Style12"/>
                <w:rFonts w:cs="Times New Roman" w:ascii="Times New Roman" w:hAnsi="Times New Roman"/>
              </w:rPr>
              <w:t xml:space="preserve">3.2.2 Το σύνδρομο </w:t>
            </w:r>
            <w:r>
              <w:rPr>
                <w:rStyle w:val="Style12"/>
                <w:rFonts w:cs="Times New Roman" w:ascii="Times New Roman" w:hAnsi="Times New Roman"/>
                <w:lang w:val="en-US"/>
              </w:rPr>
              <w:t>Bardet</w:t>
            </w:r>
            <w:r>
              <w:rPr>
                <w:rStyle w:val="Style12"/>
                <w:rFonts w:cs="Times New Roman" w:ascii="Times New Roman" w:hAnsi="Times New Roman"/>
              </w:rPr>
              <w:t>-</w:t>
            </w:r>
            <w:r>
              <w:rPr>
                <w:rStyle w:val="Style12"/>
                <w:rFonts w:cs="Times New Roman" w:ascii="Times New Roman" w:hAnsi="Times New Roman"/>
                <w:lang w:val="en-US"/>
              </w:rPr>
              <w:t>Biedl</w:t>
            </w:r>
            <w:r>
              <w:rPr>
                <w:rStyle w:val="Style12"/>
                <w:rFonts w:cs="Times New Roman" w:ascii="Times New Roman" w:hAnsi="Times New Roman"/>
              </w:rPr>
              <w:t xml:space="preserve"> (</w:t>
            </w:r>
            <w:r>
              <w:rPr>
                <w:rStyle w:val="Style12"/>
                <w:rFonts w:cs="Times New Roman" w:ascii="Times New Roman" w:hAnsi="Times New Roman"/>
                <w:lang w:val="en-US"/>
              </w:rPr>
              <w:t>BBS</w:t>
            </w:r>
            <w:r>
              <w:rPr>
                <w:rStyle w:val="Style12"/>
                <w:rFonts w:cs="Times New Roman" w:ascii="Times New Roman" w:hAnsi="Times New Roman"/>
              </w:rPr>
              <w:t>)</w:t>
            </w:r>
            <w:r>
              <w:rPr>
                <w:webHidden/>
              </w:rPr>
              <w:fldChar w:fldCharType="begin"/>
            </w:r>
            <w:r>
              <w:rPr>
                <w:webHidden/>
              </w:rPr>
              <w:instrText xml:space="preserve">PAGEREF _Toc154923820 \h</w:instrText>
            </w:r>
            <w:r>
              <w:rPr>
                <w:webHidden/>
              </w:rPr>
              <w:fldChar w:fldCharType="separate"/>
            </w:r>
            <w:r>
              <w:rPr>
                <w:rStyle w:val="Style12"/>
                <w:rFonts w:cs="Times New Roman" w:ascii="Times New Roman" w:hAnsi="Times New Roman"/>
                <w:vanish w:val="false"/>
              </w:rPr>
              <w:tab/>
              <w:t>36</w:t>
            </w:r>
            <w:r>
              <w:rPr>
                <w:webHidden/>
              </w:rPr>
              <w:fldChar w:fldCharType="end"/>
            </w:r>
          </w:hyperlink>
        </w:p>
        <w:p>
          <w:pPr>
            <w:pStyle w:val="TOC3"/>
            <w:tabs>
              <w:tab w:val="clear" w:pos="720"/>
              <w:tab w:val="right" w:pos="8303" w:leader="dot"/>
            </w:tabs>
            <w:rPr>
              <w:rFonts w:ascii="Times New Roman" w:hAnsi="Times New Roman" w:eastAsia="" w:cs="Times New Roman" w:eastAsiaTheme="minorEastAsia"/>
              <w:kern w:val="2"/>
              <w:sz w:val="24"/>
              <w:szCs w:val="24"/>
              <w14:ligatures w14:val="standardContextual"/>
            </w:rPr>
          </w:pPr>
          <w:hyperlink w:anchor="_Toc154923821">
            <w:r>
              <w:rPr>
                <w:webHidden/>
                <w:rStyle w:val="Style12"/>
                <w:rFonts w:cs="Times New Roman" w:ascii="Times New Roman" w:hAnsi="Times New Roman"/>
              </w:rPr>
              <w:t>3.2.3 Το σύνδρομο C</w:t>
            </w:r>
            <w:r>
              <w:rPr>
                <w:rStyle w:val="Style12"/>
                <w:rFonts w:cs="Times New Roman" w:ascii="Times New Roman" w:hAnsi="Times New Roman"/>
                <w:lang w:val="en-US"/>
              </w:rPr>
              <w:t>ohen</w:t>
            </w:r>
            <w:r>
              <w:rPr>
                <w:webHidden/>
              </w:rPr>
              <w:fldChar w:fldCharType="begin"/>
            </w:r>
            <w:r>
              <w:rPr>
                <w:webHidden/>
              </w:rPr>
              <w:instrText xml:space="preserve">PAGEREF _Toc154923821 \h</w:instrText>
            </w:r>
            <w:r>
              <w:rPr>
                <w:webHidden/>
              </w:rPr>
              <w:fldChar w:fldCharType="separate"/>
            </w:r>
            <w:r>
              <w:rPr>
                <w:rStyle w:val="Style12"/>
                <w:rFonts w:cs="Times New Roman" w:ascii="Times New Roman" w:hAnsi="Times New Roman"/>
                <w:vanish w:val="false"/>
              </w:rPr>
              <w:tab/>
              <w:t>36</w:t>
            </w:r>
            <w:r>
              <w:rPr>
                <w:webHidden/>
              </w:rPr>
              <w:fldChar w:fldCharType="end"/>
            </w:r>
          </w:hyperlink>
        </w:p>
        <w:p>
          <w:pPr>
            <w:pStyle w:val="TOC3"/>
            <w:tabs>
              <w:tab w:val="clear" w:pos="720"/>
              <w:tab w:val="right" w:pos="8303" w:leader="dot"/>
            </w:tabs>
            <w:rPr>
              <w:rFonts w:ascii="Times New Roman" w:hAnsi="Times New Roman" w:eastAsia="" w:cs="Times New Roman" w:eastAsiaTheme="minorEastAsia"/>
              <w:kern w:val="2"/>
              <w:sz w:val="24"/>
              <w:szCs w:val="24"/>
              <w14:ligatures w14:val="standardContextual"/>
            </w:rPr>
          </w:pPr>
          <w:hyperlink w:anchor="_Toc154923822">
            <w:r>
              <w:rPr>
                <w:webHidden/>
                <w:rStyle w:val="Style12"/>
                <w:rFonts w:cs="Times New Roman" w:ascii="Times New Roman" w:hAnsi="Times New Roman"/>
              </w:rPr>
              <w:t xml:space="preserve">3.2.4 Το σύνδρομο </w:t>
            </w:r>
            <w:r>
              <w:rPr>
                <w:rStyle w:val="Style12"/>
                <w:rFonts w:cs="Times New Roman" w:ascii="Times New Roman" w:hAnsi="Times New Roman"/>
                <w:lang w:val="en-US"/>
              </w:rPr>
              <w:t>Beckwith</w:t>
            </w:r>
            <w:r>
              <w:rPr>
                <w:rStyle w:val="Style12"/>
                <w:rFonts w:cs="Times New Roman" w:ascii="Times New Roman" w:hAnsi="Times New Roman"/>
              </w:rPr>
              <w:t>-</w:t>
            </w:r>
            <w:r>
              <w:rPr>
                <w:rStyle w:val="Style12"/>
                <w:rFonts w:cs="Times New Roman" w:ascii="Times New Roman" w:hAnsi="Times New Roman"/>
                <w:lang w:val="en-US"/>
              </w:rPr>
              <w:t>Wiedemann</w:t>
            </w:r>
            <w:r>
              <w:rPr>
                <w:webHidden/>
              </w:rPr>
              <w:fldChar w:fldCharType="begin"/>
            </w:r>
            <w:r>
              <w:rPr>
                <w:webHidden/>
              </w:rPr>
              <w:instrText xml:space="preserve">PAGEREF _Toc154923822 \h</w:instrText>
            </w:r>
            <w:r>
              <w:rPr>
                <w:webHidden/>
              </w:rPr>
              <w:fldChar w:fldCharType="separate"/>
            </w:r>
            <w:r>
              <w:rPr>
                <w:rStyle w:val="Style12"/>
                <w:rFonts w:cs="Times New Roman" w:ascii="Times New Roman" w:hAnsi="Times New Roman"/>
                <w:vanish w:val="false"/>
              </w:rPr>
              <w:tab/>
              <w:t>36</w:t>
            </w:r>
            <w:r>
              <w:rPr>
                <w:webHidden/>
              </w:rPr>
              <w:fldChar w:fldCharType="end"/>
            </w:r>
          </w:hyperlink>
        </w:p>
        <w:p>
          <w:pPr>
            <w:pStyle w:val="TOC3"/>
            <w:tabs>
              <w:tab w:val="clear" w:pos="720"/>
              <w:tab w:val="right" w:pos="8303" w:leader="dot"/>
            </w:tabs>
            <w:rPr>
              <w:rFonts w:ascii="Times New Roman" w:hAnsi="Times New Roman" w:eastAsia="" w:cs="Times New Roman" w:eastAsiaTheme="minorEastAsia"/>
              <w:kern w:val="2"/>
              <w:sz w:val="24"/>
              <w:szCs w:val="24"/>
              <w14:ligatures w14:val="standardContextual"/>
            </w:rPr>
          </w:pPr>
          <w:hyperlink w:anchor="_Toc154923823">
            <w:r>
              <w:rPr>
                <w:webHidden/>
                <w:rStyle w:val="Style12"/>
                <w:rFonts w:cs="Times New Roman" w:ascii="Times New Roman" w:hAnsi="Times New Roman"/>
              </w:rPr>
              <w:t xml:space="preserve">3.2.5 Κληρονομική οστεοδυστροφία </w:t>
            </w:r>
            <w:r>
              <w:rPr>
                <w:rStyle w:val="Style12"/>
                <w:rFonts w:cs="Times New Roman" w:ascii="Times New Roman" w:hAnsi="Times New Roman"/>
                <w:lang w:val="en-US"/>
              </w:rPr>
              <w:t>Albright</w:t>
            </w:r>
            <w:r>
              <w:rPr>
                <w:webHidden/>
              </w:rPr>
              <w:fldChar w:fldCharType="begin"/>
            </w:r>
            <w:r>
              <w:rPr>
                <w:webHidden/>
              </w:rPr>
              <w:instrText xml:space="preserve">PAGEREF _Toc154923823 \h</w:instrText>
            </w:r>
            <w:r>
              <w:rPr>
                <w:webHidden/>
              </w:rPr>
              <w:fldChar w:fldCharType="separate"/>
            </w:r>
            <w:r>
              <w:rPr>
                <w:rStyle w:val="Style12"/>
                <w:rFonts w:cs="Times New Roman" w:ascii="Times New Roman" w:hAnsi="Times New Roman"/>
                <w:vanish w:val="false"/>
              </w:rPr>
              <w:tab/>
              <w:t>37</w:t>
            </w:r>
            <w:r>
              <w:rPr>
                <w:webHidden/>
              </w:rPr>
              <w:fldChar w:fldCharType="end"/>
            </w:r>
          </w:hyperlink>
        </w:p>
        <w:p>
          <w:pPr>
            <w:pStyle w:val="TOC3"/>
            <w:tabs>
              <w:tab w:val="clear" w:pos="720"/>
              <w:tab w:val="right" w:pos="8303" w:leader="dot"/>
            </w:tabs>
            <w:rPr>
              <w:rFonts w:ascii="Times New Roman" w:hAnsi="Times New Roman" w:eastAsia="" w:cs="Times New Roman" w:eastAsiaTheme="minorEastAsia"/>
              <w:kern w:val="2"/>
              <w:sz w:val="24"/>
              <w:szCs w:val="24"/>
              <w14:ligatures w14:val="standardContextual"/>
            </w:rPr>
          </w:pPr>
          <w:hyperlink w:anchor="_Toc154923824">
            <w:r>
              <w:rPr>
                <w:webHidden/>
                <w:rStyle w:val="Style12"/>
                <w:rFonts w:cs="Times New Roman" w:ascii="Times New Roman" w:hAnsi="Times New Roman"/>
              </w:rPr>
              <w:t xml:space="preserve">3.2.6 Το σύνδρομο </w:t>
            </w:r>
            <w:r>
              <w:rPr>
                <w:rStyle w:val="Style12"/>
                <w:rFonts w:cs="Times New Roman" w:ascii="Times New Roman" w:hAnsi="Times New Roman"/>
                <w:lang w:val="en-US"/>
              </w:rPr>
              <w:t>Alstrom</w:t>
            </w:r>
            <w:r>
              <w:rPr>
                <w:webHidden/>
              </w:rPr>
              <w:fldChar w:fldCharType="begin"/>
            </w:r>
            <w:r>
              <w:rPr>
                <w:webHidden/>
              </w:rPr>
              <w:instrText xml:space="preserve">PAGEREF _Toc154923824 \h</w:instrText>
            </w:r>
            <w:r>
              <w:rPr>
                <w:webHidden/>
              </w:rPr>
              <w:fldChar w:fldCharType="separate"/>
            </w:r>
            <w:r>
              <w:rPr>
                <w:rStyle w:val="Style12"/>
                <w:rFonts w:cs="Times New Roman" w:ascii="Times New Roman" w:hAnsi="Times New Roman"/>
                <w:vanish w:val="false"/>
              </w:rPr>
              <w:tab/>
              <w:t>37</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25">
            <w:r>
              <w:rPr>
                <w:webHidden/>
                <w:rStyle w:val="Style12"/>
                <w:rFonts w:cs="Times New Roman" w:ascii="Times New Roman" w:hAnsi="Times New Roman"/>
                <w:lang w:val="en-US"/>
              </w:rPr>
              <w:t xml:space="preserve">3.3 </w:t>
            </w:r>
            <w:r>
              <w:rPr>
                <w:rStyle w:val="Style12"/>
                <w:rFonts w:cs="Times New Roman" w:ascii="Times New Roman" w:hAnsi="Times New Roman"/>
              </w:rPr>
              <w:t>Μονογενείς</w:t>
            </w:r>
            <w:r>
              <w:rPr>
                <w:rStyle w:val="Style12"/>
                <w:rFonts w:cs="Times New Roman" w:ascii="Times New Roman" w:hAnsi="Times New Roman"/>
                <w:lang w:val="en-US"/>
              </w:rPr>
              <w:t xml:space="preserve"> </w:t>
            </w:r>
            <w:r>
              <w:rPr>
                <w:rStyle w:val="Style12"/>
                <w:rFonts w:cs="Times New Roman" w:ascii="Times New Roman" w:hAnsi="Times New Roman"/>
              </w:rPr>
              <w:t>γενετικές</w:t>
            </w:r>
            <w:r>
              <w:rPr>
                <w:rStyle w:val="Style12"/>
                <w:rFonts w:cs="Times New Roman" w:ascii="Times New Roman" w:hAnsi="Times New Roman"/>
                <w:lang w:val="en-US"/>
              </w:rPr>
              <w:t xml:space="preserve"> </w:t>
            </w:r>
            <w:r>
              <w:rPr>
                <w:rStyle w:val="Style12"/>
                <w:rFonts w:cs="Times New Roman" w:ascii="Times New Roman" w:hAnsi="Times New Roman"/>
              </w:rPr>
              <w:t>μεταβλητές</w:t>
            </w:r>
            <w:r>
              <w:rPr>
                <w:rStyle w:val="Style12"/>
                <w:rFonts w:cs="Times New Roman" w:ascii="Times New Roman" w:hAnsi="Times New Roman"/>
                <w:lang w:val="en-US"/>
              </w:rPr>
              <w:t xml:space="preserve"> </w:t>
            </w:r>
            <w:r>
              <w:rPr>
                <w:rStyle w:val="Style12"/>
                <w:rFonts w:cs="Times New Roman" w:ascii="Times New Roman" w:hAnsi="Times New Roman"/>
              </w:rPr>
              <w:t>της</w:t>
            </w:r>
            <w:r>
              <w:rPr>
                <w:rStyle w:val="Style12"/>
                <w:rFonts w:cs="Times New Roman" w:ascii="Times New Roman" w:hAnsi="Times New Roman"/>
                <w:lang w:val="en-US"/>
              </w:rPr>
              <w:t xml:space="preserve"> </w:t>
            </w:r>
            <w:r>
              <w:rPr>
                <w:rStyle w:val="Style12"/>
                <w:rFonts w:cs="Times New Roman" w:ascii="Times New Roman" w:hAnsi="Times New Roman"/>
              </w:rPr>
              <w:t>παχυσαρκίας</w:t>
            </w:r>
            <w:r>
              <w:rPr>
                <w:webHidden/>
              </w:rPr>
              <w:fldChar w:fldCharType="begin"/>
            </w:r>
            <w:r>
              <w:rPr>
                <w:webHidden/>
              </w:rPr>
              <w:instrText xml:space="preserve">PAGEREF _Toc154923825 \h</w:instrText>
            </w:r>
            <w:r>
              <w:rPr>
                <w:webHidden/>
              </w:rPr>
              <w:fldChar w:fldCharType="separate"/>
            </w:r>
            <w:r>
              <w:rPr>
                <w:rStyle w:val="Style12"/>
                <w:rFonts w:cs="Times New Roman" w:ascii="Times New Roman" w:hAnsi="Times New Roman"/>
                <w:vanish w:val="false"/>
              </w:rPr>
              <w:tab/>
              <w:t>38</w:t>
            </w:r>
            <w:r>
              <w:rPr>
                <w:webHidden/>
              </w:rPr>
              <w:fldChar w:fldCharType="end"/>
            </w:r>
          </w:hyperlink>
        </w:p>
        <w:p>
          <w:pPr>
            <w:pStyle w:val="TOC3"/>
            <w:tabs>
              <w:tab w:val="clear" w:pos="720"/>
              <w:tab w:val="right" w:pos="8303" w:leader="dot"/>
            </w:tabs>
            <w:rPr>
              <w:rFonts w:ascii="Times New Roman" w:hAnsi="Times New Roman" w:eastAsia="" w:cs="Times New Roman" w:eastAsiaTheme="minorEastAsia"/>
              <w:kern w:val="2"/>
              <w:sz w:val="24"/>
              <w:szCs w:val="24"/>
              <w14:ligatures w14:val="standardContextual"/>
            </w:rPr>
          </w:pPr>
          <w:hyperlink w:anchor="_Toc154923826">
            <w:r>
              <w:rPr>
                <w:webHidden/>
                <w:rStyle w:val="Style12"/>
                <w:rFonts w:cs="Times New Roman" w:ascii="Times New Roman" w:hAnsi="Times New Roman"/>
              </w:rPr>
              <w:t xml:space="preserve">3.3.1 </w:t>
            </w:r>
            <w:r>
              <w:rPr>
                <w:rStyle w:val="Style12"/>
                <w:rFonts w:eastAsia="Calibri" w:cs="Times New Roman" w:ascii="Times New Roman" w:hAnsi="Times New Roman"/>
              </w:rPr>
              <w:t>Ανεπάρκεια προοπιομελανοκορτίνης (</w:t>
            </w:r>
            <w:r>
              <w:rPr>
                <w:rStyle w:val="Style12"/>
                <w:rFonts w:eastAsia="Calibri" w:cs="Times New Roman" w:ascii="Times New Roman" w:hAnsi="Times New Roman"/>
                <w:lang w:val="en-US"/>
              </w:rPr>
              <w:t>Proopiomelanocortin</w:t>
            </w:r>
            <w:r>
              <w:rPr>
                <w:rStyle w:val="Style12"/>
                <w:rFonts w:eastAsia="Calibri" w:cs="Times New Roman" w:ascii="Times New Roman" w:hAnsi="Times New Roman"/>
              </w:rPr>
              <w:t>-POMC).</w:t>
            </w:r>
            <w:r>
              <w:rPr>
                <w:webHidden/>
              </w:rPr>
              <w:fldChar w:fldCharType="begin"/>
            </w:r>
            <w:r>
              <w:rPr>
                <w:webHidden/>
              </w:rPr>
              <w:instrText xml:space="preserve">PAGEREF _Toc154923826 \h</w:instrText>
            </w:r>
            <w:r>
              <w:rPr>
                <w:webHidden/>
              </w:rPr>
              <w:fldChar w:fldCharType="separate"/>
            </w:r>
            <w:r>
              <w:rPr>
                <w:rStyle w:val="Style12"/>
                <w:rFonts w:cs="Times New Roman" w:ascii="Times New Roman" w:hAnsi="Times New Roman"/>
                <w:vanish w:val="false"/>
              </w:rPr>
              <w:tab/>
              <w:t>38</w:t>
            </w:r>
            <w:r>
              <w:rPr>
                <w:webHidden/>
              </w:rPr>
              <w:fldChar w:fldCharType="end"/>
            </w:r>
          </w:hyperlink>
        </w:p>
        <w:p>
          <w:pPr>
            <w:pStyle w:val="TOC3"/>
            <w:tabs>
              <w:tab w:val="clear" w:pos="720"/>
              <w:tab w:val="right" w:pos="8303" w:leader="dot"/>
            </w:tabs>
            <w:rPr>
              <w:rFonts w:ascii="Times New Roman" w:hAnsi="Times New Roman" w:eastAsia="" w:cs="Times New Roman" w:eastAsiaTheme="minorEastAsia"/>
              <w:kern w:val="2"/>
              <w:sz w:val="24"/>
              <w:szCs w:val="24"/>
              <w14:ligatures w14:val="standardContextual"/>
            </w:rPr>
          </w:pPr>
          <w:hyperlink w:anchor="_Toc154923827">
            <w:r>
              <w:rPr>
                <w:webHidden/>
                <w:rStyle w:val="Style12"/>
                <w:rFonts w:cs="Times New Roman" w:ascii="Times New Roman" w:hAnsi="Times New Roman"/>
              </w:rPr>
              <w:t xml:space="preserve">3.3.2 </w:t>
            </w:r>
            <w:r>
              <w:rPr>
                <w:rStyle w:val="Style12"/>
                <w:rFonts w:eastAsia="Calibri" w:cs="Times New Roman" w:ascii="Times New Roman" w:hAnsi="Times New Roman"/>
              </w:rPr>
              <w:t>Ανεπάρκεια υποδοχέα μελανοκορτίνης 4 (M</w:t>
            </w:r>
            <w:r>
              <w:rPr>
                <w:rStyle w:val="Style12"/>
                <w:rFonts w:eastAsia="Calibri" w:cs="Times New Roman" w:ascii="Times New Roman" w:hAnsi="Times New Roman"/>
                <w:lang w:val="en-US"/>
              </w:rPr>
              <w:t>C</w:t>
            </w:r>
            <w:r>
              <w:rPr>
                <w:rStyle w:val="Style12"/>
                <w:rFonts w:eastAsia="Calibri" w:cs="Times New Roman" w:ascii="Times New Roman" w:hAnsi="Times New Roman"/>
              </w:rPr>
              <w:t>4</w:t>
            </w:r>
            <w:r>
              <w:rPr>
                <w:rStyle w:val="Style12"/>
                <w:rFonts w:eastAsia="Calibri" w:cs="Times New Roman" w:ascii="Times New Roman" w:hAnsi="Times New Roman"/>
                <w:lang w:val="en-US"/>
              </w:rPr>
              <w:t>R</w:t>
            </w:r>
            <w:r>
              <w:rPr>
                <w:rStyle w:val="Style12"/>
                <w:rFonts w:eastAsia="Calibri" w:cs="Times New Roman" w:ascii="Times New Roman" w:hAnsi="Times New Roman"/>
              </w:rPr>
              <w:t>)</w:t>
            </w:r>
            <w:r>
              <w:rPr>
                <w:webHidden/>
              </w:rPr>
              <w:fldChar w:fldCharType="begin"/>
            </w:r>
            <w:r>
              <w:rPr>
                <w:webHidden/>
              </w:rPr>
              <w:instrText xml:space="preserve">PAGEREF _Toc154923827 \h</w:instrText>
            </w:r>
            <w:r>
              <w:rPr>
                <w:webHidden/>
              </w:rPr>
              <w:fldChar w:fldCharType="separate"/>
            </w:r>
            <w:r>
              <w:rPr>
                <w:rStyle w:val="Style12"/>
                <w:rFonts w:cs="Times New Roman" w:ascii="Times New Roman" w:hAnsi="Times New Roman"/>
                <w:vanish w:val="false"/>
              </w:rPr>
              <w:tab/>
              <w:t>39</w:t>
            </w:r>
            <w:r>
              <w:rPr>
                <w:webHidden/>
              </w:rPr>
              <w:fldChar w:fldCharType="end"/>
            </w:r>
          </w:hyperlink>
        </w:p>
        <w:p>
          <w:pPr>
            <w:pStyle w:val="TOC3"/>
            <w:tabs>
              <w:tab w:val="clear" w:pos="720"/>
              <w:tab w:val="right" w:pos="8303" w:leader="dot"/>
            </w:tabs>
            <w:rPr>
              <w:rFonts w:ascii="Times New Roman" w:hAnsi="Times New Roman" w:eastAsia="" w:cs="Times New Roman" w:eastAsiaTheme="minorEastAsia"/>
              <w:kern w:val="2"/>
              <w:sz w:val="24"/>
              <w:szCs w:val="24"/>
              <w14:ligatures w14:val="standardContextual"/>
            </w:rPr>
          </w:pPr>
          <w:hyperlink w:anchor="_Toc154923828">
            <w:r>
              <w:rPr>
                <w:webHidden/>
                <w:rStyle w:val="Style12"/>
                <w:rFonts w:cs="Times New Roman" w:ascii="Times New Roman" w:hAnsi="Times New Roman"/>
              </w:rPr>
              <w:t xml:space="preserve">3.3.3 </w:t>
            </w:r>
            <w:r>
              <w:rPr>
                <w:rStyle w:val="Style12"/>
                <w:rFonts w:eastAsia="Calibri" w:cs="Times New Roman" w:ascii="Times New Roman" w:hAnsi="Times New Roman"/>
              </w:rPr>
              <w:t>Συγγενής ανεπάρκεια λεπτίνης</w:t>
            </w:r>
            <w:r>
              <w:rPr>
                <w:webHidden/>
              </w:rPr>
              <w:fldChar w:fldCharType="begin"/>
            </w:r>
            <w:r>
              <w:rPr>
                <w:webHidden/>
              </w:rPr>
              <w:instrText xml:space="preserve">PAGEREF _Toc154923828 \h</w:instrText>
            </w:r>
            <w:r>
              <w:rPr>
                <w:webHidden/>
              </w:rPr>
              <w:fldChar w:fldCharType="separate"/>
            </w:r>
            <w:r>
              <w:rPr>
                <w:rStyle w:val="Style12"/>
                <w:rFonts w:cs="Times New Roman" w:ascii="Times New Roman" w:hAnsi="Times New Roman"/>
                <w:vanish w:val="false"/>
              </w:rPr>
              <w:tab/>
              <w:t>39</w:t>
            </w:r>
            <w:r>
              <w:rPr>
                <w:webHidden/>
              </w:rPr>
              <w:fldChar w:fldCharType="end"/>
            </w:r>
          </w:hyperlink>
        </w:p>
        <w:p>
          <w:pPr>
            <w:pStyle w:val="TOC3"/>
            <w:tabs>
              <w:tab w:val="clear" w:pos="720"/>
              <w:tab w:val="right" w:pos="8303" w:leader="dot"/>
            </w:tabs>
            <w:rPr>
              <w:rFonts w:ascii="Times New Roman" w:hAnsi="Times New Roman" w:eastAsia="" w:cs="Times New Roman" w:eastAsiaTheme="minorEastAsia"/>
              <w:kern w:val="2"/>
              <w:sz w:val="24"/>
              <w:szCs w:val="24"/>
              <w14:ligatures w14:val="standardContextual"/>
            </w:rPr>
          </w:pPr>
          <w:hyperlink w:anchor="_Toc154923829">
            <w:r>
              <w:rPr>
                <w:webHidden/>
                <w:rStyle w:val="Style12"/>
                <w:rFonts w:cs="Times New Roman" w:ascii="Times New Roman" w:hAnsi="Times New Roman"/>
              </w:rPr>
              <w:t xml:space="preserve">3.3.4 </w:t>
            </w:r>
            <w:r>
              <w:rPr>
                <w:rStyle w:val="Style12"/>
                <w:rFonts w:eastAsia="Calibri" w:cs="Times New Roman" w:ascii="Times New Roman" w:hAnsi="Times New Roman"/>
              </w:rPr>
              <w:t>Ανεπάρκεια υποδοχέα λεπτίνης</w:t>
            </w:r>
            <w:r>
              <w:rPr>
                <w:webHidden/>
              </w:rPr>
              <w:fldChar w:fldCharType="begin"/>
            </w:r>
            <w:r>
              <w:rPr>
                <w:webHidden/>
              </w:rPr>
              <w:instrText xml:space="preserve">PAGEREF _Toc154923829 \h</w:instrText>
            </w:r>
            <w:r>
              <w:rPr>
                <w:webHidden/>
              </w:rPr>
              <w:fldChar w:fldCharType="separate"/>
            </w:r>
            <w:r>
              <w:rPr>
                <w:rStyle w:val="Style12"/>
                <w:rFonts w:cs="Times New Roman" w:ascii="Times New Roman" w:hAnsi="Times New Roman"/>
                <w:vanish w:val="false"/>
              </w:rPr>
              <w:tab/>
              <w:t>39</w:t>
            </w:r>
            <w:r>
              <w:rPr>
                <w:webHidden/>
              </w:rPr>
              <w:fldChar w:fldCharType="end"/>
            </w:r>
          </w:hyperlink>
        </w:p>
        <w:p>
          <w:pPr>
            <w:pStyle w:val="TOC3"/>
            <w:tabs>
              <w:tab w:val="clear" w:pos="720"/>
              <w:tab w:val="right" w:pos="8303" w:leader="dot"/>
            </w:tabs>
            <w:rPr>
              <w:rFonts w:ascii="Times New Roman" w:hAnsi="Times New Roman" w:eastAsia="" w:cs="Times New Roman" w:eastAsiaTheme="minorEastAsia"/>
              <w:kern w:val="2"/>
              <w:sz w:val="24"/>
              <w:szCs w:val="24"/>
              <w14:ligatures w14:val="standardContextual"/>
            </w:rPr>
          </w:pPr>
          <w:hyperlink w:anchor="_Toc154923830">
            <w:r>
              <w:rPr>
                <w:webHidden/>
                <w:rStyle w:val="Style12"/>
                <w:rFonts w:cs="Times New Roman" w:ascii="Times New Roman" w:hAnsi="Times New Roman"/>
              </w:rPr>
              <w:t xml:space="preserve">3.3.5 </w:t>
            </w:r>
            <w:r>
              <w:rPr>
                <w:rStyle w:val="Style12"/>
                <w:rFonts w:eastAsia="Calibri" w:cs="Times New Roman" w:ascii="Times New Roman" w:hAnsi="Times New Roman"/>
              </w:rPr>
              <w:t>Ανεπάρκεια P</w:t>
            </w:r>
            <w:r>
              <w:rPr>
                <w:rStyle w:val="Style12"/>
                <w:rFonts w:eastAsia="Calibri" w:cs="Times New Roman" w:ascii="Times New Roman" w:hAnsi="Times New Roman"/>
                <w:lang w:val="en-US"/>
              </w:rPr>
              <w:t>CSK</w:t>
            </w:r>
            <w:r>
              <w:rPr>
                <w:rStyle w:val="Style12"/>
                <w:rFonts w:eastAsia="Calibri" w:cs="Times New Roman" w:ascii="Times New Roman" w:hAnsi="Times New Roman"/>
              </w:rPr>
              <w:t>1</w:t>
            </w:r>
            <w:r>
              <w:rPr>
                <w:webHidden/>
              </w:rPr>
              <w:fldChar w:fldCharType="begin"/>
            </w:r>
            <w:r>
              <w:rPr>
                <w:webHidden/>
              </w:rPr>
              <w:instrText xml:space="preserve">PAGEREF _Toc154923830 \h</w:instrText>
            </w:r>
            <w:r>
              <w:rPr>
                <w:webHidden/>
              </w:rPr>
              <w:fldChar w:fldCharType="separate"/>
            </w:r>
            <w:r>
              <w:rPr>
                <w:rStyle w:val="Style12"/>
                <w:rFonts w:cs="Times New Roman" w:ascii="Times New Roman" w:hAnsi="Times New Roman"/>
                <w:vanish w:val="false"/>
              </w:rPr>
              <w:tab/>
              <w:t>41</w:t>
            </w:r>
            <w:r>
              <w:rPr>
                <w:webHidden/>
              </w:rPr>
              <w:fldChar w:fldCharType="end"/>
            </w:r>
          </w:hyperlink>
        </w:p>
        <w:p>
          <w:pPr>
            <w:pStyle w:val="TOC3"/>
            <w:tabs>
              <w:tab w:val="clear" w:pos="720"/>
              <w:tab w:val="right" w:pos="8303" w:leader="dot"/>
            </w:tabs>
            <w:rPr>
              <w:rFonts w:ascii="Times New Roman" w:hAnsi="Times New Roman" w:eastAsia="" w:cs="Times New Roman" w:eastAsiaTheme="minorEastAsia"/>
              <w:kern w:val="2"/>
              <w:sz w:val="24"/>
              <w:szCs w:val="24"/>
              <w14:ligatures w14:val="standardContextual"/>
            </w:rPr>
          </w:pPr>
          <w:hyperlink w:anchor="_Toc154923831">
            <w:r>
              <w:rPr>
                <w:webHidden/>
                <w:rStyle w:val="Style12"/>
                <w:rFonts w:cs="Times New Roman" w:ascii="Times New Roman" w:hAnsi="Times New Roman"/>
              </w:rPr>
              <w:t xml:space="preserve">3.3.6 </w:t>
            </w:r>
            <w:r>
              <w:rPr>
                <w:rStyle w:val="Style12"/>
                <w:rFonts w:eastAsia="Calibri" w:cs="Times New Roman" w:ascii="Times New Roman" w:hAnsi="Times New Roman"/>
              </w:rPr>
              <w:t>Σύνδρομο εύθραυστου Χ</w:t>
            </w:r>
            <w:r>
              <w:rPr>
                <w:webHidden/>
              </w:rPr>
              <w:fldChar w:fldCharType="begin"/>
            </w:r>
            <w:r>
              <w:rPr>
                <w:webHidden/>
              </w:rPr>
              <w:instrText xml:space="preserve">PAGEREF _Toc154923831 \h</w:instrText>
            </w:r>
            <w:r>
              <w:rPr>
                <w:webHidden/>
              </w:rPr>
              <w:fldChar w:fldCharType="separate"/>
            </w:r>
            <w:r>
              <w:rPr>
                <w:rStyle w:val="Style12"/>
                <w:rFonts w:cs="Times New Roman" w:ascii="Times New Roman" w:hAnsi="Times New Roman"/>
                <w:vanish w:val="false"/>
              </w:rPr>
              <w:tab/>
              <w:t>42</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32">
            <w:r>
              <w:rPr>
                <w:webHidden/>
                <w:rStyle w:val="Style12"/>
                <w:rFonts w:cs="Times New Roman" w:ascii="Times New Roman" w:hAnsi="Times New Roman"/>
              </w:rPr>
              <w:t>3.4 Πολυγενείς γενετικές μεταβλητές της παχυσαρκίας</w:t>
            </w:r>
            <w:r>
              <w:rPr>
                <w:webHidden/>
              </w:rPr>
              <w:fldChar w:fldCharType="begin"/>
            </w:r>
            <w:r>
              <w:rPr>
                <w:webHidden/>
              </w:rPr>
              <w:instrText xml:space="preserve">PAGEREF _Toc154923832 \h</w:instrText>
            </w:r>
            <w:r>
              <w:rPr>
                <w:webHidden/>
              </w:rPr>
              <w:fldChar w:fldCharType="separate"/>
            </w:r>
            <w:r>
              <w:rPr>
                <w:rStyle w:val="Style12"/>
                <w:rFonts w:cs="Times New Roman" w:ascii="Times New Roman" w:hAnsi="Times New Roman"/>
                <w:vanish w:val="false"/>
              </w:rPr>
              <w:tab/>
              <w:t>44</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33">
            <w:r>
              <w:rPr>
                <w:webHidden/>
                <w:rStyle w:val="Style12"/>
                <w:rFonts w:cs="Times New Roman" w:ascii="Times New Roman" w:hAnsi="Times New Roman"/>
              </w:rPr>
              <w:t>3.5 Επιγενετική παιδική παχυσαρκία</w:t>
            </w:r>
            <w:r>
              <w:rPr>
                <w:webHidden/>
              </w:rPr>
              <w:fldChar w:fldCharType="begin"/>
            </w:r>
            <w:r>
              <w:rPr>
                <w:webHidden/>
              </w:rPr>
              <w:instrText xml:space="preserve">PAGEREF _Toc154923833 \h</w:instrText>
            </w:r>
            <w:r>
              <w:rPr>
                <w:webHidden/>
              </w:rPr>
              <w:fldChar w:fldCharType="separate"/>
            </w:r>
            <w:r>
              <w:rPr>
                <w:rStyle w:val="Style12"/>
                <w:rFonts w:cs="Times New Roman" w:ascii="Times New Roman" w:hAnsi="Times New Roman"/>
                <w:vanish w:val="false"/>
              </w:rPr>
              <w:tab/>
              <w:t>49</w:t>
            </w:r>
            <w:r>
              <w:rPr>
                <w:webHidden/>
              </w:rPr>
              <w:fldChar w:fldCharType="end"/>
            </w:r>
          </w:hyperlink>
        </w:p>
        <w:p>
          <w:pPr>
            <w:pStyle w:val="TOC3"/>
            <w:tabs>
              <w:tab w:val="clear" w:pos="720"/>
              <w:tab w:val="right" w:pos="8303" w:leader="dot"/>
            </w:tabs>
            <w:rPr>
              <w:rFonts w:ascii="Times New Roman" w:hAnsi="Times New Roman" w:eastAsia="" w:cs="Times New Roman" w:eastAsiaTheme="minorEastAsia"/>
              <w:kern w:val="2"/>
              <w:sz w:val="24"/>
              <w:szCs w:val="24"/>
              <w14:ligatures w14:val="standardContextual"/>
            </w:rPr>
          </w:pPr>
          <w:hyperlink w:anchor="_Toc154923834">
            <w:r>
              <w:rPr>
                <w:webHidden/>
                <w:rStyle w:val="Style12"/>
                <w:rFonts w:cs="Times New Roman" w:ascii="Times New Roman" w:hAnsi="Times New Roman"/>
              </w:rPr>
              <w:t xml:space="preserve">3.5.1 </w:t>
            </w:r>
            <w:r>
              <w:rPr>
                <w:rStyle w:val="Style12"/>
                <w:rFonts w:eastAsia="Calibri" w:cs="Times New Roman" w:ascii="Times New Roman" w:hAnsi="Times New Roman"/>
              </w:rPr>
              <w:t>Κληρονομικότητα επιγενετικών χαρακτηριστικών μεταξύ γενεών λόγω προγεννητικών γονικών παραγόντων</w:t>
            </w:r>
            <w:r>
              <w:rPr>
                <w:webHidden/>
              </w:rPr>
              <w:fldChar w:fldCharType="begin"/>
            </w:r>
            <w:r>
              <w:rPr>
                <w:webHidden/>
              </w:rPr>
              <w:instrText xml:space="preserve">PAGEREF _Toc154923834 \h</w:instrText>
            </w:r>
            <w:r>
              <w:rPr>
                <w:webHidden/>
              </w:rPr>
              <w:fldChar w:fldCharType="separate"/>
            </w:r>
            <w:r>
              <w:rPr>
                <w:rStyle w:val="Style12"/>
                <w:rFonts w:cs="Times New Roman" w:ascii="Times New Roman" w:hAnsi="Times New Roman"/>
                <w:vanish w:val="false"/>
              </w:rPr>
              <w:tab/>
              <w:t>51</w:t>
            </w:r>
            <w:r>
              <w:rPr>
                <w:webHidden/>
              </w:rPr>
              <w:fldChar w:fldCharType="end"/>
            </w:r>
          </w:hyperlink>
        </w:p>
        <w:p>
          <w:pPr>
            <w:pStyle w:val="TOC3"/>
            <w:tabs>
              <w:tab w:val="clear" w:pos="720"/>
              <w:tab w:val="right" w:pos="8303" w:leader="dot"/>
            </w:tabs>
            <w:rPr>
              <w:rFonts w:ascii="Times New Roman" w:hAnsi="Times New Roman" w:eastAsia="" w:cs="Times New Roman" w:eastAsiaTheme="minorEastAsia"/>
              <w:kern w:val="2"/>
              <w:sz w:val="24"/>
              <w:szCs w:val="24"/>
              <w14:ligatures w14:val="standardContextual"/>
            </w:rPr>
          </w:pPr>
          <w:hyperlink w:anchor="_Toc154923835">
            <w:r>
              <w:rPr>
                <w:webHidden/>
                <w:rStyle w:val="Style12"/>
                <w:rFonts w:cs="Times New Roman" w:ascii="Times New Roman" w:hAnsi="Times New Roman"/>
              </w:rPr>
              <w:t xml:space="preserve">3.5.2 </w:t>
            </w:r>
            <w:r>
              <w:rPr>
                <w:rStyle w:val="Style12"/>
                <w:rFonts w:eastAsia="Calibri" w:cs="Times New Roman" w:ascii="Times New Roman" w:hAnsi="Times New Roman"/>
              </w:rPr>
              <w:t>Επιγενετικές επιπτώσεις της έκθεσης στη μητέρα με παχυσαρκία/υπερτροφία και το περιβάλλον κατά τη διάρκεια της εγκυμοσύνης</w:t>
            </w:r>
            <w:r>
              <w:rPr>
                <w:webHidden/>
              </w:rPr>
              <w:fldChar w:fldCharType="begin"/>
            </w:r>
            <w:r>
              <w:rPr>
                <w:webHidden/>
              </w:rPr>
              <w:instrText xml:space="preserve">PAGEREF _Toc154923835 \h</w:instrText>
            </w:r>
            <w:r>
              <w:rPr>
                <w:webHidden/>
              </w:rPr>
              <w:fldChar w:fldCharType="separate"/>
            </w:r>
            <w:r>
              <w:rPr>
                <w:rStyle w:val="Style12"/>
                <w:rFonts w:cs="Times New Roman" w:ascii="Times New Roman" w:hAnsi="Times New Roman"/>
                <w:vanish w:val="false"/>
              </w:rPr>
              <w:tab/>
              <w:t>55</w:t>
            </w:r>
            <w:r>
              <w:rPr>
                <w:webHidden/>
              </w:rPr>
              <w:fldChar w:fldCharType="end"/>
            </w:r>
          </w:hyperlink>
        </w:p>
        <w:p>
          <w:pPr>
            <w:pStyle w:val="TOC1"/>
            <w:tabs>
              <w:tab w:val="clear" w:pos="720"/>
              <w:tab w:val="right" w:pos="8303" w:leader="dot"/>
            </w:tabs>
            <w:rPr>
              <w:rFonts w:ascii="Times New Roman" w:hAnsi="Times New Roman" w:eastAsia="" w:cs="Times New Roman" w:eastAsiaTheme="minorEastAsia"/>
              <w:b w:val="false"/>
              <w:bCs w:val="false"/>
              <w:kern w:val="2"/>
              <w:sz w:val="24"/>
              <w:szCs w:val="24"/>
              <w14:ligatures w14:val="standardContextual"/>
            </w:rPr>
          </w:pPr>
          <w:hyperlink w:anchor="_Toc154923836">
            <w:r>
              <w:rPr>
                <w:webHidden/>
                <w:rStyle w:val="Style12"/>
                <w:rFonts w:cs="Times New Roman" w:ascii="Times New Roman" w:hAnsi="Times New Roman"/>
              </w:rPr>
              <w:t>Κεφάλαιο 4: Ενίσχυση καταπολέμησης της παιδικής παχυσαρκίας- Ο ρόλος της βιοϊατρικής μηχανικής στις γονιδιακές μελέτες</w:t>
            </w:r>
            <w:r>
              <w:rPr>
                <w:webHidden/>
              </w:rPr>
              <w:fldChar w:fldCharType="begin"/>
            </w:r>
            <w:r>
              <w:rPr>
                <w:webHidden/>
              </w:rPr>
              <w:instrText xml:space="preserve">PAGEREF _Toc154923836 \h</w:instrText>
            </w:r>
            <w:r>
              <w:rPr>
                <w:webHidden/>
              </w:rPr>
              <w:fldChar w:fldCharType="separate"/>
            </w:r>
            <w:r>
              <w:rPr>
                <w:rStyle w:val="Style12"/>
                <w:rFonts w:cs="Times New Roman" w:ascii="Times New Roman" w:hAnsi="Times New Roman"/>
                <w:vanish w:val="false"/>
              </w:rPr>
              <w:tab/>
              <w:t>59</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37">
            <w:r>
              <w:rPr>
                <w:webHidden/>
                <w:rStyle w:val="Style12"/>
                <w:rFonts w:cs="Times New Roman" w:ascii="Times New Roman" w:hAnsi="Times New Roman"/>
              </w:rPr>
              <w:t>4.1 Γενικά</w:t>
            </w:r>
            <w:r>
              <w:rPr>
                <w:webHidden/>
              </w:rPr>
              <w:fldChar w:fldCharType="begin"/>
            </w:r>
            <w:r>
              <w:rPr>
                <w:webHidden/>
              </w:rPr>
              <w:instrText xml:space="preserve">PAGEREF _Toc154923837 \h</w:instrText>
            </w:r>
            <w:r>
              <w:rPr>
                <w:webHidden/>
              </w:rPr>
              <w:fldChar w:fldCharType="separate"/>
            </w:r>
            <w:r>
              <w:rPr>
                <w:rStyle w:val="Style12"/>
                <w:rFonts w:cs="Times New Roman" w:ascii="Times New Roman" w:hAnsi="Times New Roman"/>
                <w:vanish w:val="false"/>
              </w:rPr>
              <w:tab/>
              <w:t>59</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38">
            <w:r>
              <w:rPr>
                <w:webHidden/>
                <w:rStyle w:val="Style12"/>
                <w:rFonts w:cs="Times New Roman" w:ascii="Times New Roman" w:hAnsi="Times New Roman"/>
              </w:rPr>
              <w:t>4.2 Η δύναμη της Βιοπληροφορικής και της Ανάλυσης Δεδομένων στη Βιοϊατρική Μηχανική</w:t>
            </w:r>
            <w:r>
              <w:rPr>
                <w:webHidden/>
              </w:rPr>
              <w:fldChar w:fldCharType="begin"/>
            </w:r>
            <w:r>
              <w:rPr>
                <w:webHidden/>
              </w:rPr>
              <w:instrText xml:space="preserve">PAGEREF _Toc154923838 \h</w:instrText>
            </w:r>
            <w:r>
              <w:rPr>
                <w:webHidden/>
              </w:rPr>
              <w:fldChar w:fldCharType="separate"/>
            </w:r>
            <w:r>
              <w:rPr>
                <w:rStyle w:val="Style12"/>
                <w:rFonts w:cs="Times New Roman" w:ascii="Times New Roman" w:hAnsi="Times New Roman"/>
                <w:vanish w:val="false"/>
              </w:rPr>
              <w:tab/>
              <w:t>61</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39">
            <w:r>
              <w:rPr>
                <w:webHidden/>
                <w:rStyle w:val="Style12"/>
                <w:rFonts w:cs="Times New Roman" w:ascii="Times New Roman" w:hAnsi="Times New Roman"/>
              </w:rPr>
              <w:t>4.3 Βιοδείκτες (</w:t>
            </w:r>
            <w:r>
              <w:rPr>
                <w:rStyle w:val="Style12"/>
                <w:rFonts w:cs="Times New Roman" w:ascii="Times New Roman" w:hAnsi="Times New Roman"/>
                <w:lang w:val="en-US"/>
              </w:rPr>
              <w:t>Biomarkers</w:t>
            </w:r>
            <w:r>
              <w:rPr>
                <w:rStyle w:val="Style12"/>
                <w:rFonts w:cs="Times New Roman" w:ascii="Times New Roman" w:hAnsi="Times New Roman"/>
              </w:rPr>
              <w:t>)</w:t>
            </w:r>
            <w:r>
              <w:rPr>
                <w:webHidden/>
              </w:rPr>
              <w:fldChar w:fldCharType="begin"/>
            </w:r>
            <w:r>
              <w:rPr>
                <w:webHidden/>
              </w:rPr>
              <w:instrText xml:space="preserve">PAGEREF _Toc154923839 \h</w:instrText>
            </w:r>
            <w:r>
              <w:rPr>
                <w:webHidden/>
              </w:rPr>
              <w:fldChar w:fldCharType="separate"/>
            </w:r>
            <w:r>
              <w:rPr>
                <w:rStyle w:val="Style12"/>
                <w:rFonts w:cs="Times New Roman" w:ascii="Times New Roman" w:hAnsi="Times New Roman"/>
                <w:vanish w:val="false"/>
              </w:rPr>
              <w:tab/>
              <w:t>63</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40">
            <w:r>
              <w:rPr>
                <w:webHidden/>
                <w:rStyle w:val="Style12"/>
                <w:rFonts w:cs="Times New Roman" w:ascii="Times New Roman" w:hAnsi="Times New Roman"/>
              </w:rPr>
              <w:t>4.4 Η λειτουργική γονιδιωματική (</w:t>
            </w:r>
            <w:r>
              <w:rPr>
                <w:rStyle w:val="Style12"/>
                <w:rFonts w:cs="Times New Roman" w:ascii="Times New Roman" w:hAnsi="Times New Roman"/>
                <w:lang w:val="en-US"/>
              </w:rPr>
              <w:t>Functional</w:t>
            </w:r>
            <w:r>
              <w:rPr>
                <w:rStyle w:val="Style12"/>
                <w:rFonts w:cs="Times New Roman" w:ascii="Times New Roman" w:hAnsi="Times New Roman"/>
              </w:rPr>
              <w:t xml:space="preserve"> </w:t>
            </w:r>
            <w:r>
              <w:rPr>
                <w:rStyle w:val="Style12"/>
                <w:rFonts w:cs="Times New Roman" w:ascii="Times New Roman" w:hAnsi="Times New Roman"/>
                <w:lang w:val="en-US"/>
              </w:rPr>
              <w:t>Genomics</w:t>
            </w:r>
            <w:r>
              <w:rPr>
                <w:rStyle w:val="Style12"/>
                <w:rFonts w:cs="Times New Roman" w:ascii="Times New Roman" w:hAnsi="Times New Roman"/>
              </w:rPr>
              <w:t>)</w:t>
            </w:r>
            <w:r>
              <w:rPr>
                <w:webHidden/>
              </w:rPr>
              <w:fldChar w:fldCharType="begin"/>
            </w:r>
            <w:r>
              <w:rPr>
                <w:webHidden/>
              </w:rPr>
              <w:instrText xml:space="preserve">PAGEREF _Toc154923840 \h</w:instrText>
            </w:r>
            <w:r>
              <w:rPr>
                <w:webHidden/>
              </w:rPr>
              <w:fldChar w:fldCharType="separate"/>
            </w:r>
            <w:r>
              <w:rPr>
                <w:rStyle w:val="Style12"/>
                <w:rFonts w:cs="Times New Roman" w:ascii="Times New Roman" w:hAnsi="Times New Roman"/>
                <w:vanish w:val="false"/>
              </w:rPr>
              <w:tab/>
              <w:t>65</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41">
            <w:r>
              <w:rPr>
                <w:webHidden/>
                <w:rStyle w:val="Style12"/>
                <w:rFonts w:cs="Times New Roman" w:ascii="Times New Roman" w:hAnsi="Times New Roman"/>
              </w:rPr>
              <w:t xml:space="preserve">4.5 </w:t>
            </w:r>
            <w:r>
              <w:rPr>
                <w:rStyle w:val="Style12"/>
                <w:rFonts w:cs="Times New Roman" w:ascii="Times New Roman" w:hAnsi="Times New Roman"/>
                <w:lang w:val="en-US"/>
              </w:rPr>
              <w:t>Nutrigenomics</w:t>
            </w:r>
            <w:r>
              <w:rPr>
                <w:webHidden/>
              </w:rPr>
              <w:fldChar w:fldCharType="begin"/>
            </w:r>
            <w:r>
              <w:rPr>
                <w:webHidden/>
              </w:rPr>
              <w:instrText xml:space="preserve">PAGEREF _Toc154923841 \h</w:instrText>
            </w:r>
            <w:r>
              <w:rPr>
                <w:webHidden/>
              </w:rPr>
              <w:fldChar w:fldCharType="separate"/>
            </w:r>
            <w:r>
              <w:rPr>
                <w:rStyle w:val="Style12"/>
                <w:rFonts w:cs="Times New Roman" w:ascii="Times New Roman" w:hAnsi="Times New Roman"/>
                <w:vanish w:val="false"/>
              </w:rPr>
              <w:tab/>
              <w:t>67</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42">
            <w:r>
              <w:rPr>
                <w:webHidden/>
                <w:rStyle w:val="Style12"/>
                <w:rFonts w:cs="Times New Roman" w:ascii="Times New Roman" w:hAnsi="Times New Roman"/>
              </w:rPr>
              <w:t>4.6 Οι Μελέτες βιοϊατρικής μηχανικής</w:t>
            </w:r>
            <w:r>
              <w:rPr>
                <w:webHidden/>
              </w:rPr>
              <w:fldChar w:fldCharType="begin"/>
            </w:r>
            <w:r>
              <w:rPr>
                <w:webHidden/>
              </w:rPr>
              <w:instrText xml:space="preserve">PAGEREF _Toc154923842 \h</w:instrText>
            </w:r>
            <w:r>
              <w:rPr>
                <w:webHidden/>
              </w:rPr>
              <w:fldChar w:fldCharType="separate"/>
            </w:r>
            <w:r>
              <w:rPr>
                <w:rStyle w:val="Style12"/>
                <w:rFonts w:cs="Times New Roman" w:ascii="Times New Roman" w:hAnsi="Times New Roman"/>
                <w:vanish w:val="false"/>
              </w:rPr>
              <w:tab/>
              <w:t>69</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43">
            <w:r>
              <w:rPr>
                <w:webHidden/>
                <w:rStyle w:val="Style12"/>
                <w:rFonts w:cs="Times New Roman" w:ascii="Times New Roman" w:hAnsi="Times New Roman"/>
              </w:rPr>
              <w:t>4.7 Οι τεχνολογίες αισθητήρων</w:t>
            </w:r>
            <w:r>
              <w:rPr>
                <w:webHidden/>
              </w:rPr>
              <w:fldChar w:fldCharType="begin"/>
            </w:r>
            <w:r>
              <w:rPr>
                <w:webHidden/>
              </w:rPr>
              <w:instrText xml:space="preserve">PAGEREF _Toc154923843 \h</w:instrText>
            </w:r>
            <w:r>
              <w:rPr>
                <w:webHidden/>
              </w:rPr>
              <w:fldChar w:fldCharType="separate"/>
            </w:r>
            <w:r>
              <w:rPr>
                <w:rStyle w:val="Style12"/>
                <w:rFonts w:cs="Times New Roman" w:ascii="Times New Roman" w:hAnsi="Times New Roman"/>
                <w:vanish w:val="false"/>
              </w:rPr>
              <w:tab/>
              <w:t>71</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44">
            <w:r>
              <w:rPr>
                <w:webHidden/>
                <w:rStyle w:val="Style12"/>
                <w:rFonts w:cs="Times New Roman" w:ascii="Times New Roman" w:hAnsi="Times New Roman"/>
              </w:rPr>
              <w:t>4.8 Η τεχνολογία των ολοκληρωμένων συστημάτων (I</w:t>
            </w:r>
            <w:r>
              <w:rPr>
                <w:rStyle w:val="Style12"/>
                <w:rFonts w:cs="Times New Roman" w:ascii="Times New Roman" w:hAnsi="Times New Roman"/>
                <w:lang w:val="en-US"/>
              </w:rPr>
              <w:t>ntegrative</w:t>
            </w:r>
            <w:r>
              <w:rPr>
                <w:rStyle w:val="Style12"/>
                <w:rFonts w:cs="Times New Roman" w:ascii="Times New Roman" w:hAnsi="Times New Roman"/>
              </w:rPr>
              <w:t xml:space="preserve"> </w:t>
            </w:r>
            <w:r>
              <w:rPr>
                <w:rStyle w:val="Style12"/>
                <w:rFonts w:cs="Times New Roman" w:ascii="Times New Roman" w:hAnsi="Times New Roman"/>
                <w:lang w:val="en-US"/>
              </w:rPr>
              <w:t>Systems</w:t>
            </w:r>
            <w:r>
              <w:rPr>
                <w:rStyle w:val="Style12"/>
                <w:rFonts w:cs="Times New Roman" w:ascii="Times New Roman" w:hAnsi="Times New Roman"/>
              </w:rPr>
              <w:t xml:space="preserve"> </w:t>
            </w:r>
            <w:r>
              <w:rPr>
                <w:rStyle w:val="Style12"/>
                <w:rFonts w:cs="Times New Roman" w:ascii="Times New Roman" w:hAnsi="Times New Roman"/>
                <w:lang w:val="en-US"/>
              </w:rPr>
              <w:t>Biology</w:t>
            </w:r>
            <w:r>
              <w:rPr>
                <w:rStyle w:val="Style12"/>
                <w:rFonts w:cs="Times New Roman" w:ascii="Times New Roman" w:hAnsi="Times New Roman"/>
              </w:rPr>
              <w:t>)</w:t>
            </w:r>
            <w:r>
              <w:rPr>
                <w:webHidden/>
              </w:rPr>
              <w:fldChar w:fldCharType="begin"/>
            </w:r>
            <w:r>
              <w:rPr>
                <w:webHidden/>
              </w:rPr>
              <w:instrText xml:space="preserve">PAGEREF _Toc154923844 \h</w:instrText>
            </w:r>
            <w:r>
              <w:rPr>
                <w:webHidden/>
              </w:rPr>
              <w:fldChar w:fldCharType="separate"/>
            </w:r>
            <w:r>
              <w:rPr>
                <w:rStyle w:val="Style12"/>
                <w:rFonts w:cs="Times New Roman" w:ascii="Times New Roman" w:hAnsi="Times New Roman"/>
                <w:vanish w:val="false"/>
              </w:rPr>
              <w:tab/>
              <w:t>74</w:t>
            </w:r>
            <w:r>
              <w:rPr>
                <w:webHidden/>
              </w:rPr>
              <w:fldChar w:fldCharType="end"/>
            </w:r>
          </w:hyperlink>
        </w:p>
        <w:p>
          <w:pPr>
            <w:pStyle w:val="TOC1"/>
            <w:tabs>
              <w:tab w:val="clear" w:pos="720"/>
              <w:tab w:val="right" w:pos="8303" w:leader="dot"/>
            </w:tabs>
            <w:rPr>
              <w:rFonts w:ascii="Times New Roman" w:hAnsi="Times New Roman" w:eastAsia="" w:cs="Times New Roman" w:eastAsiaTheme="minorEastAsia"/>
              <w:b w:val="false"/>
              <w:bCs w:val="false"/>
              <w:kern w:val="2"/>
              <w:sz w:val="24"/>
              <w:szCs w:val="24"/>
              <w14:ligatures w14:val="standardContextual"/>
            </w:rPr>
          </w:pPr>
          <w:hyperlink w:anchor="_Toc154923845">
            <w:r>
              <w:rPr>
                <w:webHidden/>
                <w:rStyle w:val="Style12"/>
                <w:rFonts w:cs="Times New Roman" w:ascii="Times New Roman" w:hAnsi="Times New Roman"/>
              </w:rPr>
              <w:t>Κεφάλαιο 5: Μελέτες συσχέτισης σε όλο το γονιδίωμα για το την Παιδική Παχυσαρκία (G</w:t>
            </w:r>
            <w:r>
              <w:rPr>
                <w:rStyle w:val="Style12"/>
                <w:rFonts w:cs="Times New Roman" w:ascii="Times New Roman" w:hAnsi="Times New Roman"/>
                <w:lang w:val="en-US"/>
              </w:rPr>
              <w:t>enome</w:t>
            </w:r>
            <w:r>
              <w:rPr>
                <w:rStyle w:val="Style12"/>
                <w:rFonts w:cs="Times New Roman" w:ascii="Times New Roman" w:hAnsi="Times New Roman"/>
              </w:rPr>
              <w:t>-</w:t>
            </w:r>
            <w:r>
              <w:rPr>
                <w:rStyle w:val="Style12"/>
                <w:rFonts w:cs="Times New Roman" w:ascii="Times New Roman" w:hAnsi="Times New Roman"/>
                <w:lang w:val="en-US"/>
              </w:rPr>
              <w:t>Wide</w:t>
            </w:r>
            <w:r>
              <w:rPr>
                <w:rStyle w:val="Style12"/>
                <w:rFonts w:cs="Times New Roman" w:ascii="Times New Roman" w:hAnsi="Times New Roman"/>
              </w:rPr>
              <w:t xml:space="preserve"> </w:t>
            </w:r>
            <w:r>
              <w:rPr>
                <w:rStyle w:val="Style12"/>
                <w:rFonts w:cs="Times New Roman" w:ascii="Times New Roman" w:hAnsi="Times New Roman"/>
                <w:lang w:val="en-US"/>
              </w:rPr>
              <w:t>Association</w:t>
            </w:r>
            <w:r>
              <w:rPr>
                <w:rStyle w:val="Style12"/>
                <w:rFonts w:cs="Times New Roman" w:ascii="Times New Roman" w:hAnsi="Times New Roman"/>
              </w:rPr>
              <w:t xml:space="preserve"> </w:t>
            </w:r>
            <w:r>
              <w:rPr>
                <w:rStyle w:val="Style12"/>
                <w:rFonts w:cs="Times New Roman" w:ascii="Times New Roman" w:hAnsi="Times New Roman"/>
                <w:lang w:val="en-US"/>
              </w:rPr>
              <w:t>Studies</w:t>
            </w:r>
            <w:r>
              <w:rPr>
                <w:rStyle w:val="Style12"/>
                <w:rFonts w:cs="Times New Roman" w:ascii="Times New Roman" w:hAnsi="Times New Roman"/>
              </w:rPr>
              <w:t>-</w:t>
            </w:r>
            <w:r>
              <w:rPr>
                <w:rStyle w:val="Style12"/>
                <w:rFonts w:cs="Times New Roman" w:ascii="Times New Roman" w:hAnsi="Times New Roman"/>
                <w:lang w:val="en-US"/>
              </w:rPr>
              <w:t>GWAS</w:t>
            </w:r>
            <w:r>
              <w:rPr>
                <w:rStyle w:val="Style12"/>
                <w:rFonts w:cs="Times New Roman" w:ascii="Times New Roman" w:hAnsi="Times New Roman"/>
              </w:rPr>
              <w:t>)[200]</w:t>
            </w:r>
            <w:r>
              <w:rPr>
                <w:webHidden/>
              </w:rPr>
              <w:fldChar w:fldCharType="begin"/>
            </w:r>
            <w:r>
              <w:rPr>
                <w:webHidden/>
              </w:rPr>
              <w:instrText xml:space="preserve">PAGEREF _Toc154923845 \h</w:instrText>
            </w:r>
            <w:r>
              <w:rPr>
                <w:webHidden/>
              </w:rPr>
              <w:fldChar w:fldCharType="separate"/>
            </w:r>
            <w:r>
              <w:rPr>
                <w:rStyle w:val="Style12"/>
                <w:rFonts w:cs="Times New Roman" w:ascii="Times New Roman" w:hAnsi="Times New Roman"/>
                <w:vanish w:val="false"/>
              </w:rPr>
              <w:tab/>
              <w:t>76</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46">
            <w:r>
              <w:rPr>
                <w:webHidden/>
                <w:rStyle w:val="Style12"/>
                <w:rFonts w:cs="Times New Roman" w:ascii="Times New Roman" w:hAnsi="Times New Roman"/>
              </w:rPr>
              <w:t xml:space="preserve">5.1 Μελέτες </w:t>
            </w:r>
            <w:r>
              <w:rPr>
                <w:rStyle w:val="Style12"/>
                <w:rFonts w:cs="Times New Roman" w:ascii="Times New Roman" w:hAnsi="Times New Roman"/>
                <w:lang w:val="en-US"/>
              </w:rPr>
              <w:t>GWAS</w:t>
            </w:r>
            <w:r>
              <w:rPr>
                <w:rStyle w:val="Style12"/>
                <w:rFonts w:cs="Times New Roman" w:ascii="Times New Roman" w:hAnsi="Times New Roman"/>
              </w:rPr>
              <w:t xml:space="preserve"> στο ΔΜΣ των παιδιών</w:t>
            </w:r>
            <w:r>
              <w:rPr>
                <w:webHidden/>
              </w:rPr>
              <w:fldChar w:fldCharType="begin"/>
            </w:r>
            <w:r>
              <w:rPr>
                <w:webHidden/>
              </w:rPr>
              <w:instrText xml:space="preserve">PAGEREF _Toc154923846 \h</w:instrText>
            </w:r>
            <w:r>
              <w:rPr>
                <w:webHidden/>
              </w:rPr>
              <w:fldChar w:fldCharType="separate"/>
            </w:r>
            <w:r>
              <w:rPr>
                <w:rStyle w:val="Style12"/>
                <w:rFonts w:cs="Times New Roman" w:ascii="Times New Roman" w:hAnsi="Times New Roman"/>
                <w:vanish w:val="false"/>
              </w:rPr>
              <w:tab/>
              <w:t>76</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47">
            <w:r>
              <w:rPr>
                <w:webHidden/>
                <w:rStyle w:val="Style12"/>
                <w:rFonts w:cs="Times New Roman" w:ascii="Times New Roman" w:hAnsi="Times New Roman"/>
              </w:rPr>
              <w:t xml:space="preserve">5.2 Μελέτες </w:t>
            </w:r>
            <w:r>
              <w:rPr>
                <w:rStyle w:val="Style12"/>
                <w:rFonts w:cs="Times New Roman" w:ascii="Times New Roman" w:hAnsi="Times New Roman"/>
                <w:lang w:val="en-US"/>
              </w:rPr>
              <w:t>GWAS</w:t>
            </w:r>
            <w:r>
              <w:rPr>
                <w:rStyle w:val="Style12"/>
                <w:rFonts w:cs="Times New Roman" w:ascii="Times New Roman" w:hAnsi="Times New Roman"/>
              </w:rPr>
              <w:t xml:space="preserve"> για το σωματικό λίπος</w:t>
            </w:r>
            <w:r>
              <w:rPr>
                <w:webHidden/>
              </w:rPr>
              <w:fldChar w:fldCharType="begin"/>
            </w:r>
            <w:r>
              <w:rPr>
                <w:webHidden/>
              </w:rPr>
              <w:instrText xml:space="preserve">PAGEREF _Toc154923847 \h</w:instrText>
            </w:r>
            <w:r>
              <w:rPr>
                <w:webHidden/>
              </w:rPr>
              <w:fldChar w:fldCharType="separate"/>
            </w:r>
            <w:r>
              <w:rPr>
                <w:rStyle w:val="Style12"/>
                <w:rFonts w:cs="Times New Roman" w:ascii="Times New Roman" w:hAnsi="Times New Roman"/>
                <w:vanish w:val="false"/>
              </w:rPr>
              <w:tab/>
              <w:t>79</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48">
            <w:r>
              <w:rPr>
                <w:webHidden/>
                <w:rStyle w:val="Style12"/>
                <w:rFonts w:cs="Times New Roman" w:ascii="Times New Roman" w:hAnsi="Times New Roman"/>
              </w:rPr>
              <w:t xml:space="preserve">5.3 Μελέτες </w:t>
            </w:r>
            <w:r>
              <w:rPr>
                <w:rStyle w:val="Style12"/>
                <w:rFonts w:cs="Times New Roman" w:ascii="Times New Roman" w:hAnsi="Times New Roman"/>
                <w:lang w:val="en-US"/>
              </w:rPr>
              <w:t>GWAS</w:t>
            </w:r>
            <w:r>
              <w:rPr>
                <w:rStyle w:val="Style12"/>
                <w:rFonts w:cs="Times New Roman" w:ascii="Times New Roman" w:hAnsi="Times New Roman"/>
              </w:rPr>
              <w:t xml:space="preserve"> για την παιδική παχυσαρκία</w:t>
            </w:r>
            <w:r>
              <w:rPr>
                <w:webHidden/>
              </w:rPr>
              <w:fldChar w:fldCharType="begin"/>
            </w:r>
            <w:r>
              <w:rPr>
                <w:webHidden/>
              </w:rPr>
              <w:instrText xml:space="preserve">PAGEREF _Toc154923848 \h</w:instrText>
            </w:r>
            <w:r>
              <w:rPr>
                <w:webHidden/>
              </w:rPr>
              <w:fldChar w:fldCharType="separate"/>
            </w:r>
            <w:r>
              <w:rPr>
                <w:rStyle w:val="Style12"/>
                <w:rFonts w:cs="Times New Roman" w:ascii="Times New Roman" w:hAnsi="Times New Roman"/>
                <w:vanish w:val="false"/>
              </w:rPr>
              <w:tab/>
              <w:t>81</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49">
            <w:r>
              <w:rPr>
                <w:webHidden/>
                <w:rStyle w:val="Style12"/>
                <w:rFonts w:cs="Times New Roman" w:ascii="Times New Roman" w:hAnsi="Times New Roman"/>
              </w:rPr>
              <w:t>5.4 Αναλύσεις εμπλουτισμού των πλησιέστερων γονιδίων</w:t>
            </w:r>
            <w:r>
              <w:rPr>
                <w:webHidden/>
              </w:rPr>
              <w:fldChar w:fldCharType="begin"/>
            </w:r>
            <w:r>
              <w:rPr>
                <w:webHidden/>
              </w:rPr>
              <w:instrText xml:space="preserve">PAGEREF _Toc154923849 \h</w:instrText>
            </w:r>
            <w:r>
              <w:rPr>
                <w:webHidden/>
              </w:rPr>
              <w:fldChar w:fldCharType="separate"/>
            </w:r>
            <w:r>
              <w:rPr>
                <w:rStyle w:val="Style12"/>
                <w:rFonts w:cs="Times New Roman" w:ascii="Times New Roman" w:hAnsi="Times New Roman"/>
                <w:vanish w:val="false"/>
              </w:rPr>
              <w:tab/>
              <w:t>83</w:t>
            </w:r>
            <w:r>
              <w:rPr>
                <w:webHidden/>
              </w:rPr>
              <w:fldChar w:fldCharType="end"/>
            </w:r>
          </w:hyperlink>
        </w:p>
        <w:p>
          <w:pPr>
            <w:pStyle w:val="TOC2"/>
            <w:tabs>
              <w:tab w:val="clear" w:pos="720"/>
              <w:tab w:val="right" w:pos="8303" w:leader="dot"/>
            </w:tabs>
            <w:rPr>
              <w:rFonts w:ascii="Times New Roman" w:hAnsi="Times New Roman" w:eastAsia="" w:cs="Times New Roman" w:eastAsiaTheme="minorEastAsia"/>
              <w:i w:val="false"/>
              <w:i w:val="false"/>
              <w:iCs w:val="false"/>
              <w:kern w:val="2"/>
              <w:sz w:val="24"/>
              <w:szCs w:val="24"/>
              <w14:ligatures w14:val="standardContextual"/>
            </w:rPr>
          </w:pPr>
          <w:hyperlink w:anchor="_Toc154923850">
            <w:r>
              <w:rPr>
                <w:webHidden/>
                <w:rStyle w:val="Style12"/>
                <w:rFonts w:cs="Times New Roman" w:ascii="Times New Roman" w:hAnsi="Times New Roman"/>
              </w:rPr>
              <w:t>5.5 Ευκαιρίες και προκλήσεις για μελέτες αντιγραφής</w:t>
            </w:r>
            <w:r>
              <w:rPr>
                <w:webHidden/>
              </w:rPr>
              <w:fldChar w:fldCharType="begin"/>
            </w:r>
            <w:r>
              <w:rPr>
                <w:webHidden/>
              </w:rPr>
              <w:instrText xml:space="preserve">PAGEREF _Toc154923850 \h</w:instrText>
            </w:r>
            <w:r>
              <w:rPr>
                <w:webHidden/>
              </w:rPr>
              <w:fldChar w:fldCharType="separate"/>
            </w:r>
            <w:r>
              <w:rPr>
                <w:rStyle w:val="Style12"/>
                <w:rFonts w:cs="Times New Roman" w:ascii="Times New Roman" w:hAnsi="Times New Roman"/>
                <w:vanish w:val="false"/>
              </w:rPr>
              <w:tab/>
              <w:t>84</w:t>
            </w:r>
            <w:r>
              <w:rPr>
                <w:webHidden/>
              </w:rPr>
              <w:fldChar w:fldCharType="end"/>
            </w:r>
          </w:hyperlink>
        </w:p>
        <w:p>
          <w:pPr>
            <w:pStyle w:val="TOC1"/>
            <w:tabs>
              <w:tab w:val="clear" w:pos="720"/>
              <w:tab w:val="right" w:pos="8303" w:leader="dot"/>
            </w:tabs>
            <w:rPr>
              <w:rFonts w:ascii="Times New Roman" w:hAnsi="Times New Roman" w:eastAsia="" w:cs="Times New Roman" w:eastAsiaTheme="minorEastAsia"/>
              <w:b w:val="false"/>
              <w:bCs w:val="false"/>
              <w:kern w:val="2"/>
              <w:sz w:val="24"/>
              <w:szCs w:val="24"/>
              <w14:ligatures w14:val="standardContextual"/>
            </w:rPr>
          </w:pPr>
          <w:hyperlink w:anchor="_Toc154923851">
            <w:r>
              <w:rPr>
                <w:webHidden/>
                <w:rStyle w:val="Style12"/>
                <w:rFonts w:cs="Times New Roman" w:ascii="Times New Roman" w:hAnsi="Times New Roman"/>
              </w:rPr>
              <w:t>Συμπεράσματα-Μελλοντικές Προσεγγίσεις</w:t>
            </w:r>
            <w:r>
              <w:rPr>
                <w:webHidden/>
              </w:rPr>
              <w:fldChar w:fldCharType="begin"/>
            </w:r>
            <w:r>
              <w:rPr>
                <w:webHidden/>
              </w:rPr>
              <w:instrText xml:space="preserve">PAGEREF _Toc154923851 \h</w:instrText>
            </w:r>
            <w:r>
              <w:rPr>
                <w:webHidden/>
              </w:rPr>
              <w:fldChar w:fldCharType="separate"/>
            </w:r>
            <w:r>
              <w:rPr>
                <w:rStyle w:val="Style12"/>
                <w:rFonts w:cs="Times New Roman" w:ascii="Times New Roman" w:hAnsi="Times New Roman"/>
                <w:vanish w:val="false"/>
              </w:rPr>
              <w:tab/>
              <w:t>88</w:t>
            </w:r>
            <w:r>
              <w:rPr>
                <w:webHidden/>
              </w:rPr>
              <w:fldChar w:fldCharType="end"/>
            </w:r>
          </w:hyperlink>
        </w:p>
        <w:p>
          <w:pPr>
            <w:pStyle w:val="TOC1"/>
            <w:tabs>
              <w:tab w:val="clear" w:pos="720"/>
              <w:tab w:val="right" w:pos="8303" w:leader="dot"/>
            </w:tabs>
            <w:rPr>
              <w:rFonts w:ascii="Times New Roman" w:hAnsi="Times New Roman" w:eastAsia="" w:cs="Times New Roman" w:eastAsiaTheme="minorEastAsia"/>
              <w:b w:val="false"/>
              <w:bCs w:val="false"/>
              <w:kern w:val="2"/>
              <w:sz w:val="24"/>
              <w:szCs w:val="24"/>
              <w14:ligatures w14:val="standardContextual"/>
            </w:rPr>
          </w:pPr>
          <w:hyperlink w:anchor="_Toc154923852">
            <w:r>
              <w:rPr>
                <w:webHidden/>
                <w:rStyle w:val="Style12"/>
                <w:rFonts w:cs="Times New Roman" w:ascii="Times New Roman" w:hAnsi="Times New Roman"/>
              </w:rPr>
              <w:t>Βιβλιογραφία</w:t>
            </w:r>
            <w:r>
              <w:rPr>
                <w:webHidden/>
              </w:rPr>
              <w:fldChar w:fldCharType="begin"/>
            </w:r>
            <w:r>
              <w:rPr>
                <w:webHidden/>
              </w:rPr>
              <w:instrText xml:space="preserve">PAGEREF _Toc154923852 \h</w:instrText>
            </w:r>
            <w:r>
              <w:rPr>
                <w:webHidden/>
              </w:rPr>
              <w:fldChar w:fldCharType="separate"/>
            </w:r>
            <w:r>
              <w:rPr>
                <w:rStyle w:val="Style12"/>
                <w:rFonts w:cs="Times New Roman" w:ascii="Times New Roman" w:hAnsi="Times New Roman"/>
                <w:vanish w:val="false"/>
              </w:rPr>
              <w:tab/>
              <w:t>90</w:t>
            </w:r>
            <w:r>
              <w:rPr>
                <w:webHidden/>
              </w:rPr>
              <w:fldChar w:fldCharType="end"/>
            </w:r>
          </w:hyperlink>
        </w:p>
        <w:p>
          <w:pPr>
            <w:pStyle w:val="Normal"/>
            <w:rPr/>
          </w:pPr>
          <w:r>
            <w:rPr/>
          </w:r>
          <w:r>
            <w:rPr/>
            <w:fldChar w:fldCharType="end"/>
          </w:r>
        </w:p>
      </w:sdtContent>
    </w:sdt>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Heading1"/>
        <w:spacing w:lineRule="auto" w:line="240"/>
        <w:jc w:val="center"/>
        <w:rPr>
          <w:rFonts w:ascii="Times New Roman" w:hAnsi="Times New Roman"/>
        </w:rPr>
      </w:pPr>
      <w:bookmarkStart w:id="3" w:name="_Toc154923804"/>
      <w:bookmarkStart w:id="4" w:name="_Toc103619697"/>
      <w:bookmarkStart w:id="5" w:name="_Toc73896038"/>
      <w:r>
        <w:rPr>
          <w:rFonts w:ascii="Times New Roman" w:hAnsi="Times New Roman"/>
        </w:rPr>
        <w:t>Ευρετήριο Εικόνων</w:t>
      </w:r>
      <w:bookmarkEnd w:id="3"/>
      <w:bookmarkEnd w:id="4"/>
      <w:bookmarkEnd w:id="5"/>
    </w:p>
    <w:p>
      <w:pPr>
        <w:pStyle w:val="Normal"/>
        <w:rPr/>
      </w:pPr>
      <w:r>
        <w:rPr/>
      </w:r>
    </w:p>
    <w:p>
      <w:pPr>
        <w:pStyle w:val="TableofFigures"/>
        <w:tabs>
          <w:tab w:val="clear" w:pos="720"/>
          <w:tab w:val="right" w:pos="8303" w:leader="dot"/>
        </w:tabs>
        <w:rPr>
          <w:rFonts w:ascii="Calibri" w:hAnsi="Calibri" w:eastAsia="" w:cs="" w:asciiTheme="minorHAnsi" w:cstheme="minorBidi" w:eastAsiaTheme="minorEastAsia" w:hAnsiTheme="minorHAnsi"/>
          <w:kern w:val="2"/>
          <w:sz w:val="24"/>
          <w:szCs w:val="24"/>
          <w:lang w:eastAsia="el-GR"/>
          <w14:ligatures w14:val="standardContextual"/>
        </w:rPr>
      </w:pPr>
      <w:r>
        <w:fldChar w:fldCharType="begin"/>
      </w:r>
      <w:r>
        <w:rPr>
          <w:rStyle w:val="Style12"/>
        </w:rPr>
        <w:instrText xml:space="preserve"> TOC \c "Εικόνα" \h </w:instrText>
      </w:r>
      <w:r>
        <w:rPr>
          <w:rStyle w:val="Style12"/>
        </w:rPr>
        <w:fldChar w:fldCharType="separate"/>
      </w:r>
      <w:hyperlink w:anchor="_Toc152764767">
        <w:r>
          <w:rPr>
            <w:rStyle w:val="Style12"/>
          </w:rPr>
          <w:t>Εικόνα 1:</w:t>
        </w:r>
        <w:r>
          <w:rPr>
            <w:rStyle w:val="Style12"/>
            <w:i/>
            <w:iCs/>
          </w:rPr>
          <w:t xml:space="preserve">Επικράτηση της παχυσαρκίας σε άνδρες και γυναίκες ανάλογα με την ηλικία και τη γεωγρφαφική περιοχή. </w:t>
        </w:r>
        <w:r>
          <w:rPr>
            <w:rStyle w:val="Style12"/>
            <w:rFonts w:eastAsia="Calibri" w:cs="Times-Roman" w:ascii="Times-Roman" w:hAnsi="Times-Roman"/>
            <w:i/>
            <w:iCs/>
          </w:rPr>
          <w:t>α | Επιπολασμός των παχυσαρκία (δείκτης μάζας σώματος (ΔΜΣ) ≥30 kg m−2) σε γυναίκες και άνδρες ηλικίας ≥20 ετών, από το 1975 έως το 2016. β | Επικράτηση της παχυσαρκίας (βάρος ≥2 s.d. πάνω από το διάμεσο της αναφοράς ανάπτυξης του ΠΟΥ) σε κορίτσια και αγόρια 5 ετών από το 1975 έως το 2016 [44].</w:t>
        </w:r>
        <w:r>
          <w:rPr>
            <w:webHidden/>
          </w:rPr>
          <w:fldChar w:fldCharType="begin"/>
        </w:r>
        <w:r>
          <w:rPr>
            <w:webHidden/>
          </w:rPr>
          <w:instrText xml:space="preserve">PAGEREF _Toc152764767 \h</w:instrText>
        </w:r>
        <w:r>
          <w:rPr>
            <w:webHidden/>
          </w:rPr>
          <w:fldChar w:fldCharType="separate"/>
        </w:r>
        <w:r>
          <w:rPr>
            <w:rStyle w:val="Style12"/>
            <w:vanish w:val="false"/>
          </w:rPr>
          <w:tab/>
          <w:t>21</w:t>
        </w:r>
        <w:r>
          <w:rPr>
            <w:webHidden/>
          </w:rPr>
          <w:fldChar w:fldCharType="end"/>
        </w:r>
      </w:hyperlink>
    </w:p>
    <w:p>
      <w:pPr>
        <w:pStyle w:val="TableofFigures"/>
        <w:tabs>
          <w:tab w:val="clear" w:pos="720"/>
          <w:tab w:val="right" w:pos="8303" w:leader="dot"/>
        </w:tabs>
        <w:rPr>
          <w:rFonts w:ascii="Calibri" w:hAnsi="Calibri" w:eastAsia="" w:cs="" w:asciiTheme="minorHAnsi" w:cstheme="minorBidi" w:eastAsiaTheme="minorEastAsia" w:hAnsiTheme="minorHAnsi"/>
          <w:kern w:val="2"/>
          <w:sz w:val="24"/>
          <w:szCs w:val="24"/>
          <w:lang w:eastAsia="el-GR"/>
          <w14:ligatures w14:val="standardContextual"/>
        </w:rPr>
      </w:pPr>
      <w:hyperlink w:anchor="_Toc152764768">
        <w:r>
          <w:rPr>
            <w:rStyle w:val="Style12"/>
          </w:rPr>
          <w:t xml:space="preserve">Εικόνα 2: </w:t>
        </w:r>
        <w:r>
          <w:rPr>
            <w:rStyle w:val="Style12"/>
            <w:i/>
            <w:iCs/>
          </w:rPr>
          <w:t>Ένα κοινωνικο-οικολογικό μοντέλο για την κατανόηση των δυναμικών αλληλεπιδράσεων μεταξύ διαφόρων προσωπικών και περιβαλλοντικών παραγόντων που επηρεάζουν την παιδική και εφηβική παχυσαρκία. Προσαρμοσμένο από το κοινωνικο-οικολογικό μοντέλο του Κέντρου Ελέγχου και Πρόληψης Νοσημάτων.[45]</w:t>
        </w:r>
        <w:r>
          <w:rPr>
            <w:webHidden/>
          </w:rPr>
          <w:fldChar w:fldCharType="begin"/>
        </w:r>
        <w:r>
          <w:rPr>
            <w:webHidden/>
          </w:rPr>
          <w:instrText xml:space="preserve">PAGEREF _Toc152764768 \h</w:instrText>
        </w:r>
        <w:r>
          <w:rPr>
            <w:webHidden/>
          </w:rPr>
          <w:fldChar w:fldCharType="separate"/>
        </w:r>
        <w:r>
          <w:rPr>
            <w:rStyle w:val="Style12"/>
            <w:vanish w:val="false"/>
          </w:rPr>
          <w:tab/>
          <w:t>21</w:t>
        </w:r>
        <w:r>
          <w:rPr>
            <w:webHidden/>
          </w:rPr>
          <w:fldChar w:fldCharType="end"/>
        </w:r>
      </w:hyperlink>
    </w:p>
    <w:p>
      <w:pPr>
        <w:pStyle w:val="TableofFigures"/>
        <w:tabs>
          <w:tab w:val="clear" w:pos="720"/>
          <w:tab w:val="right" w:pos="8303" w:leader="dot"/>
        </w:tabs>
        <w:rPr>
          <w:rFonts w:ascii="Calibri" w:hAnsi="Calibri" w:eastAsia="" w:cs="" w:asciiTheme="minorHAnsi" w:cstheme="minorBidi" w:eastAsiaTheme="minorEastAsia" w:hAnsiTheme="minorHAnsi"/>
          <w:kern w:val="2"/>
          <w:sz w:val="24"/>
          <w:szCs w:val="24"/>
          <w:lang w:eastAsia="el-GR"/>
          <w14:ligatures w14:val="standardContextual"/>
        </w:rPr>
      </w:pPr>
      <w:hyperlink w:anchor="_Toc152764769">
        <w:r>
          <w:rPr>
            <w:rStyle w:val="Style12"/>
          </w:rPr>
          <w:t xml:space="preserve">Εικόνα 3: </w:t>
        </w:r>
        <w:r>
          <w:rPr>
            <w:rStyle w:val="Style12"/>
            <w:i/>
            <w:iCs/>
          </w:rPr>
          <w:t>Διάγραμμα Ροής από τη διαδικασία επιλογής άρθρων.</w:t>
        </w:r>
        <w:r>
          <w:rPr>
            <w:webHidden/>
          </w:rPr>
          <w:fldChar w:fldCharType="begin"/>
        </w:r>
        <w:r>
          <w:rPr>
            <w:webHidden/>
          </w:rPr>
          <w:instrText xml:space="preserve">PAGEREF _Toc152764769 \h</w:instrText>
        </w:r>
        <w:r>
          <w:rPr>
            <w:webHidden/>
          </w:rPr>
          <w:fldChar w:fldCharType="separate"/>
        </w:r>
        <w:r>
          <w:rPr>
            <w:rStyle w:val="Style12"/>
            <w:vanish w:val="false"/>
          </w:rPr>
          <w:tab/>
          <w:t>32</w:t>
        </w:r>
        <w:r>
          <w:rPr>
            <w:webHidden/>
          </w:rPr>
          <w:fldChar w:fldCharType="end"/>
        </w:r>
      </w:hyperlink>
    </w:p>
    <w:p>
      <w:pPr>
        <w:pStyle w:val="TableofFigures"/>
        <w:tabs>
          <w:tab w:val="clear" w:pos="720"/>
          <w:tab w:val="right" w:pos="8303" w:leader="dot"/>
        </w:tabs>
        <w:rPr>
          <w:rFonts w:ascii="Calibri" w:hAnsi="Calibri" w:eastAsia="" w:cs="" w:asciiTheme="minorHAnsi" w:cstheme="minorBidi" w:eastAsiaTheme="minorEastAsia" w:hAnsiTheme="minorHAnsi"/>
          <w:kern w:val="2"/>
          <w:sz w:val="24"/>
          <w:szCs w:val="24"/>
          <w:lang w:eastAsia="el-GR"/>
          <w14:ligatures w14:val="standardContextual"/>
        </w:rPr>
      </w:pPr>
      <w:hyperlink w:anchor="_Toc152764770">
        <w:r>
          <w:rPr>
            <w:rStyle w:val="Style12"/>
          </w:rPr>
          <w:t xml:space="preserve">Εικόνα 4: </w:t>
        </w:r>
        <w:r>
          <w:rPr>
            <w:rStyle w:val="Style12"/>
            <w:i/>
            <w:iCs/>
          </w:rPr>
          <w:t>Τα πιο κοινά γενετικά σύνδρομα που σχετίζονται με την παιδική παχυσαρκία.[60]</w:t>
        </w:r>
        <w:r>
          <w:rPr>
            <w:webHidden/>
          </w:rPr>
          <w:fldChar w:fldCharType="begin"/>
        </w:r>
        <w:r>
          <w:rPr>
            <w:webHidden/>
          </w:rPr>
          <w:instrText xml:space="preserve">PAGEREF _Toc152764770 \h</w:instrText>
        </w:r>
        <w:r>
          <w:rPr>
            <w:webHidden/>
          </w:rPr>
          <w:fldChar w:fldCharType="separate"/>
        </w:r>
        <w:r>
          <w:rPr>
            <w:rStyle w:val="Style12"/>
            <w:vanish w:val="false"/>
          </w:rPr>
          <w:tab/>
          <w:t>33</w:t>
        </w:r>
        <w:r>
          <w:rPr>
            <w:webHidden/>
          </w:rPr>
          <w:fldChar w:fldCharType="end"/>
        </w:r>
      </w:hyperlink>
    </w:p>
    <w:p>
      <w:pPr>
        <w:pStyle w:val="TableofFigures"/>
        <w:tabs>
          <w:tab w:val="clear" w:pos="720"/>
          <w:tab w:val="right" w:pos="8303" w:leader="dot"/>
        </w:tabs>
        <w:rPr>
          <w:rFonts w:ascii="Calibri" w:hAnsi="Calibri" w:eastAsia="" w:cs="" w:asciiTheme="minorHAnsi" w:cstheme="minorBidi" w:eastAsiaTheme="minorEastAsia" w:hAnsiTheme="minorHAnsi"/>
          <w:kern w:val="2"/>
          <w:sz w:val="24"/>
          <w:szCs w:val="24"/>
          <w:lang w:eastAsia="el-GR"/>
          <w14:ligatures w14:val="standardContextual"/>
        </w:rPr>
      </w:pPr>
      <w:hyperlink w:anchor="_Toc152764771">
        <w:r>
          <w:rPr>
            <w:rStyle w:val="Style12"/>
          </w:rPr>
          <w:t xml:space="preserve">Εικόνα 5: </w:t>
        </w:r>
        <w:r>
          <w:rPr>
            <w:rStyle w:val="Style12"/>
            <w:i/>
            <w:iCs/>
          </w:rPr>
          <w:t>Χρονοδιάγραμμα με ανακαλύψεις στους γενετικούς παράγοντες της παιδικής παχυσαρκίας [44].</w:t>
        </w:r>
        <w:r>
          <w:rPr>
            <w:webHidden/>
          </w:rPr>
          <w:fldChar w:fldCharType="begin"/>
        </w:r>
        <w:r>
          <w:rPr>
            <w:webHidden/>
          </w:rPr>
          <w:instrText xml:space="preserve">PAGEREF _Toc152764771 \h</w:instrText>
        </w:r>
        <w:r>
          <w:rPr>
            <w:webHidden/>
          </w:rPr>
          <w:fldChar w:fldCharType="separate"/>
        </w:r>
        <w:r>
          <w:rPr>
            <w:rStyle w:val="Style12"/>
            <w:vanish w:val="false"/>
          </w:rPr>
          <w:tab/>
          <w:t>34</w:t>
        </w:r>
        <w:r>
          <w:rPr>
            <w:webHidden/>
          </w:rPr>
          <w:fldChar w:fldCharType="end"/>
        </w:r>
      </w:hyperlink>
    </w:p>
    <w:p>
      <w:pPr>
        <w:pStyle w:val="TableofFigures"/>
        <w:tabs>
          <w:tab w:val="clear" w:pos="720"/>
          <w:tab w:val="right" w:pos="8303" w:leader="dot"/>
        </w:tabs>
        <w:rPr>
          <w:rFonts w:ascii="Calibri" w:hAnsi="Calibri" w:eastAsia="" w:cs="" w:asciiTheme="minorHAnsi" w:cstheme="minorBidi" w:eastAsiaTheme="minorEastAsia" w:hAnsiTheme="minorHAnsi"/>
          <w:kern w:val="2"/>
          <w:sz w:val="24"/>
          <w:szCs w:val="24"/>
          <w:lang w:eastAsia="el-GR"/>
          <w14:ligatures w14:val="standardContextual"/>
        </w:rPr>
      </w:pPr>
      <w:hyperlink w:anchor="_Toc152764772">
        <w:r>
          <w:rPr>
            <w:rStyle w:val="Style12"/>
          </w:rPr>
          <w:t xml:space="preserve">Εικόνα 6: </w:t>
        </w:r>
        <w:r>
          <w:rPr>
            <w:rStyle w:val="Style12"/>
            <w:i/>
            <w:iCs/>
            <w:lang w:val="en-US"/>
          </w:rPr>
          <w:t>H</w:t>
        </w:r>
        <w:r>
          <w:rPr>
            <w:rStyle w:val="Style12"/>
            <w:i/>
            <w:iCs/>
          </w:rPr>
          <w:t xml:space="preserve"> διαδρομή λεπτίνης-μελανοκορτίνης. Η λεπτίνη που παράγεται εκκρίνεται από το λιπώδη ιστό, δρα στον υποδοχέα λεπτίνης (</w:t>
        </w:r>
        <w:r>
          <w:rPr>
            <w:rStyle w:val="Style12"/>
            <w:i/>
            <w:iCs/>
            <w:lang w:val="en-US"/>
          </w:rPr>
          <w:t>LepR</w:t>
        </w:r>
        <w:r>
          <w:rPr>
            <w:rStyle w:val="Style12"/>
            <w:i/>
            <w:iCs/>
          </w:rPr>
          <w:t>), στον τοξοειδή πυρήνα του υποθαλάμου. Ενεργοποιεί την αυξημένη παραγωγή προ-οπιομελανοκορτίνης (P</w:t>
        </w:r>
        <w:r>
          <w:rPr>
            <w:rStyle w:val="Style12"/>
            <w:i/>
            <w:iCs/>
            <w:lang w:val="en-US"/>
          </w:rPr>
          <w:t>OMC</w:t>
        </w:r>
        <w:r>
          <w:rPr>
            <w:rStyle w:val="Style12"/>
            <w:i/>
            <w:iCs/>
          </w:rPr>
          <w:t xml:space="preserve">) στον νευρώνα </w:t>
        </w:r>
        <w:r>
          <w:rPr>
            <w:rStyle w:val="Style12"/>
            <w:i/>
            <w:iCs/>
            <w:lang w:val="en-US"/>
          </w:rPr>
          <w:t>POMC</w:t>
        </w:r>
        <w:r>
          <w:rPr>
            <w:rStyle w:val="Style12"/>
            <w:i/>
            <w:iCs/>
          </w:rPr>
          <w:t>, ο οποίος υφίσταται σε περεταίρω επεξεργασία σε ορμόνες διέγερσης μελανοκυττάρων (</w:t>
        </w:r>
        <w:r>
          <w:rPr>
            <w:rStyle w:val="Style12"/>
            <w:i/>
            <w:iCs/>
            <w:lang w:val="en-US"/>
          </w:rPr>
          <w:t>MSH</w:t>
        </w:r>
        <w:r>
          <w:rPr>
            <w:rStyle w:val="Style12"/>
            <w:i/>
            <w:iCs/>
          </w:rPr>
          <w:t>) παό την προπρωτεϊνη κονβερτάση σουμπτιλισίνη/κεξόνη τύπου 1 (</w:t>
        </w:r>
        <w:r>
          <w:rPr>
            <w:rStyle w:val="Style12"/>
            <w:i/>
            <w:iCs/>
            <w:lang w:val="en-US"/>
          </w:rPr>
          <w:t>PCSK</w:t>
        </w:r>
        <w:r>
          <w:rPr>
            <w:rStyle w:val="Style12"/>
            <w:i/>
            <w:iCs/>
          </w:rPr>
          <w:t>1).  Η MS</w:t>
        </w:r>
        <w:r>
          <w:rPr>
            <w:rStyle w:val="Style12"/>
            <w:i/>
            <w:iCs/>
            <w:lang w:val="en-US"/>
          </w:rPr>
          <w:t>H</w:t>
        </w:r>
        <w:r>
          <w:rPr>
            <w:rStyle w:val="Style12"/>
            <w:i/>
            <w:iCs/>
          </w:rPr>
          <w:t xml:space="preserve"> δρα κεντριοκά στους υποδοχείς μελανοκορτίνης, συμπεριλαμβανομένου του υποδοχέα μελανοκορτίνης 4 (</w:t>
        </w:r>
        <w:r>
          <w:rPr>
            <w:rStyle w:val="Style12"/>
            <w:i/>
            <w:iCs/>
            <w:lang w:val="en-US"/>
          </w:rPr>
          <w:t>MC</w:t>
        </w:r>
        <w:r>
          <w:rPr>
            <w:rStyle w:val="Style12"/>
            <w:i/>
            <w:iCs/>
          </w:rPr>
          <w:t>4</w:t>
        </w:r>
        <w:r>
          <w:rPr>
            <w:rStyle w:val="Style12"/>
            <w:i/>
            <w:iCs/>
            <w:lang w:val="en-US"/>
          </w:rPr>
          <w:t>R</w:t>
        </w:r>
        <w:r>
          <w:rPr>
            <w:rStyle w:val="Style12"/>
            <w:i/>
            <w:iCs/>
          </w:rPr>
          <w:t>). Ενεργοποίηση νευρώνων M</w:t>
        </w:r>
        <w:r>
          <w:rPr>
            <w:rStyle w:val="Style12"/>
            <w:i/>
            <w:iCs/>
            <w:lang w:val="en-US"/>
          </w:rPr>
          <w:t>C</w:t>
        </w:r>
        <w:r>
          <w:rPr>
            <w:rStyle w:val="Style12"/>
            <w:i/>
            <w:iCs/>
          </w:rPr>
          <w:t>4 οδηγεί σε μείωση της πρόσληψης τροφής και αυξημένη ενεργειακή δαπάνη. Ο νευροτροφικός παράγοντας που προέρχεται από τον εγκέφαλο (B</w:t>
        </w:r>
        <w:r>
          <w:rPr>
            <w:rStyle w:val="Style12"/>
            <w:i/>
            <w:iCs/>
            <w:lang w:val="en-US"/>
          </w:rPr>
          <w:t>DNF</w:t>
        </w:r>
        <w:r>
          <w:rPr>
            <w:rStyle w:val="Style12"/>
            <w:i/>
            <w:iCs/>
          </w:rPr>
          <w:t>) ρυθμίζει τη συναπτική πλαστικότητα των νευρώνων που προκαλείται από τη λεπτίνη μέσω του υποδοχέα του νευροτροφικού υποδοχέα N</w:t>
        </w:r>
        <w:r>
          <w:rPr>
            <w:rStyle w:val="Style12"/>
            <w:i/>
            <w:iCs/>
            <w:lang w:val="en-US"/>
          </w:rPr>
          <w:t>TRK</w:t>
        </w:r>
        <w:r>
          <w:rPr>
            <w:rStyle w:val="Style12"/>
            <w:i/>
            <w:iCs/>
          </w:rPr>
          <w:t>2[75].</w:t>
        </w:r>
        <w:r>
          <w:rPr>
            <w:webHidden/>
          </w:rPr>
          <w:fldChar w:fldCharType="begin"/>
        </w:r>
        <w:r>
          <w:rPr>
            <w:webHidden/>
          </w:rPr>
          <w:instrText xml:space="preserve">PAGEREF _Toc152764772 \h</w:instrText>
        </w:r>
        <w:r>
          <w:rPr>
            <w:webHidden/>
          </w:rPr>
          <w:fldChar w:fldCharType="separate"/>
        </w:r>
        <w:r>
          <w:rPr>
            <w:rStyle w:val="Style12"/>
            <w:vanish w:val="false"/>
          </w:rPr>
          <w:tab/>
          <w:t>40</w:t>
        </w:r>
        <w:r>
          <w:rPr>
            <w:webHidden/>
          </w:rPr>
          <w:fldChar w:fldCharType="end"/>
        </w:r>
      </w:hyperlink>
    </w:p>
    <w:p>
      <w:pPr>
        <w:pStyle w:val="TableofFigures"/>
        <w:tabs>
          <w:tab w:val="clear" w:pos="720"/>
          <w:tab w:val="right" w:pos="8303" w:leader="dot"/>
        </w:tabs>
        <w:rPr>
          <w:rFonts w:ascii="Calibri" w:hAnsi="Calibri" w:eastAsia="" w:cs="" w:asciiTheme="minorHAnsi" w:cstheme="minorBidi" w:eastAsiaTheme="minorEastAsia" w:hAnsiTheme="minorHAnsi"/>
          <w:kern w:val="2"/>
          <w:sz w:val="24"/>
          <w:szCs w:val="24"/>
          <w:lang w:eastAsia="el-GR"/>
          <w14:ligatures w14:val="standardContextual"/>
        </w:rPr>
      </w:pPr>
      <w:hyperlink w:anchor="_Toc152764773">
        <w:r>
          <w:rPr>
            <w:rStyle w:val="Style12"/>
          </w:rPr>
          <w:t xml:space="preserve">Εικόνα 7: </w:t>
        </w:r>
        <w:r>
          <w:rPr>
            <w:rStyle w:val="Style12"/>
            <w:i/>
            <w:iCs/>
          </w:rPr>
          <w:t xml:space="preserve">Άλλη μια απεικόνιση της διαδρομής της λεπτίνης-μελανοκορτίνης. </w:t>
        </w:r>
        <w:r>
          <w:rPr>
            <w:rStyle w:val="Style12"/>
            <w:rFonts w:eastAsia="Calibri" w:cs="Times-Roman" w:ascii="Times-Roman" w:hAnsi="Times-Roman"/>
            <w:i/>
            <w:iCs/>
          </w:rPr>
          <w:t>Νευρώνες που εκφράζουν την προοπιομελανοκορτίνη (POMC) και σχετίζονται με την αγούτι πρωτεΐνη (AGRP) - οι νευρώνες που εκφράζουν εντός του τοξοειδούς πυρήνα του υποθαλάμου (ARC) ενεργούν για την αίσθηση της λεπτίνης που κυκλοφορεί επίπεδα (LEP), τα οποία αντικατοπτρίζουν τη μάζα λίπους. Αυτοί οι νευρώνες δίνουν σήμα στους νευρώνες που εκφράζουν τον υποδοχέα μελανοκορτίνης 4 (MC4R) στο παρακοιλιακός πυρήνας του υποθαλάμου (PVN), ο οποίος ελέγχει την όρεξη, συνδέοντας έτσι τις μακροπρόθεσμες αποθήκες ενέργειας με διατροφική συμπεριφορά. Η δέσμευση των σημαφορινών κατηγορίας 3 (SEMA3) στους υποδοχείς τους NRP και PLXNA επηρεάζει την προβολή των νευρώνων POMC στο PVN. Σύνδεση του νευροτροφικού παράγοντα που προέρχεται από τον εγκέφαλο (BDNF) με τον νευροτροφικό υποδοχέα του Η κινάση τυροσίνης 2 (NTRK2) πιστεύεται ότι είναι ένας τελεστής της συναπτικής πλαστικότητας των νευρώνων που προκαλείται από τη λεπτίνη, συμπεριλαμβανομένων εκείνων που το ARC και το PVN. Ο παράγοντας μεταγραφής SIM1 είναι ζωτικής σημασίας για τη σωστή ανάπτυξη του PVN. +, αγωνιστής; −, ανταγωνιστής; LEPR, υποδοχέας λεπτίνης; MRAP2, βοηθητική πρωτεΐνη υποδοχέα μελανοκορτίνης 2; MSH, ορμόνη διέγερσης μελανοκυττάρων. SH2B1, Πρωτεΐνη προσαρμογέα SH2B 1.</w:t>
        </w:r>
        <w:r>
          <w:rPr>
            <w:webHidden/>
          </w:rPr>
          <w:fldChar w:fldCharType="begin"/>
        </w:r>
        <w:r>
          <w:rPr>
            <w:webHidden/>
          </w:rPr>
          <w:instrText xml:space="preserve">PAGEREF _Toc152764773 \h</w:instrText>
        </w:r>
        <w:r>
          <w:rPr>
            <w:webHidden/>
          </w:rPr>
          <w:fldChar w:fldCharType="separate"/>
        </w:r>
        <w:r>
          <w:rPr>
            <w:rStyle w:val="Style12"/>
            <w:vanish w:val="false"/>
          </w:rPr>
          <w:tab/>
          <w:t>41</w:t>
        </w:r>
        <w:r>
          <w:rPr>
            <w:webHidden/>
          </w:rPr>
          <w:fldChar w:fldCharType="end"/>
        </w:r>
      </w:hyperlink>
    </w:p>
    <w:p>
      <w:pPr>
        <w:pStyle w:val="TableofFigures"/>
        <w:tabs>
          <w:tab w:val="clear" w:pos="720"/>
          <w:tab w:val="right" w:pos="8303" w:leader="dot"/>
        </w:tabs>
        <w:rPr>
          <w:rFonts w:ascii="Calibri" w:hAnsi="Calibri" w:eastAsia="" w:cs="" w:asciiTheme="minorHAnsi" w:cstheme="minorBidi" w:eastAsiaTheme="minorEastAsia" w:hAnsiTheme="minorHAnsi"/>
          <w:kern w:val="2"/>
          <w:sz w:val="24"/>
          <w:szCs w:val="24"/>
          <w:lang w:eastAsia="el-GR"/>
          <w14:ligatures w14:val="standardContextual"/>
        </w:rPr>
      </w:pPr>
      <w:hyperlink w:anchor="_Toc152764774">
        <w:r>
          <w:rPr>
            <w:rStyle w:val="Style12"/>
          </w:rPr>
          <w:t xml:space="preserve">Εικόνα 8: </w:t>
        </w:r>
        <w:r>
          <w:rPr>
            <w:rStyle w:val="Style12"/>
            <w:i/>
            <w:iCs/>
          </w:rPr>
          <w:t>Χαρακτηριστικά-κλειδιά Μονογενετικών και Πολυγενετικών Μορφών Παχυσαρκίας [44].</w:t>
        </w:r>
        <w:r>
          <w:rPr>
            <w:webHidden/>
          </w:rPr>
          <w:fldChar w:fldCharType="begin"/>
        </w:r>
        <w:r>
          <w:rPr>
            <w:webHidden/>
          </w:rPr>
          <w:instrText xml:space="preserve">PAGEREF _Toc152764774 \h</w:instrText>
        </w:r>
        <w:r>
          <w:rPr>
            <w:webHidden/>
          </w:rPr>
          <w:fldChar w:fldCharType="separate"/>
        </w:r>
        <w:r>
          <w:rPr>
            <w:rStyle w:val="Style12"/>
            <w:vanish w:val="false"/>
          </w:rPr>
          <w:tab/>
          <w:t>48</w:t>
        </w:r>
        <w:r>
          <w:rPr>
            <w:webHidden/>
          </w:rPr>
          <w:fldChar w:fldCharType="end"/>
        </w:r>
      </w:hyperlink>
    </w:p>
    <w:p>
      <w:pPr>
        <w:pStyle w:val="TableofFigures"/>
        <w:tabs>
          <w:tab w:val="clear" w:pos="720"/>
          <w:tab w:val="right" w:pos="8303" w:leader="dot"/>
        </w:tabs>
        <w:rPr>
          <w:rFonts w:ascii="Calibri" w:hAnsi="Calibri" w:eastAsia="" w:cs="" w:asciiTheme="minorHAnsi" w:cstheme="minorBidi" w:eastAsiaTheme="minorEastAsia" w:hAnsiTheme="minorHAnsi"/>
          <w:kern w:val="2"/>
          <w:sz w:val="24"/>
          <w:szCs w:val="24"/>
          <w:lang w:eastAsia="el-GR"/>
          <w14:ligatures w14:val="standardContextual"/>
        </w:rPr>
      </w:pPr>
      <w:hyperlink w:anchor="_Toc152764775">
        <w:r>
          <w:rPr>
            <w:rStyle w:val="Style12"/>
          </w:rPr>
          <w:t>Εικόνα 9:</w:t>
        </w:r>
        <w:r>
          <w:rPr>
            <w:rStyle w:val="Style12"/>
            <w:rFonts w:eastAsia="Calibri" w:cs="Times-Roman" w:ascii="Times-Roman" w:hAnsi="Times-Roman"/>
          </w:rPr>
          <w:t xml:space="preserve"> </w:t>
        </w:r>
        <w:r>
          <w:rPr>
            <w:rStyle w:val="Style12"/>
            <w:rFonts w:eastAsia="Calibri" w:cs="Times-Roman" w:ascii="Times-Roman" w:hAnsi="Times-Roman"/>
            <w:i/>
            <w:iCs/>
          </w:rPr>
          <w:t>Πρόβλεψη της παχυσαρκίας χρησιμοποιώντας μια πολυγονιδιακή βαθμολογία. Το αποτέλεσμα απεικονίζεται για μια πολυγονιδιακή βαθμολογία (PGS) που υποθέτει ότι τα άτομα με βαθμολογία στην υψηλότερη δεκαημέρια (≥90ο εκατοστημόριο (pct)) θα αναπτύξει παχυσαρκία, έχει θετική προγνωστική τιμή 0,4 και ευαισθησία 0,19. Από δέκα άτομα με υψηλή βαθμολογία που ταξινομείται από το PGS ως «με παχυσαρκία», θα ταξινομηθούν τέσσερις σωστά, αλλά οι άλλοι έξι θα ταξινομηθούν λάθος και δεν θα αναπτύξουν παχυσαρκία — θετική προγνωστική τιμή 0,4. Ομοίως, 17 από τα 90 άτομα με α βαθμολογία &lt;90ο ποσοστό που προβλέπεται ότι δεν θα αναπτύξουν παχυσαρκία, θα αναπτύξουν παχυσαρκία. Έτσι, μόνο τέσσερα από τα 21 άτομα που εμφάνισαν παχυσαρκία ήταν σωστά ταξινομημένο από το PGS — ευαισθησία 0,19. Εσφαλμένα ταξινομημένα άτομα είναι που υποδεικνύονται από τα κόκκινα πλαίσια, τα άτομα σωστά ταξινομημένα ως «με παχυσαρκία» υποδεικνύονται με ένα μπλε πλαίσιο [44].</w:t>
        </w:r>
        <w:r>
          <w:rPr>
            <w:webHidden/>
          </w:rPr>
          <w:fldChar w:fldCharType="begin"/>
        </w:r>
        <w:r>
          <w:rPr>
            <w:webHidden/>
          </w:rPr>
          <w:instrText xml:space="preserve">PAGEREF _Toc152764775 \h</w:instrText>
        </w:r>
        <w:r>
          <w:rPr>
            <w:webHidden/>
          </w:rPr>
          <w:fldChar w:fldCharType="separate"/>
        </w:r>
        <w:r>
          <w:rPr>
            <w:rStyle w:val="Style12"/>
            <w:vanish w:val="false"/>
          </w:rPr>
          <w:tab/>
          <w:t>49</w:t>
        </w:r>
        <w:r>
          <w:rPr>
            <w:webHidden/>
          </w:rPr>
          <w:fldChar w:fldCharType="end"/>
        </w:r>
      </w:hyperlink>
    </w:p>
    <w:p>
      <w:pPr>
        <w:pStyle w:val="TableofFigures"/>
        <w:tabs>
          <w:tab w:val="clear" w:pos="720"/>
          <w:tab w:val="right" w:pos="8303" w:leader="dot"/>
        </w:tabs>
        <w:rPr>
          <w:rFonts w:ascii="Calibri" w:hAnsi="Calibri" w:eastAsia="" w:cs="" w:asciiTheme="minorHAnsi" w:cstheme="minorBidi" w:eastAsiaTheme="minorEastAsia" w:hAnsiTheme="minorHAnsi"/>
          <w:kern w:val="2"/>
          <w:sz w:val="24"/>
          <w:szCs w:val="24"/>
          <w:lang w:eastAsia="el-GR"/>
          <w14:ligatures w14:val="standardContextual"/>
        </w:rPr>
      </w:pPr>
      <w:hyperlink w:anchor="_Toc152764776">
        <w:r>
          <w:rPr>
            <w:rStyle w:val="Style12"/>
          </w:rPr>
          <w:t xml:space="preserve">Εικόνα 10: </w:t>
        </w:r>
        <w:r>
          <w:rPr>
            <w:rStyle w:val="Style12"/>
            <w:i/>
            <w:iCs/>
          </w:rPr>
          <w:t>Επιγενετική κληρονομιά της παχυσαρκίας σε διαγενεατικό επίπεδο. Όταν ο γενετικός φόντος και η έκθεση στον τρόπο ζωής προκαλούν επιγενετικές τροποποιήσεις (μεθυλίωση του DNA, τροποποιήσεις στα ιστόνια και αλλαγές στα μη κωδικοποιητικά RNAs) στα γαμητικά κύτταρα μιας γυναίκας ή ενός άνδρα στη γενιά F0, η πρώτη γενιά που εμφανίζει διαγενεατική επιγενετική κληρονομιά είναι η F2. lncRNA, μακροπρωτεΐνη, μη κωδικοποιητικό RNA· ncRNA, μη κωδικοποιητικό RNA· miRNA, μικροRNA.[54]</w:t>
        </w:r>
        <w:r>
          <w:rPr>
            <w:webHidden/>
          </w:rPr>
          <w:fldChar w:fldCharType="begin"/>
        </w:r>
        <w:r>
          <w:rPr>
            <w:webHidden/>
          </w:rPr>
          <w:instrText xml:space="preserve">PAGEREF _Toc152764776 \h</w:instrText>
        </w:r>
        <w:r>
          <w:rPr>
            <w:webHidden/>
          </w:rPr>
          <w:fldChar w:fldCharType="separate"/>
        </w:r>
        <w:r>
          <w:rPr>
            <w:rStyle w:val="Style12"/>
            <w:vanish w:val="false"/>
          </w:rPr>
          <w:tab/>
          <w:t>52</w:t>
        </w:r>
        <w:r>
          <w:rPr>
            <w:webHidden/>
          </w:rPr>
          <w:fldChar w:fldCharType="end"/>
        </w:r>
      </w:hyperlink>
    </w:p>
    <w:p>
      <w:pPr>
        <w:pStyle w:val="TableofFigures"/>
        <w:tabs>
          <w:tab w:val="clear" w:pos="720"/>
          <w:tab w:val="right" w:pos="8303" w:leader="dot"/>
        </w:tabs>
        <w:rPr>
          <w:rFonts w:ascii="Calibri" w:hAnsi="Calibri" w:eastAsia="" w:cs="" w:asciiTheme="minorHAnsi" w:cstheme="minorBidi" w:eastAsiaTheme="minorEastAsia" w:hAnsiTheme="minorHAnsi"/>
          <w:kern w:val="2"/>
          <w:sz w:val="24"/>
          <w:szCs w:val="24"/>
          <w:lang w:eastAsia="el-GR"/>
          <w14:ligatures w14:val="standardContextual"/>
        </w:rPr>
      </w:pPr>
      <w:hyperlink w:anchor="_Toc152764777">
        <w:r>
          <w:rPr>
            <w:rStyle w:val="Style12"/>
          </w:rPr>
          <w:t xml:space="preserve">Εικόνα 11: </w:t>
        </w:r>
        <w:r>
          <w:rPr>
            <w:rStyle w:val="Style12"/>
            <w:i/>
            <w:iCs/>
          </w:rPr>
          <w:t>Κληρονομική προδιάθεση για παχυσαρκία κατά την εγκυμοσύνη και μετά τη γέννηση. (Α) Κατά τη διάρκεια της εγκυμοσύνης, η πλακέντα μιας γυναίκας που εκτίθεται σε έλλειψη διατροφής, υπέρτροφης διατροφής ή ουσιών που προκαλούν παχυσαρκία υφίσταται φλεγμονή, οξείδωση/νιτροξαίνηση, επισωματιδίωση λίπους και αντίσταση στην ινσουλίνη, αυξάνοντας τον κίνδυνο παχυσαρκίας και των συνοδών της νόσων στο νεογέννητο. (Β) Ο ίδιος κίνδυνος παχυσαρκίας και συνοδών νόσων στην πρώιμη ζωή μπορεί να συνδέεται με επιδημιολογικές αλλαγές που συμβαίνουν στο γάλα του μητρικού γάλακτος.[54]</w:t>
        </w:r>
        <w:r>
          <w:rPr>
            <w:webHidden/>
          </w:rPr>
          <w:fldChar w:fldCharType="begin"/>
        </w:r>
        <w:r>
          <w:rPr>
            <w:webHidden/>
          </w:rPr>
          <w:instrText xml:space="preserve">PAGEREF _Toc152764777 \h</w:instrText>
        </w:r>
        <w:r>
          <w:rPr>
            <w:webHidden/>
          </w:rPr>
          <w:fldChar w:fldCharType="separate"/>
        </w:r>
        <w:r>
          <w:rPr>
            <w:rStyle w:val="Style12"/>
            <w:vanish w:val="false"/>
          </w:rPr>
          <w:tab/>
          <w:t>56</w:t>
        </w:r>
        <w:r>
          <w:rPr>
            <w:webHidden/>
          </w:rPr>
          <w:fldChar w:fldCharType="end"/>
        </w:r>
      </w:hyperlink>
    </w:p>
    <w:p>
      <w:pPr>
        <w:pStyle w:val="TableofFigures"/>
        <w:tabs>
          <w:tab w:val="clear" w:pos="720"/>
          <w:tab w:val="right" w:pos="8303" w:leader="dot"/>
        </w:tabs>
        <w:rPr>
          <w:rFonts w:ascii="Calibri" w:hAnsi="Calibri" w:eastAsia="" w:cs="" w:asciiTheme="minorHAnsi" w:cstheme="minorBidi" w:eastAsiaTheme="minorEastAsia" w:hAnsiTheme="minorHAnsi"/>
          <w:kern w:val="2"/>
          <w:sz w:val="24"/>
          <w:szCs w:val="24"/>
          <w:lang w:eastAsia="el-GR"/>
          <w14:ligatures w14:val="standardContextual"/>
        </w:rPr>
      </w:pPr>
      <w:hyperlink w:anchor="_Toc152764778">
        <w:r>
          <w:rPr>
            <w:rStyle w:val="Style12"/>
          </w:rPr>
          <w:t xml:space="preserve">Εικόνα 12: </w:t>
        </w:r>
        <w:r>
          <w:rPr>
            <w:rStyle w:val="Style12"/>
            <w:i/>
            <w:iCs/>
          </w:rPr>
          <w:t>Χρονοδιάγραμμα της ανάπτυξης G</w:t>
        </w:r>
        <w:r>
          <w:rPr>
            <w:rStyle w:val="Style12"/>
            <w:i/>
            <w:iCs/>
            <w:lang w:val="en-US"/>
          </w:rPr>
          <w:t>WAS</w:t>
        </w:r>
        <w:r>
          <w:rPr>
            <w:rStyle w:val="Style12"/>
            <w:i/>
            <w:iCs/>
          </w:rPr>
          <w:t xml:space="preserve"> για ΔΜΣ στην παιδική ηλικία, λίπος σώματος και παχυσαρκίας τα τελευταία 15 χρόνια [189].</w:t>
        </w:r>
        <w:r>
          <w:rPr>
            <w:webHidden/>
          </w:rPr>
          <w:fldChar w:fldCharType="begin"/>
        </w:r>
        <w:r>
          <w:rPr>
            <w:webHidden/>
          </w:rPr>
          <w:instrText xml:space="preserve">PAGEREF _Toc152764778 \h</w:instrText>
        </w:r>
        <w:r>
          <w:rPr>
            <w:webHidden/>
          </w:rPr>
          <w:fldChar w:fldCharType="separate"/>
        </w:r>
        <w:r>
          <w:rPr>
            <w:rStyle w:val="Style12"/>
            <w:vanish w:val="false"/>
          </w:rPr>
          <w:tab/>
          <w:t>79</w:t>
        </w:r>
        <w:r>
          <w:rPr>
            <w:webHidden/>
          </w:rPr>
          <w:fldChar w:fldCharType="end"/>
        </w:r>
      </w:hyperlink>
    </w:p>
    <w:p>
      <w:pPr>
        <w:pStyle w:val="TableofFigures"/>
        <w:tabs>
          <w:tab w:val="clear" w:pos="720"/>
          <w:tab w:val="right" w:pos="8303" w:leader="dot"/>
        </w:tabs>
        <w:rPr>
          <w:rFonts w:ascii="Calibri" w:hAnsi="Calibri" w:eastAsia="" w:cs="" w:asciiTheme="minorHAnsi" w:cstheme="minorBidi" w:eastAsiaTheme="minorEastAsia" w:hAnsiTheme="minorHAnsi"/>
          <w:kern w:val="2"/>
          <w:sz w:val="24"/>
          <w:szCs w:val="24"/>
          <w:lang w:eastAsia="el-GR"/>
          <w14:ligatures w14:val="standardContextual"/>
        </w:rPr>
      </w:pPr>
      <w:hyperlink w:anchor="_Toc152764779">
        <w:r>
          <w:rPr>
            <w:rStyle w:val="Style12"/>
          </w:rPr>
          <w:t xml:space="preserve">Εικόνα 13: </w:t>
        </w:r>
        <w:r>
          <w:rPr>
            <w:rStyle w:val="Style12"/>
            <w:i/>
            <w:iCs/>
          </w:rPr>
          <w:t xml:space="preserve">Το διάγραμμα </w:t>
        </w:r>
        <w:r>
          <w:rPr>
            <w:rStyle w:val="Style12"/>
            <w:i/>
            <w:iCs/>
            <w:lang w:val="en-US"/>
          </w:rPr>
          <w:t>sunburst</w:t>
        </w:r>
        <w:r>
          <w:rPr>
            <w:rStyle w:val="Style12"/>
            <w:i/>
            <w:iCs/>
          </w:rPr>
          <w:t xml:space="preserve"> των S</w:t>
        </w:r>
        <w:r>
          <w:rPr>
            <w:rStyle w:val="Style12"/>
            <w:i/>
            <w:iCs/>
            <w:lang w:val="en-US"/>
          </w:rPr>
          <w:t>NPs</w:t>
        </w:r>
        <w:r>
          <w:rPr>
            <w:rStyle w:val="Style12"/>
            <w:i/>
            <w:iCs/>
          </w:rPr>
          <w:t xml:space="preserve"> αντιστοιίζει τα πλησιέστερα γονίδια για κάθε φαινότυπο. Το πιο εσωτερικό στρώμα αντιπροσωπεύει τρεις φαινότυπους. Το μεσαίο στρώμα είναι το πλησιέστερο γονίδιο στα S</w:t>
        </w:r>
        <w:r>
          <w:rPr>
            <w:rStyle w:val="Style12"/>
            <w:i/>
            <w:iCs/>
            <w:lang w:val="en-US"/>
          </w:rPr>
          <w:t>NPs</w:t>
        </w:r>
        <w:r>
          <w:rPr>
            <w:rStyle w:val="Style12"/>
            <w:i/>
            <w:iCs/>
          </w:rPr>
          <w:t>. Το πιο εξωτερικό στρώμα δείχνει τον αριθμό r</w:t>
        </w:r>
        <w:r>
          <w:rPr>
            <w:rStyle w:val="Style12"/>
            <w:i/>
            <w:iCs/>
            <w:lang w:val="en-US"/>
          </w:rPr>
          <w:t>sID</w:t>
        </w:r>
        <w:r>
          <w:rPr>
            <w:rStyle w:val="Style12"/>
            <w:i/>
            <w:iCs/>
          </w:rPr>
          <w:t xml:space="preserve"> των </w:t>
        </w:r>
        <w:r>
          <w:rPr>
            <w:rStyle w:val="Style12"/>
            <w:i/>
            <w:iCs/>
            <w:lang w:val="en-US"/>
          </w:rPr>
          <w:t>SNPs</w:t>
        </w:r>
        <w:r>
          <w:rPr>
            <w:rStyle w:val="Style12"/>
            <w:i/>
            <w:iCs/>
          </w:rPr>
          <w:t xml:space="preserve"> με σημασία συσχέτισης σε όλο το γονιδίωμα [189].</w:t>
        </w:r>
        <w:r>
          <w:rPr>
            <w:webHidden/>
          </w:rPr>
          <w:fldChar w:fldCharType="begin"/>
        </w:r>
        <w:r>
          <w:rPr>
            <w:webHidden/>
          </w:rPr>
          <w:instrText xml:space="preserve">PAGEREF _Toc152764779 \h</w:instrText>
        </w:r>
        <w:r>
          <w:rPr>
            <w:webHidden/>
          </w:rPr>
          <w:fldChar w:fldCharType="separate"/>
        </w:r>
        <w:r>
          <w:rPr>
            <w:rStyle w:val="Style12"/>
            <w:vanish w:val="false"/>
          </w:rPr>
          <w:tab/>
          <w:t>81</w:t>
        </w:r>
        <w:r>
          <w:rPr>
            <w:webHidden/>
          </w:rPr>
          <w:fldChar w:fldCharType="end"/>
        </w:r>
      </w:hyperlink>
    </w:p>
    <w:p>
      <w:pPr>
        <w:pStyle w:val="TableofFigures"/>
        <w:tabs>
          <w:tab w:val="clear" w:pos="720"/>
          <w:tab w:val="right" w:pos="8303" w:leader="dot"/>
        </w:tabs>
        <w:rPr>
          <w:rFonts w:ascii="Calibri" w:hAnsi="Calibri" w:eastAsia="" w:cs="" w:asciiTheme="minorHAnsi" w:cstheme="minorBidi" w:eastAsiaTheme="minorEastAsia" w:hAnsiTheme="minorHAnsi"/>
          <w:kern w:val="2"/>
          <w:sz w:val="24"/>
          <w:szCs w:val="24"/>
          <w:lang w:eastAsia="el-GR"/>
          <w14:ligatures w14:val="standardContextual"/>
        </w:rPr>
      </w:pPr>
      <w:hyperlink w:anchor="_Toc152764780">
        <w:r>
          <w:rPr>
            <w:rStyle w:val="Style12"/>
          </w:rPr>
          <w:t xml:space="preserve">Εικόνα 14: </w:t>
        </w:r>
        <w:r>
          <w:rPr>
            <w:rStyle w:val="Style12"/>
            <w:rFonts w:eastAsia="Calibri" w:cs="Times-Italic" w:ascii="Times-Italic" w:hAnsi="Times-Italic"/>
            <w:i/>
            <w:iCs/>
          </w:rPr>
          <w:t>Αποτελέσματα της ανάλυσης εμπλουτισμού σε ιστούς, μονοπάτια και ασθένειες. (Α) Το γράφημα ράβδων υποδεικνύει την τιμή p της ανάλυσης εμπλουτισμού 55 πλησιέστερων γονιδίων σε 30 γενικούς και 54 ειδικούς τύπους ιστών από τη βάση δεδομένων GTEx v8. Ο διαδραστικός χάρτης θερμότητας δείχνει την έκφραση κάθε γονιδίου. (Β) Το ραβδόγραμμα υποδεικνύει την ανάλυση εμπλουτισμού των μονοπατιών go και των μονοπατιών Wiki. (Γ) Υποδεικνύει τα αποτελέσματα της ανάλυσης εμπλουτισμού της νόσου, με το ραβδόγραμμα να δείχνει την τιμή p και το γραμμικό γράφημα να δείχνει την αναλογία εμπλουτισμού [189].</w:t>
        </w:r>
        <w:r>
          <w:rPr>
            <w:webHidden/>
          </w:rPr>
          <w:fldChar w:fldCharType="begin"/>
        </w:r>
        <w:r>
          <w:rPr>
            <w:webHidden/>
          </w:rPr>
          <w:instrText xml:space="preserve">PAGEREF _Toc152764780 \h</w:instrText>
        </w:r>
        <w:r>
          <w:rPr>
            <w:webHidden/>
          </w:rPr>
          <w:fldChar w:fldCharType="separate"/>
        </w:r>
        <w:r>
          <w:rPr>
            <w:rStyle w:val="Style12"/>
            <w:vanish w:val="false"/>
          </w:rPr>
          <w:tab/>
          <w:t>84</w:t>
        </w:r>
        <w:r>
          <w:rPr>
            <w:webHidden/>
          </w:rPr>
          <w:fldChar w:fldCharType="end"/>
        </w:r>
      </w:hyperlink>
      <w:r>
        <w:rPr>
          <w:rStyle w:val="Style12"/>
          <w:vanish w:val="false"/>
        </w:rPr>
        <w:fldChar w:fldCharType="end"/>
      </w:r>
    </w:p>
    <w:p>
      <w:pPr>
        <w:pStyle w:val="Normal"/>
        <w:rPr/>
      </w:pPr>
      <w:r>
        <w:rPr/>
      </w:r>
    </w:p>
    <w:p>
      <w:pPr>
        <w:pStyle w:val="Normal"/>
        <w:rPr/>
      </w:pPr>
      <w:r>
        <w:rPr/>
      </w:r>
    </w:p>
    <w:p>
      <w:pPr>
        <w:pStyle w:val="Heading1"/>
        <w:jc w:val="center"/>
        <w:rPr>
          <w:rFonts w:ascii="Times New Roman" w:hAnsi="Times New Roman"/>
        </w:rPr>
      </w:pPr>
      <w:bookmarkStart w:id="6" w:name="_Toc154923805"/>
      <w:bookmarkStart w:id="7" w:name="_Toc103619698"/>
      <w:bookmarkStart w:id="8" w:name="_Toc73896039"/>
      <w:r>
        <w:rPr>
          <w:rFonts w:ascii="Times New Roman" w:hAnsi="Times New Roman"/>
        </w:rPr>
        <w:t>Ευρετήριο Πινάκων</w:t>
      </w:r>
      <w:bookmarkEnd w:id="6"/>
      <w:bookmarkEnd w:id="7"/>
      <w:bookmarkEnd w:id="8"/>
    </w:p>
    <w:p>
      <w:pPr>
        <w:pStyle w:val="TableofFigures"/>
        <w:tabs>
          <w:tab w:val="clear" w:pos="720"/>
          <w:tab w:val="right" w:pos="8303" w:leader="dot"/>
        </w:tabs>
        <w:rPr>
          <w:rFonts w:ascii="Calibri" w:hAnsi="Calibri" w:eastAsia="" w:cs="" w:asciiTheme="minorHAnsi" w:cstheme="minorBidi" w:eastAsiaTheme="minorEastAsia" w:hAnsiTheme="minorHAnsi"/>
          <w:kern w:val="2"/>
          <w:sz w:val="24"/>
          <w:szCs w:val="24"/>
          <w:lang w:eastAsia="el-GR"/>
          <w14:ligatures w14:val="standardContextual"/>
        </w:rPr>
      </w:pPr>
      <w:r>
        <w:fldChar w:fldCharType="begin"/>
      </w:r>
      <w:r>
        <w:rPr>
          <w:rStyle w:val="Style12"/>
        </w:rPr>
        <w:instrText xml:space="preserve"> TOC \c "Πίνακας" \h </w:instrText>
      </w:r>
      <w:r>
        <w:rPr>
          <w:rStyle w:val="Style12"/>
        </w:rPr>
        <w:fldChar w:fldCharType="separate"/>
      </w:r>
      <w:hyperlink w:anchor="_Toc151291300">
        <w:r>
          <w:rPr>
            <w:rStyle w:val="Style12"/>
          </w:rPr>
          <w:t xml:space="preserve">Πίνακας 1: </w:t>
        </w:r>
        <w:r>
          <w:rPr>
            <w:rStyle w:val="Style12"/>
            <w:i/>
            <w:iCs/>
          </w:rPr>
          <w:t>Οι πιο κοινές μορφές συνδρομικής παχυσαρκίας[59].</w:t>
        </w:r>
        <w:r>
          <w:rPr>
            <w:webHidden/>
          </w:rPr>
          <w:fldChar w:fldCharType="begin"/>
        </w:r>
        <w:r>
          <w:rPr>
            <w:webHidden/>
          </w:rPr>
          <w:instrText xml:space="preserve">PAGEREF _Toc151291300 \h</w:instrText>
        </w:r>
        <w:r>
          <w:rPr>
            <w:webHidden/>
          </w:rPr>
          <w:fldChar w:fldCharType="separate"/>
        </w:r>
        <w:r>
          <w:rPr>
            <w:rStyle w:val="Style12"/>
            <w:vanish w:val="false"/>
          </w:rPr>
          <w:tab/>
          <w:t>37</w:t>
        </w:r>
        <w:r>
          <w:rPr>
            <w:webHidden/>
          </w:rPr>
          <w:fldChar w:fldCharType="end"/>
        </w:r>
      </w:hyperlink>
    </w:p>
    <w:p>
      <w:pPr>
        <w:pStyle w:val="TableofFigures"/>
        <w:tabs>
          <w:tab w:val="clear" w:pos="720"/>
          <w:tab w:val="right" w:pos="8303" w:leader="dot"/>
        </w:tabs>
        <w:rPr>
          <w:rFonts w:ascii="Calibri" w:hAnsi="Calibri" w:eastAsia="" w:cs="" w:asciiTheme="minorHAnsi" w:cstheme="minorBidi" w:eastAsiaTheme="minorEastAsia" w:hAnsiTheme="minorHAnsi"/>
          <w:kern w:val="2"/>
          <w:sz w:val="24"/>
          <w:szCs w:val="24"/>
          <w:lang w:eastAsia="el-GR"/>
          <w14:ligatures w14:val="standardContextual"/>
        </w:rPr>
      </w:pPr>
      <w:hyperlink w:anchor="_Toc151291301">
        <w:r>
          <w:rPr>
            <w:rStyle w:val="Style12"/>
          </w:rPr>
          <w:t xml:space="preserve">Πίνακας 2: </w:t>
        </w:r>
        <w:r>
          <w:rPr>
            <w:rStyle w:val="Style12"/>
            <w:i/>
            <w:iCs/>
          </w:rPr>
          <w:t>Πιο κοινές μορφές μη-συνδρομικής μονογενετικής παχυσαρκίας [59].</w:t>
        </w:r>
        <w:r>
          <w:rPr>
            <w:webHidden/>
          </w:rPr>
          <w:fldChar w:fldCharType="begin"/>
        </w:r>
        <w:r>
          <w:rPr>
            <w:webHidden/>
          </w:rPr>
          <w:instrText xml:space="preserve">PAGEREF _Toc151291301 \h</w:instrText>
        </w:r>
        <w:r>
          <w:rPr>
            <w:webHidden/>
          </w:rPr>
          <w:fldChar w:fldCharType="separate"/>
        </w:r>
        <w:r>
          <w:rPr>
            <w:rStyle w:val="Style12"/>
            <w:vanish w:val="false"/>
          </w:rPr>
          <w:tab/>
          <w:t>43</w:t>
        </w:r>
        <w:r>
          <w:rPr>
            <w:webHidden/>
          </w:rPr>
          <w:fldChar w:fldCharType="end"/>
        </w:r>
      </w:hyperlink>
    </w:p>
    <w:p>
      <w:pPr>
        <w:pStyle w:val="TableofFigures"/>
        <w:tabs>
          <w:tab w:val="clear" w:pos="720"/>
          <w:tab w:val="right" w:pos="8303" w:leader="dot"/>
        </w:tabs>
        <w:rPr>
          <w:rFonts w:ascii="Calibri" w:hAnsi="Calibri" w:eastAsia="" w:cs="" w:asciiTheme="minorHAnsi" w:cstheme="minorBidi" w:eastAsiaTheme="minorEastAsia" w:hAnsiTheme="minorHAnsi"/>
          <w:kern w:val="2"/>
          <w:sz w:val="24"/>
          <w:szCs w:val="24"/>
          <w:lang w:eastAsia="el-GR"/>
          <w14:ligatures w14:val="standardContextual"/>
        </w:rPr>
      </w:pPr>
      <w:hyperlink w:anchor="_Toc151291302">
        <w:r>
          <w:rPr>
            <w:rStyle w:val="Style12"/>
          </w:rPr>
          <w:t xml:space="preserve">Πίνακας 3: </w:t>
        </w:r>
        <w:r>
          <w:rPr>
            <w:rStyle w:val="Style12"/>
            <w:i/>
            <w:iCs/>
          </w:rPr>
          <w:t>Γενετικοί καθοριστικοί παράγοντες στην πολυγονιδιακή παχυσαρκία των παιδιών.</w:t>
        </w:r>
        <w:r>
          <w:rPr>
            <w:rStyle w:val="Style12"/>
            <w:i/>
            <w:iCs/>
            <w:lang w:val="en-US"/>
          </w:rPr>
          <w:t>[79]</w:t>
        </w:r>
        <w:r>
          <w:rPr>
            <w:webHidden/>
          </w:rPr>
          <w:fldChar w:fldCharType="begin"/>
        </w:r>
        <w:r>
          <w:rPr>
            <w:webHidden/>
          </w:rPr>
          <w:instrText xml:space="preserve">PAGEREF _Toc151291302 \h</w:instrText>
        </w:r>
        <w:r>
          <w:rPr>
            <w:webHidden/>
          </w:rPr>
          <w:fldChar w:fldCharType="separate"/>
        </w:r>
        <w:r>
          <w:rPr>
            <w:rStyle w:val="Style12"/>
            <w:vanish w:val="false"/>
          </w:rPr>
          <w:tab/>
          <w:t>44</w:t>
        </w:r>
        <w:r>
          <w:rPr>
            <w:webHidden/>
          </w:rPr>
          <w:fldChar w:fldCharType="end"/>
        </w:r>
      </w:hyperlink>
    </w:p>
    <w:p>
      <w:pPr>
        <w:pStyle w:val="TableofFigures"/>
        <w:tabs>
          <w:tab w:val="clear" w:pos="720"/>
          <w:tab w:val="right" w:pos="8303" w:leader="dot"/>
        </w:tabs>
        <w:rPr>
          <w:rFonts w:ascii="Calibri" w:hAnsi="Calibri" w:eastAsia="" w:cs="" w:asciiTheme="minorHAnsi" w:cstheme="minorBidi" w:eastAsiaTheme="minorEastAsia" w:hAnsiTheme="minorHAnsi"/>
          <w:kern w:val="2"/>
          <w:sz w:val="24"/>
          <w:szCs w:val="24"/>
          <w:lang w:eastAsia="el-GR"/>
          <w14:ligatures w14:val="standardContextual"/>
        </w:rPr>
      </w:pPr>
      <w:hyperlink w:anchor="_Toc151291303">
        <w:r>
          <w:rPr>
            <w:rStyle w:val="Style12"/>
          </w:rPr>
          <w:t xml:space="preserve">Πίνακας 4: </w:t>
        </w:r>
        <w:r>
          <w:rPr>
            <w:rStyle w:val="Style12"/>
            <w:i/>
            <w:iCs/>
          </w:rPr>
          <w:t>Τα 10 πιο κοινά γονίδια (l</w:t>
        </w:r>
        <w:r>
          <w:rPr>
            <w:rStyle w:val="Style12"/>
            <w:i/>
            <w:iCs/>
            <w:lang w:val="en-US"/>
          </w:rPr>
          <w:t>oci</w:t>
        </w:r>
        <w:r>
          <w:rPr>
            <w:rStyle w:val="Style12"/>
            <w:i/>
            <w:iCs/>
          </w:rPr>
          <w:t>) που σχετίζονται με την παιδική παχυσαρκία.[59]</w:t>
        </w:r>
        <w:r>
          <w:rPr>
            <w:webHidden/>
          </w:rPr>
          <w:fldChar w:fldCharType="begin"/>
        </w:r>
        <w:r>
          <w:rPr>
            <w:webHidden/>
          </w:rPr>
          <w:instrText xml:space="preserve">PAGEREF _Toc151291303 \h</w:instrText>
        </w:r>
        <w:r>
          <w:rPr>
            <w:webHidden/>
          </w:rPr>
          <w:fldChar w:fldCharType="separate"/>
        </w:r>
        <w:r>
          <w:rPr>
            <w:rStyle w:val="Style12"/>
            <w:vanish w:val="false"/>
          </w:rPr>
          <w:tab/>
          <w:t>48</w:t>
        </w:r>
        <w:r>
          <w:rPr>
            <w:webHidden/>
          </w:rPr>
          <w:fldChar w:fldCharType="end"/>
        </w:r>
      </w:hyperlink>
      <w:r>
        <w:rPr>
          <w:rStyle w:val="Style12"/>
          <w:vanish w:val="false"/>
        </w:rPr>
        <w:fldChar w:fldCharType="end"/>
      </w:r>
    </w:p>
    <w:p>
      <w:pPr>
        <w:pStyle w:val="Heading1"/>
        <w:spacing w:lineRule="auto" w:line="240"/>
        <w:jc w:val="left"/>
        <w:rPr>
          <w:rFonts w:ascii="Times New Roman" w:hAnsi="Times New Roman"/>
        </w:rPr>
      </w:pPr>
      <w:r>
        <w:rPr>
          <w:rFonts w:ascii="Times New Roman" w:hAnsi="Times New Roman"/>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Heading1"/>
        <w:jc w:val="center"/>
        <w:rPr>
          <w:rFonts w:ascii="Times New Roman" w:hAnsi="Times New Roman"/>
        </w:rPr>
      </w:pPr>
      <w:bookmarkStart w:id="9" w:name="_Toc154923806"/>
      <w:bookmarkStart w:id="10" w:name="_Toc103619699"/>
      <w:bookmarkStart w:id="11" w:name="_Toc73896040"/>
      <w:r>
        <w:rPr>
          <w:rFonts w:ascii="Times New Roman" w:hAnsi="Times New Roman"/>
          <w:lang w:val="en-US"/>
        </w:rPr>
        <w:t>E</w:t>
      </w:r>
      <w:r>
        <w:rPr>
          <w:rFonts w:ascii="Times New Roman" w:hAnsi="Times New Roman"/>
        </w:rPr>
        <w:t>ισαγωγή</w:t>
      </w:r>
      <w:bookmarkEnd w:id="1"/>
      <w:bookmarkEnd w:id="2"/>
      <w:bookmarkEnd w:id="9"/>
      <w:bookmarkEnd w:id="10"/>
      <w:bookmarkEnd w:id="11"/>
    </w:p>
    <w:p>
      <w:pPr>
        <w:pStyle w:val="Normal"/>
        <w:rPr/>
      </w:pPr>
      <w:r>
        <w:rPr/>
      </w:r>
    </w:p>
    <w:p>
      <w:pPr>
        <w:pStyle w:val="Normal"/>
        <w:rPr>
          <w:rFonts w:ascii="Times" w:hAnsi="Times" w:eastAsia="Calibri" w:cs="Times"/>
          <w:color w:val="18191B"/>
        </w:rPr>
      </w:pPr>
      <w:r>
        <w:rPr>
          <w:rFonts w:eastAsia="Calibri" w:cs="Times" w:ascii="Times" w:hAnsi="Times"/>
          <w:color w:val="18191B"/>
        </w:rPr>
      </w:r>
    </w:p>
    <w:p>
      <w:pPr>
        <w:pStyle w:val="Normal"/>
        <w:spacing w:lineRule="auto" w:line="360"/>
        <w:jc w:val="both"/>
        <w:rPr>
          <w:rFonts w:ascii="Times-Roman" w:hAnsi="Times-Roman" w:eastAsia="Calibri" w:cs="Times-Roman"/>
          <w:color w:val="18191B"/>
        </w:rPr>
      </w:pPr>
      <w:r>
        <w:rPr>
          <w:rFonts w:eastAsia="Calibri" w:cs="Times" w:ascii="Times" w:hAnsi="Times"/>
          <w:color w:val="18191B"/>
        </w:rPr>
        <w:tab/>
      </w:r>
      <w:r>
        <w:rPr>
          <w:rFonts w:eastAsia="Calibri" w:cs="Times-Roman" w:ascii="Times-Roman" w:hAnsi="Times-Roman"/>
          <w:color w:val="18191B"/>
        </w:rPr>
        <w:t xml:space="preserve">Η παιδική παχυσαρκία έχει γίνει πράγματι μια παγκόσμια κρίση δημόσιας υγείας, φθάνοντας σε επίπεδα επιδημίας τόσο στις ανεπτυγμένες όσο και στις αναπτυσσόμενες χώρες </w:t>
      </w:r>
      <w:r>
        <w:fldChar w:fldCharType="begin"/>
      </w:r>
      <w:r>
        <w:rPr>
          <w:rFonts w:eastAsia="Calibri" w:cs="Times-Roman" w:ascii="Times-Roman" w:hAnsi="Times-Roman"/>
          <w:color w:val="18191B"/>
        </w:rPr>
        <w:instrText xml:space="preserve">ADDIN ZOTERO_ITEM CSL_CITATION {"citationID":"5PnEQnbj","properties":{"formattedCitation":"[1], [2]","plainCitation":"[1], [2]","noteIndex":0},"citationItems":[{"id":2510,"uris":["http://zotero.org/users/local/WDVvZTBM/items/V7NFZ3IP"],"itemData":{"id":2510,"type":"article-journal","container-title":"International Review of Psychiatry","DOI":"10.3109/09540261.2012.688195","title":"The Global Childhood Obesity Epidemic and the Association Between Socio-Economic Status and Childhood Obesity","author":[{"family":"Wang","given":"Youfa"},{"family":"Lim","given":"Hyunjung"}],"issued":{"date-parts":[["2012"]]}}},{"id":2511,"uris":["http://zotero.org/users/local/WDVvZTBM/items/EMW99547"],"itemData":{"id":2511,"type":"article-journal","container-title":"Journal of Family Medicine and Primary Care","DOI":"10.4103/2249-4863.154628","title":"Childhood Obesity: Causes and Consequences","author":[{"family":"Sahoo","given":"Krushnapriya"},{"family":"Sahoo","given":"Bishnupriya"},{"family":"Choudhury","given":"Ashok"},{"family":"Sofi","given":"Nighat Yasin"},{"family":"Kumar","given":"Raman"},{"family":"Bhadoria","given":"Ajeet Singh"}],"issued":{"date-parts":[["2015"]]}}}],"schema":"https://github.com/citation-style-language/schema/raw/master/csl-citation.json"}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 [2]</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Αυτή η κρίση σχετίζεται με αυξημένο κίνδυνο για άλλες ασθένειες όχι μόνο κατά τη διάρκεια της νεαρής ηλικίας αλλά και αργότερα στη ζωή, συμπεριλαμβανομένου του διαβήτη, της αρτηριακής υπέρτασης, της στεφανιαίας νόσου και της λιπώδους νόσου του ήπατος </w:t>
      </w:r>
      <w:r>
        <w:fldChar w:fldCharType="begin"/>
      </w:r>
      <w:r>
        <w:rPr>
          <w:rFonts w:eastAsia="Calibri" w:cs="Times-Roman" w:ascii="Times-Roman" w:hAnsi="Times-Roman"/>
          <w:color w:val="18191B"/>
        </w:rPr>
        <w:instrText xml:space="preserve">ADDIN ZOTERO_ITEM CSL_CITATION {"citationID":"siaqXoQU","properties":{"formattedCitation":"[3]","plainCitation":"[3]","noteIndex":0},"citationItems":[{"id":2512,"uris":["http://zotero.org/users/local/WDVvZTBM/items/MS8GQ9DF"],"itemData":{"id":2512,"type":"article-journal","container-title":"Acta Pharmacologica Sinica","DOI":"10.1038/aps.2011.204","title":"Childhood Obesity: A Life-Long Health Risk","author":[{"family":"Barton","given":"Matthias"}],"issued":{"date-parts":[["2012"]]}}}],"schema":"https://github.com/citation-style-language/schema/raw/master/csl-citation.json"}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[3]</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Η επικράτηση και κυριάρχηση της παιδικής παχυσαρκίας έχει αυξηθεί σημαντικά τα τελευταία χρόνια, υποδεικνύοντας ότι ο σύγχρονος τρόπος ζωής είναι ένας παράγοντας ενεργοποίησης για έρευνα σχετικά με τη γενετική ευαισθησία </w:t>
      </w:r>
      <w:r>
        <w:fldChar w:fldCharType="begin"/>
      </w:r>
      <w:r>
        <w:rPr>
          <w:rFonts w:eastAsia="Calibri" w:cs="Times-Roman" w:ascii="Times-Roman" w:hAnsi="Times-Roman"/>
          <w:color w:val="18191B"/>
        </w:rPr>
        <w:instrText xml:space="preserve">ADDIN ZOTERO_ITEM CSL_CITATION {"citationID":"OdphOdv1","properties":{"formattedCitation":"[4]","plainCitation":"[4]","noteIndex":0},"citationItems":[{"id":2513,"uris":["http://zotero.org/users/local/WDVvZTBM/items/5JDV2A6U"],"itemData":{"id":2513,"type":"article-journal","container-title":"Acta Paediatrica","DOI":"10.1111/j.1651-2227.2005.tb02125.x","title":"Dietitians and Exercise Professionals in a Childhood Obesity Treatment Team","author":[{"family":"Nowicka","given":"Paulina"}],"issued":{"date-parts":[["2005"]]}}}],"schema":"https://github.com/citation-style-language/schema/raw/master/csl-citation.json"}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[4]</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Είναι μια μεγάλη κρίση δημόσιας υγείας σε εθνικό και διεθνές επίπεδο και είναι μια από τις πιο σοβαρές προκλήσεις δημόσιας υγείας στον 21ο αιώνα </w:t>
      </w:r>
      <w:r>
        <w:fldChar w:fldCharType="begin"/>
      </w:r>
      <w:r>
        <w:rPr>
          <w:rFonts w:eastAsia="Calibri" w:cs="Times-Roman" w:ascii="Times-Roman" w:hAnsi="Times-Roman"/>
          <w:color w:val="18191B"/>
        </w:rPr>
        <w:instrText xml:space="preserve">ADDIN ZOTERO_ITEM CSL_CITATION {"citationID":"FxzeirG2","properties":{"formattedCitation":"[5], [6]","plainCitation":"[5], [6]","noteIndex":0},"citationItems":[{"id":2514,"uris":["http://zotero.org/users/local/WDVvZTBM/items/HZKADSVS"],"itemData":{"id":2514,"type":"article-journal","DOI":"10.1201/b18227-3","title":"Childhood Obesity: A Global Public Health Crisis","author":[{"family":"Karnik","given":"Sameera"},{"family":"Kanekar","given":"Amar"}],"issued":{"date-parts":[["2015"]]}}},{"id":2515,"uris":["http://zotero.org/users/local/WDVvZTBM/items/UU67EH7J"],"itemData":{"id":2515,"type":"article-journal","container-title":"Journal of Internal Medicine Science &amp; Art","DOI":"10.36013/jimsa.v2i1.73","title":"Parents’ Perception on Childhood Obesity and Its Prevention; A Population-Based Observational Study in Jazan, Saudi Arabia With Intention to Develop Self Instructional Module","author":[{"family":"Dharmarajlu","given":"Santhi Muttipoll"},{"family":"Alharbi","given":"Miameen"},{"family":"Almodeer","given":"Munira"},{"family":"Abdullah","given":"Salma"},{"family":"Ageel","given":"Taif"},{"family":"Abkr","given":"Samaher"}],"issued":{"date-parts":[["2021"]]}}}],"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[5], [6]</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Η παιδική και η εφηβική παχυσαρκία σχετίζονται με σοβαρές συννοσηρότητες όπως ο σακχαρώδης διαβήτης τύπου 2, η υπερλιπιδαιμία και η υπέρταση. Επιπλέον, η παιδική παχυσαρκία είναι ένας παράγοντας κινδύνου για τη νόσο των ενηλίκων, με περίπου το 30% της παχυσαρκίας των ενηλίκων να προέρχεται από την παιδική παχυσαρκία </w:t>
      </w:r>
      <w:r>
        <w:fldChar w:fldCharType="begin"/>
      </w:r>
      <w:r>
        <w:rPr>
          <w:rFonts w:eastAsia="Calibri" w:cs="Times-Roman" w:ascii="Times-Roman" w:hAnsi="Times-Roman"/>
          <w:color w:val="18191B"/>
        </w:rPr>
        <w:instrText xml:space="preserve">ADDIN ZOTERO_ITEM CSL_CITATION {"citationID":"7aSRyLf2","properties":{"formattedCitation":"[7]","plainCitation":"[7]","noteIndex":0},"citationItems":[{"id":2517,"uris":["http://zotero.org/users/local/WDVvZTBM/items/SJ9TJPK9"],"itemData":{"id":2517,"type":"article-journal","container-title":"Hormone Research","DOI":"10.1159/000182791","title":"Therapeutic Strategies in Childhood Obesity","author":[{"family":"Dietz","given":"William H."}],"issued":{"date-parts":[["1993"]]}}}],"schema":"https://github.com/citation-style-language/schema/raw/master/csl-citation.json"}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[7]</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Η μη θεραπευμένη παχυσαρκία εξελίσσεται από την παιδική ηλικία στην ενήλικη ζωή και η ανεπιτυχής θεραπεία της παιδικής παχυσαρκίας οδηγεί σε παρατεταμένη πορεία της νόσου και σε αυξανόμενο κίνδυνο συννοσηρότητας που σχετίζεται με την παχυσαρκία </w:t>
      </w:r>
      <w:r>
        <w:fldChar w:fldCharType="begin"/>
      </w:r>
      <w:r>
        <w:rPr>
          <w:rFonts w:eastAsia="Calibri" w:cs="Times-Roman" w:ascii="Times-Roman" w:hAnsi="Times-Roman"/>
          <w:color w:val="18191B"/>
        </w:rPr>
        <w:instrText xml:space="preserve">ADDIN ZOTERO_ITEM CSL_CITATION {"citationID":"IygJaVKl","properties":{"formattedCitation":"[8]","plainCitation":"[8]","noteIndex":0},"citationItems":[{"id":2518,"uris":["http://zotero.org/users/local/WDVvZTBM/items/IP2Y7KY4"],"itemData":{"id":2518,"type":"article-journal","container-title":"Surgery for Obesity and Related Diseases","DOI":"10.1016/j.soard.2020.09.017","title":"High Estimated Prevalence of Bariatric Surgery in Young Adults Treated for Pediatric Obesity","author":[{"family":"Brissman","given":"Markus"},{"family":"Lindberg","given":"Louise"},{"family":"Beamish","given":"Andrew J."},{"family":"Marcus","given":"Claude"},{"family":"Hagman","given":"Emilia"}],"issued":{"date-parts":[["2021"]]}}}],"schema":"https://github.com/citation-style-language/schema/raw/master/csl-citation.json"}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[8]</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w:t>
      </w:r>
    </w:p>
    <w:p>
      <w:pPr>
        <w:pStyle w:val="Normal"/>
        <w:spacing w:lineRule="auto" w:line="360"/>
        <w:ind w:firstLine="720"/>
        <w:jc w:val="both"/>
        <w:rPr>
          <w:rFonts w:ascii="Times-Roman" w:hAnsi="Times-Roman" w:eastAsia="Calibri" w:cs="Times-Roman"/>
          <w:color w:val="18191B"/>
        </w:rPr>
      </w:pPr>
      <w:r>
        <w:rPr>
          <w:rFonts w:eastAsia="Calibri" w:cs="Times-Roman" w:ascii="Times-Roman" w:hAnsi="Times-Roman"/>
          <w:color w:val="18191B"/>
        </w:rPr>
        <w:t xml:space="preserve">Η υψηλή συχνότητα εμφάνισης και η κυριαρχία της παιδικής παχυσαρκίας, σε συνδυασμό με σημαντική νοσηρότητα και οικονομική επιβάρυνση, υποδηλώνουν ξεκάθαρα την ανάγκη εντοπισμού και εφαρμογής αποτελεσματικών στρατηγικών πρόληψης της παιδικής παχυσαρκίας στην πρωτοβάθμια περίθαλψη </w:t>
      </w:r>
      <w:r>
        <w:fldChar w:fldCharType="begin"/>
      </w:r>
      <w:r>
        <w:rPr>
          <w:rFonts w:eastAsia="Calibri" w:cs="Times-Roman" w:ascii="Times-Roman" w:hAnsi="Times-Roman"/>
          <w:color w:val="18191B"/>
        </w:rPr>
        <w:instrText xml:space="preserve">ADDIN ZOTERO_ITEM CSL_CITATION {"citationID":"Ss7335HE","properties":{"formattedCitation":"[9]","plainCitation":"[9]","noteIndex":0},"citationItems":[{"id":2519,"uris":["http://zotero.org/users/local/WDVvZTBM/items/W34UJU79"],"itemData":{"id":2519,"type":"article-journal","container-title":"International Journal of Pediatrics and Adolescent Medicine","DOI":"10.1016/j.ijpam.2015.05.002","title":"Implementation of Childhood Obesity Identification and Prevention Strategies in Primary Care: A Quality Improvement Project","author":[{"family":"Rankin","given":"Audra"},{"family":"Blood-Siegfried","given":"Jane"},{"family":"Vorderstrasse","given":"Allison"},{"family":"Chlebowy","given":"Diane Orr"}],"issued":{"date-parts":[["2015"]]}}}],"schema":"https://github.com/citation-style-language/schema/raw/master/csl-citation.json"}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[9]</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Η πρόληψη με βάση τον πληθυσμό είναι ζωτικής σημασίας για να σταματήσει αυτό το αυξανόμενο κύμα παιδικής παχυσαρκίας, η οποία λαμβάνει γρήγορα διαστάσεις επιδημίας </w:t>
      </w:r>
      <w:r>
        <w:fldChar w:fldCharType="begin"/>
      </w:r>
      <w:r>
        <w:rPr>
          <w:rFonts w:eastAsia="Calibri" w:cs="Times-Roman" w:ascii="Times-Roman" w:hAnsi="Times-Roman"/>
          <w:color w:val="18191B"/>
        </w:rPr>
        <w:instrText xml:space="preserve">ADDIN ZOTERO_ITEM CSL_CITATION {"citationID":"RdcqNhEa","properties":{"formattedCitation":"[10]","plainCitation":"[10]","noteIndex":0},"citationItems":[{"id":2520,"uris":["http://zotero.org/users/local/WDVvZTBM/items/Z96WDDDN"],"itemData":{"id":2520,"type":"article-journal","container-title":"Diabetes Metabolic Syndrome and Obesity Targets and Therapy","DOI":"10.2147/dmso.s90783","title":"Childhood Obesity: Prevention Is Better Than Cure","author":[{"family":"Pandita","given":"Aaakash"},{"family":"Sharma","given":"Deepak"},{"family":"Pandita","given":"Dharti"},{"family":"Pawar","given":"Sunil"},{"family":"Tariq","given":"Mir"},{"family":"Kaul","given":"Avinash"}],"issued":{"date-parts":[["2016"]]}}}],"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[10]</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Οι υπεύθυνοι εφαρμογής πολιτικών αντιμετώπισης γενικά συμφωνούν ότι η παιδική παχυσαρκία είναι ένα εθνικό πρόβλημα και υπάρχει ανάγκη για επενδύσεις για την πρόληψη της παιδικής παχυσαρκίας </w:t>
      </w:r>
      <w:r>
        <w:fldChar w:fldCharType="begin"/>
      </w:r>
      <w:r>
        <w:rPr>
          <w:rFonts w:eastAsia="Calibri" w:cs="Times-Roman" w:ascii="Times-Roman" w:hAnsi="Times-Roman"/>
          <w:color w:val="18191B"/>
        </w:rPr>
        <w:instrText xml:space="preserve">ADDIN ZOTERO_ITEM CSL_CITATION {"citationID":"xy6WtRjt","properties":{"formattedCitation":"[11]","plainCitation":"[11]","noteIndex":0},"citationItems":[{"id":2521,"uris":["http://zotero.org/users/local/WDVvZTBM/items/FEYG2EFY"],"itemData":{"id":2521,"type":"article-journal","container-title":"Health Affairs","DOI":"10.1377/hlthaff.2009.0691","title":"How Much Should We Invest in Preventing Childhood Obesity?","author":[{"family":"Trasande","given":"Leonardo"}],"issued":{"date-parts":[["2010"]]}}}],"schema":"https://github.com/citation-style-language/schema/raw/master/csl-citation.json"}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[11]</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Επιπλέον, επειδή η μη αντιμετωπισμένη ή υποθεραπευμένη παιδική παχυσαρκία σχετίζεται με αυξημένο βραχυπρόθεσμο ιατρικό κόστος και επειδή το κόστος αυτό συνεχίζει να αυξάνεται καθώς η παχυσαρκία ακολουθεί την ενηλικίωση για αυτά τα παιδιά, η αποζημίωση για τη θεραπεία παιδικής παχυσαρκίας αποτελεί ευκαιρία για τα συστήματα υγειονομικής περίθαλψης να επενδύσουν σε φροντίδα που δυνητικά θα οδηγήσει σε χαμηλότερο ιατρικό κόστος κατά τη διάρκεια της ζωής </w:t>
      </w:r>
      <w:r>
        <w:fldChar w:fldCharType="begin"/>
      </w:r>
      <w:r>
        <w:rPr>
          <w:rFonts w:eastAsia="Calibri" w:cs="Times-Roman" w:ascii="Times-Roman" w:hAnsi="Times-Roman"/>
          <w:color w:val="18191B"/>
        </w:rPr>
        <w:instrText xml:space="preserve">ADDIN ZOTERO_ITEM CSL_CITATION {"citationID":"KSXjpBjQ","properties":{"formattedCitation":"[12]","plainCitation":"[12]","noteIndex":0},"citationItems":[{"id":2522,"uris":["http://zotero.org/users/local/WDVvZTBM/items/BT5PEZN4"],"itemData":{"id":2522,"type":"article-journal","container-title":"Obesity","DOI":"10.1002/oby.21712","title":"Improving Access and Systems of Care for Evidence‐based Childhood Obesity Treatment: Conference Key Findings and Next Steps","author":[{"family":"Wilfley","given":"Denise E."},{"family":"Staiano","given":"Amanda E."},{"family":"Altman","given":"Myra"},{"family":"Lindros","given":"Jeanne"},{"family":"Lima","given":"Ângela Maria","non-dropping-particle":"de"},{"family":"Hassink","given":"Sandra G."},{"family":"Dietz","given":"William H."},{"family":"Cook","given":"Stephen"}],"issued":{"date-parts":[["2016"]]}}}],"schema":"https://github.com/citation-style-language/schema/raw/master/csl-citation.json"}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[12]</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w:t>
      </w:r>
    </w:p>
    <w:p>
      <w:pPr>
        <w:pStyle w:val="Normal"/>
        <w:spacing w:lineRule="auto" w:line="360"/>
        <w:ind w:firstLine="720"/>
        <w:jc w:val="both"/>
        <w:rPr>
          <w:rFonts w:ascii="Times-Roman" w:hAnsi="Times-Roman" w:eastAsia="Calibri" w:cs="Times-Roman"/>
          <w:color w:val="18191B"/>
        </w:rPr>
      </w:pPr>
      <w:r>
        <w:rPr>
          <w:rFonts w:eastAsia="Calibri" w:cs="Times-Roman" w:ascii="Times-Roman" w:hAnsi="Times-Roman"/>
          <w:color w:val="18191B"/>
        </w:rPr>
        <w:t>Η παιδική παχυσαρκία είναι ένα σημαντικό παγκόσμιο ζήτημα δημόσιας υγείας με σοβαρές άμεσες και μακροπρόθεσμες επιπτώσεις στην υγεία. Είναι επιτακτική ανάγκη να δοθεί προτεραιότητα στην πρόληψη και αποτελεσματικές θεραπευτικές στρατηγικές για την αντιμετώπιση αυτής της επιδημίας.</w:t>
      </w:r>
    </w:p>
    <w:p>
      <w:pPr>
        <w:pStyle w:val="Normal"/>
        <w:spacing w:lineRule="auto" w:line="360"/>
        <w:ind w:firstLine="720"/>
        <w:jc w:val="both"/>
        <w:rPr>
          <w:rFonts w:ascii="Times-Roman" w:hAnsi="Times-Roman" w:eastAsia="Calibri" w:cs="Times-Roman"/>
          <w:color w:val="18191B"/>
        </w:rPr>
      </w:pPr>
      <w:r>
        <w:rPr>
          <w:rFonts w:eastAsia="Calibri" w:cs="Times-Roman" w:ascii="Times-Roman" w:hAnsi="Times-Roman"/>
          <w:color w:val="18191B"/>
        </w:rPr>
        <w:t xml:space="preserve">Η κατανόηση της γενετικής συμβολής στην παιδική παχυσαρκία είναι υψίστης σημασίας λόγω της σημαντικής επίδρασής της στη δημόσια υγεία. Τόσο οι γενετικοί όσο και οι περιβαλλοντικοί παράγοντες παίζουν κρίσιμο ρόλο στην ανάπτυξη της παιδικής παχυσαρκίας </w:t>
      </w:r>
      <w:r>
        <w:fldChar w:fldCharType="begin"/>
      </w:r>
      <w:r>
        <w:rPr>
          <w:rFonts w:eastAsia="Calibri" w:cs="Times-Roman" w:ascii="Times-Roman" w:hAnsi="Times-Roman"/>
          <w:color w:val="18191B"/>
        </w:rPr>
        <w:instrText xml:space="preserve">ADDIN ZOTERO_ITEM CSL_CITATION {"citationID":"ahTtojvc","properties":{"formattedCitation":"[13]","plainCitation":"[13]","noteIndex":0},"citationItems":[{"id":2523,"uris":["http://zotero.org/users/local/WDVvZTBM/items/Q9CSYHBM"],"itemData":{"id":2523,"type":"article-journal","container-title":"International Journal of Obesity","DOI":"10.1038/ijo.2009.177","title":"The Genetic and Environmental Influences on Childhood Obesity: A Systematic Review of Twin and Adoption Studies","author":[{"family":"Silventoinen","given":"Karri"},{"family":"Rokholm","given":"Benjamin"},{"family":"Kaprio","given":"Jaakko"},{"family":"A. Sørensen","given":"Thorkild I."}],"issued":{"date-parts":[["2009"]]}}}],"schema":"https://github.com/citation-style-language/schema/raw/master/csl-citation.json"}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[13]</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Η γενετική προδιάθεση έχει βρεθεί ότι συμβάλλει στην παθοφυσιολογία της παιδικής παχυσαρκίας, όπως αποδεικνύεται από τον εντοπισμό νέων γενετικών τόπων που σχετίζονται με αυτήν την πάθηση </w:t>
      </w:r>
      <w:r>
        <w:fldChar w:fldCharType="begin"/>
      </w:r>
      <w:r>
        <w:rPr>
          <w:rFonts w:eastAsia="Calibri" w:cs="Times-Roman" w:ascii="Times-Roman" w:hAnsi="Times-Roman"/>
          <w:color w:val="18191B"/>
        </w:rPr>
        <w:instrText xml:space="preserve">ADDIN ZOTERO_ITEM CSL_CITATION {"citationID":"NcMNioba","properties":{"formattedCitation":"[14]","plainCitation":"[14]","noteIndex":0},"citationItems":[{"id":2524,"uris":["http://zotero.org/users/local/WDVvZTBM/items/ZW4KXYQJ"],"itemData":{"id":2524,"type":"article-journal","container-title":"Plos One","DOI":"10.1371/journal.pone.0051954","title":"Novel Genetic Loci Identified for the Pathophysiology of Childhood Obesity in the Hispanic Population","author":[{"family":"Comuzzie","given":"Anthony G."},{"family":"Cole","given":"Shelley A."},{"family":"Laston","given":"Sandra"},{"family":"Voruganti","given":"V. Saroja"},{"family":"Haack","given":"Karin"},{"family":"Gibbs","given":"Richard A."},{"family":"Butte","given":"Nancy F."}],"issued":{"date-parts":[["2012"]]}}}],"schema":"https://github.com/citation-style-language/schema/raw/master/csl-citation.json"}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[14]</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Επιπλέον, γενετικοί και περιβαλλοντικοί παράγοντες που οδηγούν στην παιδική παχυσαρκία μπορεί να έχουν μόνιμη επίδραση στην υγεία αργότερα στη ζωή, τονίζοντας την ανάγκη κατανόησης των γενετικών υποδομών αυτής της πάθησης </w:t>
      </w:r>
      <w:r>
        <w:fldChar w:fldCharType="begin"/>
      </w:r>
      <w:r>
        <w:rPr>
          <w:rFonts w:eastAsia="Calibri" w:cs="Times-Roman" w:ascii="Times-Roman" w:hAnsi="Times-Roman"/>
          <w:color w:val="18191B"/>
        </w:rPr>
        <w:instrText xml:space="preserve">ADDIN ZOTERO_ITEM CSL_CITATION {"citationID":"ZdXKdSiV","properties":{"formattedCitation":"[15]","plainCitation":"[15]","noteIndex":0},"citationItems":[{"id":2525,"uris":["http://zotero.org/users/local/WDVvZTBM/items/LIS5YTL8"],"itemData":{"id":2525,"type":"article-journal","container-title":"Human Molecular Genetics","DOI":"10.1093/hmg/ddaa256","title":"Separating the Genetics of Childhood and Adult Obesity: A Validation Study of Genetic Scores for Body Mass Index in Adolescence and Adulthood in the HUNT Study","author":[{"family":"Brandkvist","given":"Maria"},{"family":"Bjørngaard","given":"Johan Håkon"},{"family":"Ødegård","given":"Rønnaug"},{"family":"Åsvold","given":"Bjørn Olav"},{"family":"Smith","given":"George Davey"},{"family":"Brumpton","given":"Ben"},{"family":"Hveem","given":"Kristian"},{"family":"Richardson","given":"Tom G"},{"family":"Vie","given":"Gunnhild Åberge"}],"issued":{"date-parts":[["2020"]]}}}],"schema":"https://github.com/citation-style-language/schema/raw/master/csl-citation.json"}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[15]</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Μελέτες έχουν δείξει ότι τόσο οι κληρονομικοί όσο και οι κοινοί περιβαλλοντικοί παράγοντες συμβάλλουν σημαντικά στον κίνδυνο παιδικής παχυσαρκίας, υπογραμμίζοντας τη σημασία της κατανόησης των γενετικών και περιβαλλοντικών επιδράσεων σε αυτό το ζήτημα </w:t>
      </w:r>
      <w:r>
        <w:fldChar w:fldCharType="begin"/>
      </w:r>
      <w:r>
        <w:rPr>
          <w:rFonts w:eastAsia="Calibri" w:cs="Times-Roman" w:ascii="Times-Roman" w:hAnsi="Times-Roman"/>
          <w:color w:val="18191B"/>
        </w:rPr>
        <w:instrText xml:space="preserve">ADDIN ZOTERO_ITEM CSL_CITATION {"citationID":"BjVL7FsA","properties":{"formattedCitation":"[16]","plainCitation":"[16]","noteIndex":0},"citationItems":[{"id":2526,"uris":["http://zotero.org/users/local/WDVvZTBM/items/KLFZ4ZMU"],"itemData":{"id":2526,"type":"article-journal","container-title":"Plos One","DOI":"10.1371/journal.pone.0236261","title":"Using a Sibling-Adoption Design to Parse Genetic and Environmental Influences on Children’s Body Mass Index (BMI)","author":[{"family":"Tavalire","given":"Hannah F."},{"family":"Budd","given":"Elizabeth L."},{"family":"Natsuaki","given":"Misaki N."},{"family":"Neiderhiser","given":"Jenae M."},{"family":"Reiss","given":"David"},{"family":"Shaw","given":"Daniel S."},{"family":"Ganiban","given":"Jody M."},{"family":"Leve","given":"Leslie D."}],"issued":{"date-parts":[["2020"]]}}}],"schema":"https://github.com/citation-style-language/schema/raw/master/csl-citation.json"}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[16]</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w:t>
      </w:r>
    </w:p>
    <w:p>
      <w:pPr>
        <w:pStyle w:val="Normal"/>
        <w:spacing w:lineRule="auto" w:line="360"/>
        <w:ind w:firstLine="720"/>
        <w:jc w:val="both"/>
        <w:rPr>
          <w:rFonts w:ascii="Times-Roman" w:hAnsi="Times-Roman" w:eastAsia="Calibri" w:cs="Times-Roman"/>
          <w:color w:val="18191B"/>
        </w:rPr>
      </w:pPr>
      <w:r>
        <w:rPr>
          <w:rFonts w:eastAsia="Calibri" w:cs="Times-Roman" w:ascii="Times-Roman" w:hAnsi="Times-Roman"/>
          <w:color w:val="18191B"/>
        </w:rPr>
        <w:t xml:space="preserve">Επιπλέον, έχει βρεθεί ότι οι γενετικές παραλλαγές συμβάλλουν στην ευαισθησία στην παχυσαρκία στην παιδική ηλικία, υποδεικνύοντας τη σημασία των γενετικών παραγόντων στην πρώιμη έναρξη των φαινοτύπων που σχετίζονται με την παχυσαρκία </w:t>
      </w:r>
      <w:r>
        <w:fldChar w:fldCharType="begin"/>
      </w:r>
      <w:r>
        <w:rPr>
          <w:rFonts w:eastAsia="Calibri" w:cs="Times-Roman" w:ascii="Times-Roman" w:hAnsi="Times-Roman"/>
          <w:color w:val="18191B"/>
        </w:rPr>
        <w:instrText xml:space="preserve">ADDIN ZOTERO_ITEM CSL_CITATION {"citationID":"K8YcDk0h","properties":{"formattedCitation":"[17]","plainCitation":"[17]","noteIndex":0},"citationItems":[{"id":2527,"uris":["http://zotero.org/users/local/WDVvZTBM/items/YADAXILM"],"itemData":{"id":2527,"type":"article-journal","container-title":"Pediatric Obesity","DOI":"10.1111/ijpo.12113","title":"Validation of Obesity Susceptibility Loci Identified by Genome‐wide Association Studies in Early Childhood in South Brazilian Children","author":[{"family":"Zandoná","given":"Marília Remuzzi"},{"family":"Sangalli","given":"Caroline Nicola"},{"family":"Bó Campagnolo","given":"Paula Dal"},{"family":"Vítolo","given":"Márcia Regina"},{"family":"Almeida","given":"Silvana"},{"family":"Mattevi","given":"Vanessa Suñé"}],"issued":{"date-parts":[["2016"]]}}}],"schema":"https://github.com/citation-style-language/schema/raw/master/csl-citation.json"}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[17]</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Η κατανόηση της γενετικής βάσης της παιδικής παχυσαρκίας είναι επίσης ζωτικής σημασίας για την πρόβλεψη του κινδύνου μελλοντικής παχυσαρκίας στα νεογνά, κάτι που μπορεί να βοηθήσει στην εστιασμένη έγκαιρη πρόληψη κατά της παγκόσμιας επιδημίας παχυσαρκίας </w:t>
      </w:r>
      <w:r>
        <w:fldChar w:fldCharType="begin"/>
      </w:r>
      <w:r>
        <w:rPr>
          <w:rFonts w:eastAsia="Calibri" w:cs="Times-Roman" w:ascii="Times-Roman" w:hAnsi="Times-Roman"/>
          <w:color w:val="18191B"/>
        </w:rPr>
        <w:instrText xml:space="preserve">ADDIN ZOTERO_ITEM CSL_CITATION {"citationID":"XxSTgYGw","properties":{"formattedCitation":"[18]","plainCitation":"[18]","noteIndex":0},"citationItems":[{"id":2528,"uris":["http://zotero.org/users/local/WDVvZTBM/items/3F5SHGIS"],"itemData":{"id":2528,"type":"article-journal","container-title":"Plos One","DOI":"10.1371/journal.pone.0049919","title":"Estimation of Newborn Risk for Child or Adolescent Obesity: Lessons From Longitudinal Birth Cohorts","author":[{"family":"Morandi","given":"Anita"},{"family":"Meyre","given":"David"},{"family":"Lobbens","given":"Stéphane"},{"family":"Kleinman","given":"Ken"},{"family":"Kaakinen","given":"Marika"},{"family":"Rifas-Shiman","given":"Sheryl L."},{"family":"Vatin","given":"Vincent"},{"family":"Gaget","given":"Stefan"},{"family":"Pouta","given":"Anneli"},{"family":"Hartikainen","given":"Anna-Liisa"},{"family":"Laitinen","given":"Jaana"},{"family":"Ruokonen","given":"Aimo"},{"family":"Das","given":"Shikta"},{"family":"Khan","given":"Anokhi Ali"},{"family":"Elliott","given":"Paul"},{"family":"Maffeis","given":"Claudio"},{"family":"Gillman","given":"Matthew W."},{"family":"Järvelin","given":"Marjo-Riitta"},{"family":"Froguel","given":"Philippe"}],"issued":{"date-parts":[["2012"]]}}}],"schema":"https://github.com/citation-style-language/schema/raw/master/csl-citation.json"}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[18]</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Επιπρόσθετα, γενετικοί παράγοντες έχουν αναγνωριστεί ότι παίζουν ρόλο στην κοινή γενετική αρχιτεκτονική μεταξύ της παιδικής παχυσαρκίας και των καρδιομεταβολικών ασθενειών των ενηλίκων, παρέχοντας νέους τρόπους για να ξεκαθαρίσουν οι ερευνητές τη γενετική βάση των συσχετίσεων της πορείας ζωής μεταξύ της παιδικής παχυσαρκίας και των αποτελεσμάτων υγείας των ενηλίκων </w:t>
      </w:r>
      <w:r>
        <w:fldChar w:fldCharType="begin"/>
      </w:r>
      <w:r>
        <w:rPr>
          <w:rFonts w:eastAsia="Calibri" w:cs="Times-Roman" w:ascii="Times-Roman" w:hAnsi="Times-Roman"/>
          <w:color w:val="18191B"/>
        </w:rPr>
        <w:instrText xml:space="preserve">ADDIN ZOTERO_ITEM CSL_CITATION {"citationID":"atVS8i3I","properties":{"formattedCitation":"[19]","plainCitation":"[19]","noteIndex":0},"citationItems":[{"id":2529,"uris":["http://zotero.org/users/local/WDVvZTBM/items/4S6NKKJP"],"itemData":{"id":2529,"type":"article-journal","container-title":"Human Genomics","DOI":"10.1186/s40246-019-0202-x","title":"Shared Genetic Underpinnings of Childhood Obesity and Adult Cardiometabolic Diseases","author":[{"family":"Tekola-Ayele","given":"Fasil"},{"family":"Lee","given":"Anthony"},{"family":"Workalemahu","given":"Tsegaselassie"},{"family":"Sánchez-Pozos","given":"Katy"}],"issued":{"date-parts":[["2019"]]}}}],"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[19]</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w:t>
      </w:r>
    </w:p>
    <w:p>
      <w:pPr>
        <w:pStyle w:val="Normal"/>
        <w:spacing w:lineRule="auto" w:line="360"/>
        <w:jc w:val="both"/>
        <w:rPr>
          <w:rFonts w:ascii="Times-Roman" w:hAnsi="Times-Roman" w:eastAsia="Calibri" w:cs="Times-Roman"/>
          <w:color w:val="18191B"/>
        </w:rPr>
      </w:pPr>
      <w:r>
        <w:rPr>
          <w:rFonts w:eastAsia="Calibri" w:cs="Times-Roman" w:ascii="Times-Roman" w:hAnsi="Times-Roman"/>
          <w:color w:val="18191B"/>
        </w:rPr>
      </w:r>
    </w:p>
    <w:p>
      <w:pPr>
        <w:pStyle w:val="Normal"/>
        <w:spacing w:lineRule="auto" w:line="360"/>
        <w:ind w:firstLine="720"/>
        <w:jc w:val="both"/>
        <w:rPr>
          <w:rFonts w:ascii="Times-Roman" w:hAnsi="Times-Roman" w:eastAsia="Calibri" w:cs="Times-Roman"/>
          <w:color w:val="18191B"/>
        </w:rPr>
      </w:pPr>
      <w:r>
        <w:rPr>
          <w:rFonts w:eastAsia="Calibri" w:cs="Times-Roman" w:ascii="Times-Roman" w:hAnsi="Times-Roman"/>
          <w:color w:val="18191B"/>
        </w:rPr>
        <w:t xml:space="preserve">Επιπλέον, έχει σημειωθεί ότι οι γενετικές επιδράσεις στην παιδική παχυσαρκία παραμένουν σημαντικές στην ενήλικη ζωή, υποδηλώνοντας ότι οι γενετικοί παράγοντες είναι ζωτικής σημασίας για τη συσχέτιση μεταξύ παιδικής και ενήλικης παχυσαρκίας </w:t>
      </w:r>
      <w:r>
        <w:fldChar w:fldCharType="begin"/>
      </w:r>
      <w:r>
        <w:rPr>
          <w:rFonts w:eastAsia="Calibri" w:cs="Times-Roman" w:ascii="Times-Roman" w:hAnsi="Times-Roman"/>
          <w:color w:val="18191B"/>
        </w:rPr>
        <w:instrText xml:space="preserve">ADDIN ZOTERO_ITEM CSL_CITATION {"citationID":"HqUZIhss","properties":{"formattedCitation":"[20]","plainCitation":"[20]","noteIndex":0},"citationItems":[{"id":2530,"uris":["http://zotero.org/users/local/WDVvZTBM/items/DG6I9DHN"],"itemData":{"id":2530,"type":"article-journal","container-title":"The Open Obesity Journal","DOI":"10.2174/1876823701103010027","title":"Developmental Origins of Obesity - Genetic and Epigenetic Determinants","author":[{"family":"Rokholm","given":"Benjamin"},{"family":"Andersen","given":"Camilla Schou"},{"family":"A. Sørensen","given":"Thorkild I."}],"issued":{"date-parts":[["2011"]]}}}],"schema":"https://github.com/citation-style-language/schema/raw/master/csl-citation.json"}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[20]</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Οι επιγενετικές εμπειρίες έχουν επίσης συσχετιστεί με την παιδική παχυσαρκία, τονίζοντας περαιτέρω τη σημασία των γενετικών και επιγενετικών καθοριστικών παραγόντων σε αυτήν την κατάσταση </w:t>
      </w:r>
      <w:r>
        <w:fldChar w:fldCharType="begin"/>
      </w:r>
      <w:r>
        <w:rPr>
          <w:rFonts w:eastAsia="Calibri" w:cs="Times-Roman" w:ascii="Times-Roman" w:hAnsi="Times-Roman"/>
          <w:color w:val="18191B"/>
        </w:rPr>
        <w:instrText xml:space="preserve">ADDIN ZOTERO_ITEM CSL_CITATION {"citationID":"E1HuKTH4","properties":{"formattedCitation":"[21]","plainCitation":"[21]","noteIndex":0},"citationItems":[{"id":2531,"uris":["http://zotero.org/users/local/WDVvZTBM/items/B8UHE57Y"],"itemData":{"id":2531,"type":"article-journal","container-title":"Obesity Reviews","DOI":"10.1111/obr.13379","title":"Guide and Advances on Childhood Obesity Determinants: Setting the Research Agenda","author":[{"family":"Tur","given":"Josep A."},{"family":"Martínez","given":"Julian"}],"issued":{"date-parts":[["2021"]]}}}],"schema":"https://github.com/citation-style-language/schema/raw/master/csl-citation.json"}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[21]</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Επομένως, η κατανόηση της γενετικής συμβολής στην παιδική παχυσαρκία είναι απαραίτητη για την ανάπτυξη αποτελεσματικών προληπτικών μέτρων και παρεμβάσεων, καθώς και για την καθιέρωση στρατηγικών θεραπείας σε νεαρές ηλικίες </w:t>
      </w:r>
      <w:r>
        <w:fldChar w:fldCharType="begin"/>
      </w:r>
      <w:r>
        <w:rPr>
          <w:rFonts w:eastAsia="Calibri" w:cs="Times-Roman" w:ascii="Times-Roman" w:hAnsi="Times-Roman"/>
          <w:color w:val="18191B"/>
        </w:rPr>
        <w:instrText xml:space="preserve">ADDIN ZOTERO_ITEM CSL_CITATION {"citationID":"aVSt2Rea","properties":{"formattedCitation":"[22]","plainCitation":"[22]","noteIndex":0},"citationItems":[{"id":2532,"uris":["http://zotero.org/users/local/WDVvZTBM/items/4AEWU5AT"],"itemData":{"id":2532,"type":"article-journal","container-title":"Turkish Journal of Pediatric Disease","DOI":"10.12956/tjpd.2013.3.11","title":"The Genetic Determination of Tendency to Cardiovascular Disease in the Two Bardet Biedl Syndrome Cases","author":[{"family":"Ergür","given":"Ayça Törel"},{"family":"Ergür","given":"Özkan"},{"family":"Öktem","given":"Ahmet"},{"family":"Akyildiz","given":"Suzan"}],"issued":{"date-parts":[["2013"]]}}}],"schema":"https://github.com/citation-style-language/schema/raw/master/csl-citation.json"}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[22]</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w:t>
      </w:r>
    </w:p>
    <w:p>
      <w:pPr>
        <w:pStyle w:val="Normal"/>
        <w:spacing w:lineRule="auto" w:line="360"/>
        <w:ind w:firstLine="720"/>
        <w:jc w:val="both"/>
        <w:rPr>
          <w:rFonts w:ascii="Times-Roman" w:hAnsi="Times-Roman" w:eastAsia="Calibri" w:cs="Times-Roman"/>
          <w:color w:val="18191B"/>
        </w:rPr>
      </w:pPr>
      <w:r>
        <w:rPr>
          <w:rFonts w:eastAsia="Calibri" w:cs="Times-Roman" w:ascii="Times-Roman" w:hAnsi="Times-Roman"/>
          <w:color w:val="18191B"/>
        </w:rPr>
        <w:t>Ο σκοπός της εργασίας αυτής για την παιδική παχυσαρκία και τους γενετικούς παράγοντες είναι να διερευνήσει και να αποσαφηνίσει τη σύνθετη σχέση μεταξύ γενετικών προδιαθέσεων και ανάπτυξης παχυσαρκίας στα παιδιά. Αυτή η έρευνα στοχεύει να:</w:t>
      </w:r>
    </w:p>
    <w:p>
      <w:pPr>
        <w:pStyle w:val="ListParagraph"/>
        <w:numPr>
          <w:ilvl w:val="0"/>
          <w:numId w:val="2"/>
        </w:numPr>
        <w:spacing w:lineRule="auto" w:line="360"/>
        <w:jc w:val="both"/>
        <w:rPr>
          <w:rFonts w:ascii="Times-Roman" w:hAnsi="Times-Roman" w:cs="Times-Roman"/>
          <w:color w:val="18191B"/>
        </w:rPr>
      </w:pPr>
      <w:r>
        <w:rPr>
          <w:rFonts w:cs="Times-Roman" w:ascii="Times-Roman" w:hAnsi="Times-Roman"/>
          <w:color w:val="18191B"/>
        </w:rPr>
        <w:t>Εξετάσει την επιστημονική βάση, να παρέχει μια εις βάθος κατανόηση των γενετικών παραγόντων που σχετίζονται με την παιδική παχυσαρκία. Αυτό περιλαμβάνει την ανασκόπηση της επιστημονικής βιβλιογραφίας, των μελετών και των ερευνητικών ευρημάτων που εντοπίζουν συγκεκριμένα γονίδια και γενετικές παραλλαγές που συνδέονται με την παχυσαρκία στα παιδιά.</w:t>
      </w:r>
    </w:p>
    <w:p>
      <w:pPr>
        <w:pStyle w:val="ListParagraph"/>
        <w:numPr>
          <w:ilvl w:val="0"/>
          <w:numId w:val="2"/>
        </w:numPr>
        <w:spacing w:lineRule="auto" w:line="360"/>
        <w:jc w:val="both"/>
        <w:rPr>
          <w:rFonts w:ascii="Times-Roman" w:hAnsi="Times-Roman" w:cs="Times-Roman"/>
          <w:color w:val="18191B"/>
        </w:rPr>
      </w:pPr>
      <w:r>
        <w:rPr>
          <w:rFonts w:cs="Times-Roman" w:ascii="Times-Roman" w:hAnsi="Times-Roman"/>
          <w:color w:val="18191B"/>
        </w:rPr>
        <w:t>Επισημάνει την πολυπλοκότητα, να εξερευνήσει την πολύπλευρη φύση της παιδικής παχυσαρκίας, τονίζοντας ότι οι γενετικοί παράγοντες αλληλεπιδρούν με τις περιβαλλοντικές επιρροές και τις επιλογές του τρόπου ζωής. Ο στόχος είναι να αποδοθεί ότι η παχυσαρκία δεν αποδίδεται αποκλειστικά στη γενετική αλλά επηρεάζεται από έναν συνδυασμό γενετικών και περιβαλλοντικών παραγόντων.</w:t>
      </w:r>
    </w:p>
    <w:p>
      <w:pPr>
        <w:pStyle w:val="ListParagraph"/>
        <w:numPr>
          <w:ilvl w:val="0"/>
          <w:numId w:val="2"/>
        </w:numPr>
        <w:spacing w:lineRule="auto" w:line="360"/>
        <w:jc w:val="both"/>
        <w:rPr>
          <w:rFonts w:ascii="Times-Roman" w:hAnsi="Times-Roman" w:cs="Times-Roman"/>
          <w:color w:val="18191B"/>
        </w:rPr>
      </w:pPr>
      <w:r>
        <w:rPr>
          <w:rFonts w:cs="Times-Roman" w:ascii="Times-Roman" w:hAnsi="Times-Roman"/>
          <w:color w:val="18191B"/>
        </w:rPr>
        <w:t>Συζητήσει τις αλληλεπιδράσεις γονιδίου-περιβάλλοντος και να διερευνήσει πώς οι αλληλεπιδράσεις γονιδίου-περιβάλλοντος συμβάλλουν στην ευαισθησία των παιδιών στην παχυσαρκία. Αυτό περιλαμβάνει τη διερεύνηση του τρόπου με τον οποίο οι γενετικοί παράγοντες μπορεί να ανταποκρίνονται ή να ρυθμίζονται από περιβαλλοντικούς παράγοντες όπως η διατροφή, η σωματική δραστηριότητα και οι κοινωνικοοικονομικές συνθήκες.</w:t>
      </w:r>
    </w:p>
    <w:p>
      <w:pPr>
        <w:pStyle w:val="ListParagraph"/>
        <w:numPr>
          <w:ilvl w:val="0"/>
          <w:numId w:val="2"/>
        </w:numPr>
        <w:spacing w:lineRule="auto" w:line="360"/>
        <w:jc w:val="both"/>
        <w:rPr>
          <w:rFonts w:ascii="Times-Roman" w:hAnsi="Times-Roman" w:cs="Times-Roman"/>
          <w:color w:val="18191B"/>
        </w:rPr>
      </w:pPr>
      <w:r>
        <w:rPr>
          <w:rFonts w:cs="Times-Roman" w:ascii="Times-Roman" w:hAnsi="Times-Roman"/>
          <w:color w:val="18191B"/>
        </w:rPr>
        <w:t>Αντιμετωπίσει τις επιπτώσεις για τη δημόσια υγεία και να συζητήσει τις ευρύτερες επιπτώσεις της κατανόησης των γενετικών παραγόντων πίσω από την παιδική παχυσαρκία για τη δημόσια υγεία. Αυτό περιλαμβάνει σκέψεις για στρατηγικές πρόληψης, εξατομικευμένες παρεμβάσεις και πολιτικές που στοχεύουν στη μείωση της επικράτησης της παιδικής παχυσαρκίας.</w:t>
      </w:r>
    </w:p>
    <w:p>
      <w:pPr>
        <w:pStyle w:val="ListParagraph"/>
        <w:numPr>
          <w:ilvl w:val="0"/>
          <w:numId w:val="2"/>
        </w:numPr>
        <w:spacing w:lineRule="auto" w:line="360"/>
        <w:jc w:val="both"/>
        <w:rPr>
          <w:rFonts w:ascii="Times-Roman" w:hAnsi="Times-Roman" w:cs="Times-Roman"/>
          <w:color w:val="18191B"/>
        </w:rPr>
      </w:pPr>
      <w:r>
        <w:rPr>
          <w:rFonts w:cs="Times-Roman" w:ascii="Times-Roman" w:hAnsi="Times-Roman"/>
          <w:color w:val="18191B"/>
        </w:rPr>
        <w:t>Προωθήσει Ολιστικές Προσεγγίσεις και να υπογραμμίσει τη σημασία της υιοθέτησης ολιστικών προσεγγίσεων που ενσωματώνουν γενετικές γνώσεις σε ευρύτερες πρωτοβουλίες που αφορούν τον τρόπο ζωής, τη διατροφή και τη σωματική δραστηριότητα. Αυτό μπορεί να περιλαμβάνει συστάσεις για εκπαίδευση, ευαισθητοποίηση του κοινού και πρακτικές υγειονομικής περίθαλψης.</w:t>
      </w:r>
    </w:p>
    <w:p>
      <w:pPr>
        <w:pStyle w:val="ListParagraph"/>
        <w:numPr>
          <w:ilvl w:val="0"/>
          <w:numId w:val="2"/>
        </w:numPr>
        <w:spacing w:lineRule="auto" w:line="360"/>
        <w:jc w:val="both"/>
        <w:rPr>
          <w:rFonts w:ascii="Times-Roman" w:hAnsi="Times-Roman" w:cs="Times-Roman"/>
          <w:color w:val="18191B"/>
        </w:rPr>
      </w:pPr>
      <w:r>
        <w:rPr>
          <w:rFonts w:cs="Times-Roman" w:ascii="Times-Roman" w:hAnsi="Times-Roman"/>
          <w:color w:val="18191B"/>
        </w:rPr>
        <w:t>Ενθαρρύνει περαιτέρω έρευνα ώστε να αναγνωριστούν τα κενά και τις προκλήσεις στην τρέχουσα έρευνα και να υποστηρίξει τη συνεχή διερεύνηση των γενετικών υποστρωμάτων της παιδικής παχυσαρκίας. Αυτό μπορεί να περιλαμβάνει πρόταση για μελλοντικές κατευθύνσεις έρευνας ή μεθοδολογίες για να βελτιώσουμε την κατανόησή μας για αυτό το περίπλοκο ζήτημα.</w:t>
      </w:r>
    </w:p>
    <w:p>
      <w:pPr>
        <w:pStyle w:val="Normal"/>
        <w:spacing w:lineRule="auto" w:line="360"/>
        <w:ind w:firstLine="720"/>
        <w:jc w:val="both"/>
        <w:rPr/>
      </w:pPr>
      <w:r>
        <w:rPr>
          <w:rFonts w:eastAsia="Calibri" w:cs="Times-Roman" w:ascii="Times-Roman" w:hAnsi="Times-Roman"/>
          <w:color w:val="18191B"/>
        </w:rPr>
        <w:t>Με την εκπλήρωση αυτών των σκοπών, η εργασία για την παιδική παχυσαρκία και τους γενετικούς παράγοντες συμβάλλει στον επιστημονικό διάλογο γύρω από την παιδική παχυσαρκία, ενημερώνει τους επαγγελματίες υγείας, τους υπεύθυνους χάραξης πολιτικών αντιμετώπισης και το κοινό και παρέχει τη βάση για την ανάπτυξη αποτελεσματικών στρατηγικών για την πρόληψη και τη διαχείριση της παιδικής παχυσαρκίας με βάση ολοκληρωμένη κατανόηση των γενετικών συστατικών του.</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Heading1"/>
        <w:rPr>
          <w:rFonts w:ascii="Times New Roman" w:hAnsi="Times New Roman"/>
        </w:rPr>
      </w:pPr>
      <w:bookmarkStart w:id="12" w:name="_Toc66605381"/>
      <w:bookmarkStart w:id="13" w:name="_Toc154923807"/>
      <w:bookmarkStart w:id="14" w:name="_Toc103619700"/>
      <w:bookmarkStart w:id="15" w:name="_Toc73896041"/>
      <w:bookmarkStart w:id="16" w:name="_Toc66615921"/>
      <w:bookmarkStart w:id="17" w:name="_Toc66615251"/>
      <w:r>
        <w:rPr>
          <w:rFonts w:ascii="Times New Roman" w:hAnsi="Times New Roman"/>
        </w:rPr>
        <w:t>Κεφάλαιο 1:</w:t>
      </w:r>
      <w:bookmarkStart w:id="18" w:name="_Toc66615252"/>
      <w:bookmarkStart w:id="19" w:name="_Toc66605382"/>
      <w:bookmarkEnd w:id="12"/>
      <w:bookmarkEnd w:id="17"/>
      <w:r>
        <w:rPr>
          <w:rFonts w:ascii="Times New Roman" w:hAnsi="Times New Roman"/>
        </w:rPr>
        <w:t xml:space="preserve"> </w:t>
      </w:r>
      <w:bookmarkEnd w:id="14"/>
      <w:bookmarkEnd w:id="15"/>
      <w:bookmarkEnd w:id="16"/>
      <w:bookmarkEnd w:id="18"/>
      <w:bookmarkEnd w:id="19"/>
      <w:r>
        <w:rPr>
          <w:rFonts w:ascii="Times New Roman" w:hAnsi="Times New Roman"/>
        </w:rPr>
        <w:t>Εισαγωγικά στοιχεία και έννοιες</w:t>
      </w:r>
      <w:bookmarkEnd w:id="13"/>
      <w:r>
        <w:rPr>
          <w:rFonts w:ascii="Times New Roman" w:hAnsi="Times New Roman"/>
        </w:rPr>
        <w:t xml:space="preserve"> </w:t>
      </w:r>
    </w:p>
    <w:p>
      <w:pPr>
        <w:pStyle w:val="Heading2"/>
        <w:rPr/>
      </w:pPr>
      <w:bookmarkStart w:id="20" w:name="_Toc154923808"/>
      <w:r>
        <w:rPr/>
        <w:t>1.1 Σύντομη περιγραφή και σφαιρική εικόνα της παιδικής παχυσαρκίας ως μια επιδημία υγεία</w:t>
      </w:r>
      <w:bookmarkEnd w:id="20"/>
    </w:p>
    <w:p>
      <w:pPr>
        <w:pStyle w:val="Normal"/>
        <w:spacing w:lineRule="auto" w:line="360"/>
        <w:ind w:firstLine="720"/>
        <w:jc w:val="both"/>
        <w:rPr>
          <w:rFonts w:eastAsia="Calibri"/>
          <w:color w:themeColor="text1" w:val="000000"/>
        </w:rPr>
      </w:pPr>
      <w:r>
        <w:rPr>
          <w:rFonts w:eastAsia="Calibri"/>
          <w:color w:themeColor="text1" w:val="000000"/>
        </w:rPr>
        <w:t>Η παχυσαρκία στα παιδιά και τους εφήβους είναι ένα παγκόσμιο πρόβλημα υγείας με αυξανόμενη επικράτηση σε χαμηλού και μεσαίου εισοδήματος χώρες (L</w:t>
      </w:r>
      <w:r>
        <w:rPr>
          <w:rFonts w:eastAsia="Calibri"/>
          <w:color w:themeColor="text1" w:val="000000"/>
          <w:lang w:val="en-US"/>
        </w:rPr>
        <w:t>ow</w:t>
      </w:r>
      <w:r>
        <w:rPr>
          <w:rFonts w:eastAsia="Calibri"/>
          <w:color w:themeColor="text1" w:val="000000"/>
        </w:rPr>
        <w:t xml:space="preserve"> &amp; </w:t>
      </w:r>
      <w:r>
        <w:rPr>
          <w:rFonts w:eastAsia="Calibri"/>
          <w:color w:themeColor="text1" w:val="000000"/>
          <w:lang w:val="en-US"/>
        </w:rPr>
        <w:t>Medium</w:t>
      </w:r>
      <w:r>
        <w:rPr>
          <w:rFonts w:eastAsia="Calibri"/>
          <w:color w:themeColor="text1" w:val="000000"/>
        </w:rPr>
        <w:t xml:space="preserve"> </w:t>
      </w:r>
      <w:r>
        <w:rPr>
          <w:rFonts w:eastAsia="Calibri"/>
          <w:color w:themeColor="text1" w:val="000000"/>
          <w:lang w:val="en-US"/>
        </w:rPr>
        <w:t>Income</w:t>
      </w:r>
      <w:r>
        <w:rPr>
          <w:rFonts w:eastAsia="Calibri"/>
          <w:color w:themeColor="text1" w:val="000000"/>
        </w:rPr>
        <w:t xml:space="preserve"> </w:t>
      </w:r>
      <w:r>
        <w:rPr>
          <w:rFonts w:eastAsia="Calibri"/>
          <w:color w:themeColor="text1" w:val="000000"/>
          <w:lang w:val="en-US"/>
        </w:rPr>
        <w:t>Countries</w:t>
      </w:r>
      <w:r>
        <w:rPr>
          <w:rFonts w:eastAsia="Calibri"/>
          <w:color w:themeColor="text1" w:val="000000"/>
        </w:rPr>
        <w:t>-LMICs) καθώς και υψηλή επικράτηση σε πολλές χώρες υψηλού εισοδήματος.</w:t>
      </w:r>
      <w:r>
        <w:fldChar w:fldCharType="begin"/>
      </w:r>
      <w:r>
        <w:rPr>
          <w:rFonts w:eastAsia="Calibri"/>
          <w:color w:themeColor="text1" w:val="000000"/>
        </w:rPr>
        <w:instrText xml:space="preserve">ADDIN ZOTERO_ITEM CSL_CITATION {"citationID":"WgnU2HgD","properties":{"formattedCitation":"[23]","plainCitation":"[23]","noteIndex":0},"citationItems":[{"id":2738,"uris":["http://zotero.org/users/local/WDVvZTBM/items/XAZK2LGS"],"itemData":{"id":2738,"type":"webpage","abstract":"To view the first world atlas on childhood obesity, then please click on the here or on the link above.","container-title":"World Obesity Federation","language":"en","title":"Global Atlas on Childhood Obesity","URL":"https://www.worldobesity.org/membersarea/global-atlas-on-childhood-obesity","accessed":{"date-parts":[["2023",11,18]]}}}],"schema":"https://github.com/citation-style-language/schema/raw/master/csl-citation.json"}</w:instrText>
      </w:r>
      <w:r>
        <w:rPr>
          <w:rFonts w:eastAsia="Calibri"/>
          <w:color w:themeColor="text1" w:val="000000"/>
        </w:rPr>
      </w:r>
      <w:r>
        <w:rPr>
          <w:rFonts w:eastAsia="Calibri"/>
          <w:color w:themeColor="text1" w:val="000000"/>
        </w:rPr>
        <w:fldChar w:fldCharType="separate"/>
      </w:r>
      <w:r>
        <w:rPr>
          <w:rFonts w:eastAsia="Calibri"/>
          <w:color w:themeColor="text1" w:val="000000"/>
        </w:rPr>
        <w:t>[23]</w:t>
      </w:r>
      <w:r>
        <w:rPr>
          <w:rFonts w:eastAsia="Calibri"/>
          <w:color w:themeColor="text1" w:val="000000"/>
        </w:rPr>
      </w:r>
      <w:r>
        <w:rPr>
          <w:rFonts w:eastAsia="Calibri"/>
          <w:color w:themeColor="text1" w:val="000000"/>
        </w:rPr>
        <w:fldChar w:fldCharType="end"/>
      </w:r>
      <w:r>
        <w:rPr>
          <w:rFonts w:eastAsia="Calibri"/>
          <w:color w:themeColor="text1" w:val="000000"/>
        </w:rPr>
        <w:t xml:space="preserve"> Η παχυσαρκία κατά την παιδική ηλικία είναι πιθανό να συνεχιστεί στην ενήλικη ζωή και σχετίζεται με καρδιομεταβολική και ψυχοκοινωνική συννοσηρότητα καθώς και πρόωρη θνησιμότητα.</w:t>
      </w:r>
      <w:r>
        <w:fldChar w:fldCharType="begin"/>
      </w:r>
      <w:r>
        <w:rPr>
          <w:rFonts w:eastAsia="Calibri"/>
          <w:color w:themeColor="text1" w:val="000000"/>
        </w:rPr>
        <w:instrText xml:space="preserve">ADDIN ZOTERO_ITEM CSL_CITATION {"citationID":"BN9tBnwD","properties":{"formattedCitation":"[24], [25]","plainCitation":"[24], [25]","noteIndex":0},"citationItems":[{"id":2684,"uris":["http://zotero.org/users/local/WDVvZTBM/items/5WPT5LGC"],"itemData":{"id":2684,"type":"article-journal","abstract":"PURPOSE OF REVIEW: Rates of childhood obesity have been soaring in recent decades. The association between obesity in adulthood and excess morbidity and mortality has been readily established, whereas the association of childhood and adolescent obesity has not. The purpose of this review is to summarize existing data regarding the association of the presence of obesity in childhood/adolescence and early-onset adverse outcomes in adulthood, with specific focus on young adults under the age of 45 years.\nRECENT FINDINGS: Diabetes, cancer, and cardiometabolic outcomes in midlife are closely linked to childhood and adolescent obesity. Childhood and adolescent obesity confer major risks of excess and premature morbidity and mortality, which may be evident before age 30 years in both sexes. The scientific literature is mixed regarding the independent risk of illness, which may be attributed to childhood BMI regardless of adult BMI, and additional data is required to establish causality between the two. Nonetheless, the increasing prevalence of childhood and adolescent obesity may impose an increase of disease burden in midlife, emphasizing the need for effective interventions to be implemented at a young age.","container-title":"Current Obesity Reports","DOI":"10.1007/s13679-021-00439-9","ISSN":"2162-4968","issue":"3","journalAbbreviation":"Curr Obes Rep","language":"eng","note":"PMID: 33950400","page":"301-310","source":"PubMed","title":"Adolescent and Childhood Obesity and Excess Morbidity and Mortality in Young Adulthood-a Systematic Review","volume":"10","author":[{"family":"Horesh","given":"Adi"},{"family":"Tsur","given":"Avishai M."},{"family":"Bardugo","given":"Aya"},{"family":"Twig","given":"Gilad"}],"issued":{"date-parts":[["2021",9]]}}},{"id":2690,"uris":["http://zotero.org/users/local/WDVvZTBM/items/FNB7ZUIR"],"itemData":{"id":2690,"type":"article-journal","abstract":"Obesity affects 158 million youth worldwide and is associated with psychosocial comorbidity. This review describes weight management options utilized by adolescents, including both self-directed weight loss and medically supervised obesity treatment interventions, and associated psychosocial impacts …","container-title":"Obesity (Silver Spring, Md.)","DOI":"10.1002/oby.23194","ISSN":"1930-739X","issue":"9","language":"en","note":"publisher: Obesity (Silver Spring)\nPMID: 34431234","source":"pubmed.ncbi.nlm.nih.gov","title":"Addressing psychosocial health in the treatment and care of adolescents with obesity","URL":"https://pubmed.ncbi.nlm.nih.gov/34431234/","volume":"29","author":[{"family":"H","given":"Jebeile"},{"family":"Mi","given":"Cardel"},{"family":"Tk","given":"Kyle"},{"family":"Am","given":"Jastreboff"}],"accessed":{"date-parts":[["2023",11,18]]},"issued":{"date-parts":[["2021",9]]}}}],"schema":"https://github.com/citation-style-language/schema/raw/master/csl-citation.json"}</w:instrText>
      </w:r>
      <w:r>
        <w:rPr>
          <w:rFonts w:eastAsia="Calibri"/>
          <w:color w:themeColor="text1" w:val="000000"/>
        </w:rPr>
      </w:r>
      <w:r>
        <w:rPr>
          <w:rFonts w:eastAsia="Calibri"/>
          <w:color w:themeColor="text1" w:val="000000"/>
        </w:rPr>
        <w:fldChar w:fldCharType="separate"/>
      </w:r>
      <w:r>
        <w:rPr>
          <w:rFonts w:eastAsia="Calibri"/>
          <w:color w:themeColor="text1" w:val="000000"/>
        </w:rPr>
        <w:t>[24], [25]</w:t>
      </w:r>
      <w:r>
        <w:rPr>
          <w:rFonts w:eastAsia="Calibri"/>
          <w:color w:themeColor="text1" w:val="000000"/>
        </w:rPr>
      </w:r>
      <w:r>
        <w:rPr>
          <w:rFonts w:eastAsia="Calibri"/>
          <w:color w:themeColor="text1" w:val="000000"/>
        </w:rPr>
        <w:fldChar w:fldCharType="end"/>
      </w:r>
      <w:r>
        <w:rPr>
          <w:rFonts w:eastAsia="Calibri"/>
          <w:color w:themeColor="text1" w:val="000000"/>
        </w:rPr>
        <w:t xml:space="preserve"> Η παροχή αποτελεσματικής και συμπονετικής φροντίδας, προσαρμοσμένη στο παιδί και την οικογένεια, είναι ζωτικής σημασίας. </w:t>
      </w:r>
      <w:r>
        <w:fldChar w:fldCharType="begin"/>
      </w:r>
      <w:r>
        <w:rPr>
          <w:rFonts w:eastAsia="Calibri"/>
          <w:color w:themeColor="text1" w:val="000000"/>
        </w:rPr>
        <w:instrText xml:space="preserve">ADDIN ZOTERO_ITEM CSL_CITATION {"citationID":"YLOp1xKd","properties":{"formattedCitation":"[26]","plainCitation":"[26]","noteIndex":0},"citationItems":[{"id":2479,"uris":["http://zotero.org/users/local/WDVvZTBM/items/D4H6LIWB"],"itemData":{"id":2479,"type":"article-journal","container-title":"The Lancet Diabetes &amp; Endocrinology","DOI":"10.1016/S2213-8587(22)00047-X","ISSN":"22138587","issue":"5","journalAbbreviation":"The Lancet Diabetes &amp; Endocrinology","language":"en","page":"351-365","source":"DOI.org (Crossref)","title":"Obesity in children and adolescents: epidemiology, causes, assessment, and management","title-short":"Obesity in children and adolescents","volume":"10","author":[{"family":"Jebeile","given":"Hiba"},{"family":"Kelly","given":"Aaron S"},{"family":"O'Malley","given":"Grace"},{"family":"Baur","given":"Louise A"}],"issued":{"date-parts":[["2022",5]]}}}],"schema":"https://github.com/citation-style-language/schema/raw/master/csl-citation.json"}</w:instrText>
      </w:r>
      <w:r>
        <w:rPr>
          <w:rFonts w:eastAsia="Calibri"/>
          <w:color w:themeColor="text1" w:val="000000"/>
        </w:rPr>
      </w:r>
      <w:r>
        <w:rPr>
          <w:rFonts w:eastAsia="Calibri"/>
          <w:color w:themeColor="text1" w:val="000000"/>
        </w:rPr>
        <w:fldChar w:fldCharType="separate"/>
      </w:r>
      <w:r>
        <w:rPr>
          <w:rFonts w:eastAsia="Calibri"/>
          <w:color w:themeColor="text1" w:val="000000"/>
        </w:rPr>
        <w:t>[26]</w:t>
      </w:r>
      <w:r/>
      <w:r>
        <w:rPr>
          <w:rFonts w:eastAsia="Calibri"/>
          <w:color w:themeColor="text1" w:val="000000"/>
        </w:rPr>
        <w:fldChar w:fldCharType="end"/>
      </w:r>
      <w:r>
        <w:rPr>
          <w:rFonts w:eastAsia="Calibri"/>
          <w:color w:themeColor="text1" w:val="000000"/>
        </w:rPr>
      </w:r>
    </w:p>
    <w:p>
      <w:pPr>
        <w:pStyle w:val="Normal"/>
        <w:jc w:val="both"/>
        <w:rPr>
          <w:rFonts w:eastAsia="Calibri"/>
          <w:color w:themeColor="text1" w:val="000000"/>
        </w:rPr>
      </w:pPr>
      <w:r>
        <w:rPr>
          <w:rFonts w:eastAsia="Calibri"/>
          <w:color w:themeColor="text1" w:val="000000"/>
        </w:rPr>
      </w:r>
    </w:p>
    <w:p>
      <w:pPr>
        <w:pStyle w:val="Normal"/>
        <w:rPr>
          <w:rFonts w:eastAsia="Calibri"/>
          <w:b/>
          <w:bCs/>
          <w:i/>
          <w:i/>
          <w:iCs/>
        </w:rPr>
      </w:pPr>
      <w:r>
        <w:rPr>
          <w:rFonts w:eastAsia="Calibri"/>
          <w:b/>
          <w:bCs/>
          <w:i/>
          <w:iCs/>
        </w:rPr>
        <w:t>Επιδημιολογία</w:t>
      </w:r>
    </w:p>
    <w:p>
      <w:pPr>
        <w:pStyle w:val="Normal"/>
        <w:rPr>
          <w:rFonts w:eastAsia="Calibri"/>
        </w:rPr>
      </w:pPr>
      <w:r>
        <w:rPr>
          <w:rFonts w:eastAsia="Calibri"/>
        </w:rPr>
      </w:r>
    </w:p>
    <w:p>
      <w:pPr>
        <w:pStyle w:val="Normal"/>
        <w:jc w:val="both"/>
        <w:rPr>
          <w:rFonts w:eastAsia="Calibri"/>
          <w:i/>
          <w:i/>
          <w:iCs/>
          <w:color w:themeColor="text1" w:val="000000"/>
        </w:rPr>
      </w:pPr>
      <w:r>
        <w:rPr>
          <w:rFonts w:eastAsia="Calibri"/>
          <w:i/>
          <w:iCs/>
          <w:color w:themeColor="text1" w:val="000000"/>
        </w:rPr>
        <w:t>Ορισμοί του υπέρβαρου και της παχυσαρκίας σε παιδιά και εφήβους</w:t>
      </w:r>
    </w:p>
    <w:p>
      <w:pPr>
        <w:pStyle w:val="Normal"/>
        <w:jc w:val="both"/>
        <w:rPr>
          <w:rFonts w:eastAsia="Calibri"/>
          <w:color w:themeColor="text1" w:val="000000"/>
        </w:rPr>
      </w:pPr>
      <w:r>
        <w:rPr>
          <w:rFonts w:eastAsia="Calibri"/>
          <w:color w:themeColor="text1" w:val="000000"/>
        </w:rPr>
      </w:r>
    </w:p>
    <w:p>
      <w:pPr>
        <w:pStyle w:val="Normal"/>
        <w:spacing w:lineRule="auto" w:line="360"/>
        <w:ind w:firstLine="720"/>
        <w:jc w:val="both"/>
        <w:rPr>
          <w:rFonts w:eastAsia="Calibri"/>
          <w:color w:themeColor="text1" w:val="000000"/>
        </w:rPr>
      </w:pPr>
      <w:r>
        <w:rPr>
          <w:rFonts w:eastAsia="Calibri"/>
          <w:color w:themeColor="text1" w:val="000000"/>
        </w:rPr>
        <w:t>Ο ΠΟΥ ορίζει το υπερβολικό βάρος και την παχυσαρκία ως ανώμαλη ή υπερβολική συσσώρευση λίπους που αποτελεί κίνδυνο για την υγεία. Για επιδημιολογικούς σκοπούς και κλινικές πρακτικές, τα απλά ανθρωπομετρικά μέτρα χρησιμοποιούνται γενικά ως εργαλείο διαλογής. Ο Δείκτης Μάζας Σώματος-ΔΜΣ (βάρος/ύψος²· kg/m²) χρησιμοποιείται ως έμμεσο μέτρο του σωματικού λίπους στα παιδιά και τους εφήωους και θα πρέπει να συγκρίνεται με αναφορές αύξησης του πληθυσμού προσαρμοσμένες για το φύλο και την ηλικία. Το Πρότυπο Ανάπτυξης του Παγκόσμιου Οργανισμού Υγείας 2006 συνιστάται σε πολλές χώρες για παιδιά ηλικίας 0–5 ετών και για παιδιά ηλικίας 0–2 ετών στις ΗΠΑ.</w:t>
      </w:r>
      <w:r>
        <w:fldChar w:fldCharType="begin"/>
      </w:r>
      <w:r>
        <w:rPr>
          <w:rFonts w:eastAsia="Calibri"/>
          <w:color w:themeColor="text1" w:val="000000"/>
        </w:rPr>
        <w:instrText xml:space="preserve">ADDIN ZOTERO_ITEM CSL_CITATION {"citationID":"jYcp0FUa","properties":{"formattedCitation":"[27]","plainCitation":"[27]","noteIndex":0},"citationItems":[{"id":2739,"uris":["http://zotero.org/users/local/WDVvZTBM/items/I7RLKBY3"],"itemData":{"id":2739,"type":"webpage","abstract":"The increments on which the velocity standards are based were calculated using the same longitudinal sample of 882 children and statistical approaches as those used in the construction of the attained growth standards. The velocity standards presented in this report provide a set of tools for monitoring the rapid and changing rate of growth in early childhood and can be used to assess children everywhere, regardless of ethnicity, socioeconomic status and type of feeding.","language":"en","title":"WHO child growth standards: growth velocity based on weight, length and head circumference: methods and development","title-short":"WHO child growth standards","URL":"https://www.who.int/publications-detail-redirect/9789241547635","accessed":{"date-parts":[["2023",11,18]]}}}],"schema":"https://github.com/citation-style-language/schema/raw/master/csl-citation.json"}</w:instrText>
      </w:r>
      <w:r>
        <w:rPr>
          <w:rFonts w:eastAsia="Calibri"/>
          <w:color w:themeColor="text1" w:val="000000"/>
        </w:rPr>
      </w:r>
      <w:r>
        <w:rPr>
          <w:rFonts w:eastAsia="Calibri"/>
          <w:color w:themeColor="text1" w:val="000000"/>
        </w:rPr>
        <w:fldChar w:fldCharType="separate"/>
      </w:r>
      <w:r>
        <w:rPr>
          <w:rFonts w:eastAsia="Calibri"/>
          <w:color w:themeColor="text1" w:val="000000"/>
        </w:rPr>
        <w:t>[27]</w:t>
      </w:r>
      <w:r>
        <w:rPr>
          <w:rFonts w:eastAsia="Calibri"/>
          <w:color w:themeColor="text1" w:val="000000"/>
        </w:rPr>
      </w:r>
      <w:r>
        <w:rPr>
          <w:rFonts w:eastAsia="Calibri"/>
          <w:color w:themeColor="text1" w:val="000000"/>
        </w:rPr>
        <w:fldChar w:fldCharType="end"/>
      </w:r>
      <w:r>
        <w:rPr>
          <w:rFonts w:eastAsia="Calibri"/>
          <w:color w:themeColor="text1" w:val="000000"/>
        </w:rPr>
        <w:t xml:space="preserve"> Για μεγαλύτερα παιδιά και στους εφήβους, χρησιμοποιούνται άλλες αναφορές ανάπτυξης, συμπεριλαμβανομένης αυτής του ΠΟΥ 2007, όπου συνιστάται για άτομα ηλικίας 5-19 ετών (υπέρβαροι ορίζονται ως ΔΜΣ ≥ 1 SD και η παχυσαρκία ως ΔΜΣ ≥ 2 SD της διάμεσης τιμής για ηλικία και φύλο), και την Αναφορά Ανάπτυξης των Κέντρων Νοσημάτων Ελέγχου και Πρόληψης των Ηνωμένων Πολιτειών για άτομα ηλικίας 2 έως 20 ετών (το υπέρβαρο είναι &gt;85</w:t>
      </w:r>
      <w:r>
        <w:rPr>
          <w:rFonts w:eastAsia="Calibri"/>
          <w:color w:themeColor="text1" w:val="000000"/>
          <w:vertAlign w:val="superscript"/>
        </w:rPr>
        <w:t>ο</w:t>
      </w:r>
      <w:r>
        <w:rPr>
          <w:rFonts w:eastAsia="Calibri"/>
          <w:color w:themeColor="text1" w:val="000000"/>
        </w:rPr>
        <w:t xml:space="preserve">  έως &lt;95</w:t>
      </w:r>
      <w:r>
        <w:rPr>
          <w:rFonts w:eastAsia="Calibri"/>
          <w:color w:themeColor="text1" w:val="000000"/>
          <w:vertAlign w:val="superscript"/>
        </w:rPr>
        <w:t>ο</w:t>
      </w:r>
      <w:r>
        <w:rPr>
          <w:rFonts w:eastAsia="Calibri"/>
          <w:color w:themeColor="text1" w:val="000000"/>
        </w:rPr>
        <w:t xml:space="preserve">  εκατοστημόριο και η παχυσαρκία είναι ≥95</w:t>
      </w:r>
      <w:r>
        <w:rPr>
          <w:rFonts w:eastAsia="Calibri"/>
          <w:color w:themeColor="text1" w:val="000000"/>
          <w:vertAlign w:val="superscript"/>
        </w:rPr>
        <w:t>ο</w:t>
      </w:r>
      <w:r>
        <w:rPr>
          <w:rFonts w:eastAsia="Calibri"/>
          <w:color w:themeColor="text1" w:val="000000"/>
        </w:rPr>
        <w:t xml:space="preserve">  εκατοστημόριο με βάση τα διαγράμματα ανάπτυξης).</w:t>
      </w:r>
      <w:r>
        <w:fldChar w:fldCharType="begin"/>
      </w:r>
      <w:r>
        <w:rPr>
          <w:rFonts w:eastAsia="Calibri"/>
          <w:color w:themeColor="text1" w:val="000000"/>
        </w:rPr>
        <w:instrText xml:space="preserve">ADDIN ZOTERO_ITEM CSL_CITATION {"citationID":"TF6JZZ56","properties":{"formattedCitation":"[27], [28]","plainCitation":"[27], [28]","noteIndex":0},"citationItems":[{"id":2739,"uris":["http://zotero.org/users/local/WDVvZTBM/items/I7RLKBY3"],"itemData":{"id":2739,"type":"webpage","abstract":"The increments on which the velocity standards are based were calculated using the same longitudinal sample of 882 children and statistical approaches as those used in the construction of the attained growth standards. The velocity standards presented in this report provide a set of tools for monitoring the rapid and changing rate of growth in early childhood and can be used to assess children everywhere, regardless of ethnicity, socioeconomic status and type of feeding.","language":"en","title":"WHO child growth standards: growth velocity based on weight, length and head circumference: methods and development","title-short":"WHO child growth standards","URL":"https://www.who.int/publications-detail-redirect/9789241547635","accessed":{"date-parts":[["2023",11,18]]}},"label":"page"},{"id":2741,"uris":["http://zotero.org/users/local/WDVvZTBM/items/FCV6B2LP"],"itemData":{"id":2741,"type":"webpage","abstract":"Height and weight percentiles in infants, children, and adolescents","language":"en-us","title":"Growth Charts - Homepage","URL":"https://www.cdc.gov/growthcharts/index.htm","accessed":{"date-parts":[["2023",11,18]]},"issued":{"date-parts":[["2023",4,4]]}}}],"schema":"https://github.com/citation-style-language/schema/raw/master/csl-citation.json"}</w:instrText>
      </w:r>
      <w:r>
        <w:rPr>
          <w:rFonts w:eastAsia="Calibri"/>
          <w:color w:themeColor="text1" w:val="000000"/>
        </w:rPr>
      </w:r>
      <w:r>
        <w:rPr>
          <w:rFonts w:eastAsia="Calibri"/>
          <w:color w:themeColor="text1" w:val="000000"/>
        </w:rPr>
        <w:fldChar w:fldCharType="separate"/>
      </w:r>
      <w:r>
        <w:rPr>
          <w:rFonts w:eastAsia="Calibri"/>
          <w:color w:themeColor="text1" w:val="000000"/>
        </w:rPr>
        <w:t>[27], [28]</w:t>
      </w:r>
      <w:r>
        <w:rPr>
          <w:rFonts w:eastAsia="Calibri"/>
          <w:color w:themeColor="text1" w:val="000000"/>
        </w:rPr>
      </w:r>
      <w:r>
        <w:rPr>
          <w:rFonts w:eastAsia="Calibri"/>
          <w:color w:themeColor="text1" w:val="000000"/>
        </w:rPr>
        <w:fldChar w:fldCharType="end"/>
      </w:r>
      <w:r>
        <w:rPr>
          <w:rFonts w:eastAsia="Calibri"/>
          <w:color w:themeColor="text1" w:val="000000"/>
        </w:rPr>
        <w:t xml:space="preserve"> Οι πίνακες της διεθνούς ομάδας εργασίας για την παχυσαρκία (</w:t>
      </w:r>
      <w:r>
        <w:rPr>
          <w:rFonts w:eastAsia="Calibri"/>
          <w:color w:themeColor="text1" w:val="000000"/>
          <w:lang w:val="en-US"/>
        </w:rPr>
        <w:t>International</w:t>
      </w:r>
      <w:r>
        <w:rPr>
          <w:rFonts w:eastAsia="Calibri"/>
          <w:color w:themeColor="text1" w:val="000000"/>
        </w:rPr>
        <w:t xml:space="preserve"> </w:t>
      </w:r>
      <w:r>
        <w:rPr>
          <w:rFonts w:eastAsia="Calibri"/>
          <w:color w:themeColor="text1" w:val="000000"/>
          <w:lang w:val="en-US"/>
        </w:rPr>
        <w:t>Obesity</w:t>
      </w:r>
      <w:r>
        <w:rPr>
          <w:rFonts w:eastAsia="Calibri"/>
          <w:color w:themeColor="text1" w:val="000000"/>
        </w:rPr>
        <w:t xml:space="preserve"> </w:t>
      </w:r>
      <w:r>
        <w:rPr>
          <w:rFonts w:eastAsia="Calibri"/>
          <w:color w:themeColor="text1" w:val="000000"/>
          <w:lang w:val="en-US"/>
        </w:rPr>
        <w:t>Task</w:t>
      </w:r>
      <w:r>
        <w:rPr>
          <w:rFonts w:eastAsia="Calibri"/>
          <w:color w:themeColor="text1" w:val="000000"/>
        </w:rPr>
        <w:t xml:space="preserve"> </w:t>
      </w:r>
      <w:r>
        <w:rPr>
          <w:rFonts w:eastAsia="Calibri"/>
          <w:color w:themeColor="text1" w:val="000000"/>
          <w:lang w:val="en-US"/>
        </w:rPr>
        <w:t>Force</w:t>
      </w:r>
      <w:r>
        <w:rPr>
          <w:rFonts w:eastAsia="Calibri"/>
          <w:color w:themeColor="text1" w:val="000000"/>
        </w:rPr>
        <w:t xml:space="preserve"> </w:t>
      </w:r>
      <w:r>
        <w:rPr>
          <w:rFonts w:eastAsia="Calibri"/>
          <w:color w:themeColor="text1" w:val="000000"/>
          <w:lang w:val="en-US"/>
        </w:rPr>
        <w:t>Teams</w:t>
      </w:r>
      <w:r>
        <w:rPr>
          <w:rFonts w:eastAsia="Calibri"/>
          <w:color w:themeColor="text1" w:val="000000"/>
        </w:rPr>
        <w:t>) χρησιμοποιούνται για παιδιά ηλικίας 2 έως 18 ετών για επιδημιολογικές μελέτες.</w:t>
      </w:r>
    </w:p>
    <w:p>
      <w:pPr>
        <w:pStyle w:val="Normal"/>
        <w:spacing w:lineRule="auto" w:line="360"/>
        <w:ind w:firstLine="720"/>
        <w:jc w:val="both"/>
        <w:rPr>
          <w:rFonts w:eastAsia="Calibri"/>
          <w:color w:themeColor="text1" w:val="000000"/>
        </w:rPr>
      </w:pPr>
      <w:r>
        <w:rPr>
          <w:rFonts w:eastAsia="Calibri"/>
          <w:color w:themeColor="text1" w:val="000000"/>
        </w:rPr>
        <w:t>Η κοιλιακή ή κεντρική παχυσαρκία σχετίζεται με αυξημέν</w:t>
      </w:r>
      <w:r>
        <w:rPr>
          <w:rFonts w:eastAsia="Calibri"/>
          <w:color w:themeColor="text1" w:val="000000"/>
          <w:lang w:val="en-US"/>
        </w:rPr>
        <w:t>o</w:t>
      </w:r>
      <w:r>
        <w:rPr>
          <w:rFonts w:eastAsia="Calibri"/>
          <w:color w:themeColor="text1" w:val="000000"/>
        </w:rPr>
        <w:t xml:space="preserve"> καρδιομεταβολικό κίνδυνο σε παιδιά και εφήβους. Για περιφέρεια μέσης υπάρχουν τοπικές και διεθνείς αναφορές ανάπτυξης που επιτρέπουν την προσαρμογή για την ηλικία και το φύλο.</w:t>
      </w:r>
      <w:r>
        <w:fldChar w:fldCharType="begin"/>
      </w:r>
      <w:r>
        <w:rPr>
          <w:rFonts w:eastAsia="Calibri"/>
          <w:color w:themeColor="text1" w:val="000000"/>
        </w:rPr>
        <w:instrText xml:space="preserve">ADDIN ZOTERO_ITEM CSL_CITATION {"citationID":"GLynB2iG","properties":{"formattedCitation":"[29], [30]","plainCitation":"[29], [30]","noteIndex":0},"citationItems":[{"id":2694,"uris":["http://zotero.org/users/local/WDVvZTBM/items/ZC2C3ZNL"],"itemData":{"id":2694,"type":"article-journal","abstract":"The international WC cutoffs developed in this study could be useful to screen central obesity in children and adolescents aged 6 to 18 years and allow direct comparison of WC distributions between populations and over time.","container-title":"The Journal of clinical endocrinology and metabolism","DOI":"10.1210/clinem/dgz195","ISSN":"1945-7197","issue":"4","language":"en","note":"publisher: J Clin Endocrinol Metab\nPMID: 31723976","source":"pubmed.ncbi.nlm.nih.gov","title":"International Waist Circumference Percentile Cutoffs for Central Obesity in Children and Adolescents Aged 6 to 18 Years","URL":"https://pubmed.ncbi.nlm.nih.gov/31723976/","volume":"105","author":[{"family":"B","given":"Xi"},{"family":"X","given":"Zong"},{"family":"R","given":"Kelishadi"},{"family":"M","given":"Litwin"},{"family":"Ym","given":"Hong"},{"family":"Bk","given":"Poh"},{"family":"Lm","given":"Steffen"},{"family":"Sv","given":"Galcheva"},{"family":"I","given":"Herter-Aeberli"},{"family":"T","given":"Nawarycz"},{"family":"M","given":"Krzywińska-Wiewiorowska"},{"family":"A","given":"Khadilkar"},{"family":"Md","given":"Schmidt"},{"family":"H","given":"Neuhauser"},{"family":"A","given":"Schienkiewitz"},{"family":"Z","given":"Kułaga"},{"family":"Hs","given":"Kim"},{"family":"B","given":"Stawińska-Witoszyńska"},{"family":"Me","given":"Motlagh"},{"family":"At","given":"Ruzita"},{"family":"Vm","given":"Iotova"},{"family":"A","given":"Grajda"},{"family":"Mn","given":"Ismail"},{"family":"A","given":"Krzyżaniak"},{"family":"R","given":"Heshmat"},{"family":"V","given":"Stratev"},{"family":"A","given":"Różdżyńska-Świątkowska"},{"family":"G","given":"Ardalan"},{"family":"M","given":"Qorbani"},{"family":"A","given":"Świąder-Leśniak"},{"family":"L","given":"Ostrowska-Nawarycz"},{"family":"Y","given":"Yotov"},{"family":"V","given":"Ekbote"},{"family":"V","given":"Khadilkar"},{"family":"Aj","given":"Venn"},{"family":"T","given":"Dwyer"},{"family":"M","given":"Zhao"},{"family":"Cg","given":"Magnussen"},{"family":"P","given":"Bovet"}],"accessed":{"date-parts":[["2023",11,18]]},"issued":{"date-parts":[["2020",1,4]]}}},{"id":2700,"uris":["http://zotero.org/users/local/WDVvZTBM/items/ES7W7AQV"],"itemData":{"id":2700,"type":"article-journal","abstract":"This study presents the first age-, sex-, and ethnicity-specific reference values for waist circumference and waist circumference to stature ratio in Japanese preschool children.","container-title":"Journal of pediatric endocrinology &amp; metabolism : JPEM","DOI":"10.1515/jpem-2020-0418","ISSN":"2191-0251","issue":"3","language":"en","note":"publisher: J Pediatr Endocrinol Metab\nPMID: 33675207","source":"pubmed.ncbi.nlm.nih.gov","title":"Population-based waist circumference reference values in Japanese children (0-6 years): comparisons with Dutch, Swedish and Turkish preschool children","title-short":"Population-based waist circumference reference values in Japanese children (0-6 years)","URL":"https://pubmed.ncbi.nlm.nih.gov/33675207/","volume":"34","author":[{"family":"M","given":"Inokuchi"},{"family":"N","given":"Matsuo"},{"family":"Ji","given":"Takayama"},{"family":"T","given":"Hasegawa"}],"accessed":{"date-parts":[["2023",11,18]]},"issued":{"date-parts":[["2020",12,18]]}}}],"schema":"https://github.com/citation-style-language/schema/raw/master/csl-citation.json"}</w:instrText>
      </w:r>
      <w:r>
        <w:rPr>
          <w:rFonts w:eastAsia="Calibri"/>
          <w:color w:themeColor="text1" w:val="000000"/>
        </w:rPr>
      </w:r>
      <w:r>
        <w:rPr>
          <w:rFonts w:eastAsia="Calibri"/>
          <w:color w:themeColor="text1" w:val="000000"/>
        </w:rPr>
        <w:fldChar w:fldCharType="separate"/>
      </w:r>
      <w:r>
        <w:rPr>
          <w:rFonts w:eastAsia="Calibri"/>
          <w:color w:themeColor="text1" w:val="000000"/>
        </w:rPr>
        <w:t>[29], [30]</w:t>
      </w:r>
      <w:r>
        <w:rPr>
          <w:rFonts w:eastAsia="Calibri"/>
          <w:color w:themeColor="text1" w:val="000000"/>
        </w:rPr>
      </w:r>
      <w:r>
        <w:rPr>
          <w:rFonts w:eastAsia="Calibri"/>
          <w:color w:themeColor="text1" w:val="000000"/>
        </w:rPr>
        <w:fldChar w:fldCharType="end"/>
      </w:r>
      <w:r>
        <w:rPr>
          <w:rFonts w:eastAsia="Calibri"/>
          <w:color w:themeColor="text1" w:val="000000"/>
        </w:rPr>
        <w:t xml:space="preserve"> Η αναλογία μέσης προς ύψος μεγαλύτερη από 0∙5 αυξάνεται ολοένα και περισσότερο σε χρήση ως δείκτης κοιλιακής παχυσαρκίας σε κλινικές και ερευνητικές μελέτες, χωρίς να χρειάζεται συγκριτική αναφορά. </w:t>
      </w:r>
    </w:p>
    <w:p>
      <w:pPr>
        <w:pStyle w:val="Normal"/>
        <w:spacing w:lineRule="auto" w:line="360"/>
        <w:ind w:firstLine="720"/>
        <w:jc w:val="both"/>
        <w:rPr>
          <w:rFonts w:eastAsia="Calibri"/>
          <w:color w:themeColor="text1" w:val="000000"/>
        </w:rPr>
      </w:pPr>
      <w:r>
        <w:rPr>
          <w:rFonts w:eastAsia="Calibri"/>
          <w:color w:themeColor="text1" w:val="000000"/>
        </w:rPr>
        <w:t>Έχουν προταθεί διάφοροι ορισμοί για τον προσδιορισμό πιο ακραίων τιμών του ΔΜΣ σε παιδιά και εφήβους. Η διεθνής ομάδα εργασίας για την παχυσαρκία όρισε τη νοσηρή παχυσαρκία ως ισοδύναμη με προσαρμοσμένη στην ηλικία και προσαρμοσμένη στο φύλο με ΔΜΣ 35kg/m² ή περισσότερο σε ηλικία 18 ετών, μια τιμή που χρησιμοποιείται ειδικά για επιδημιολογική χρήση. Η Αμερικανική Ένωση Καρδιοπαθειών χαρακτηρίζει τη σοβαρή παχυσαρκία ως ένα ΔΜΣ του 120% ή περισσότερο από το 95ο εκατοστημόριο του ΔΜΣ για την ηλικία και το φύλο (με βάση τα διαγράμματα ανάπτυξης), ένας ορισμός που μπορεί να χρησιμοποιηθεί τόσο στην κλινική πράξη όσο και στην έρευνα.</w:t>
      </w:r>
      <w:r>
        <w:fldChar w:fldCharType="begin"/>
      </w:r>
      <w:r>
        <w:rPr>
          <w:rFonts w:eastAsia="Calibri"/>
          <w:color w:themeColor="text1" w:val="000000"/>
        </w:rPr>
        <w:instrText xml:space="preserve">ADDIN ZOTERO_ITEM CSL_CITATION {"citationID":"nSlVgjMe","properties":{"formattedCitation":"[26]","plainCitation":"[26]","noteIndex":0},"citationItems":[{"id":2479,"uris":["http://zotero.org/users/local/WDVvZTBM/items/D4H6LIWB"],"itemData":{"id":2479,"type":"article-journal","container-title":"The Lancet Diabetes &amp; Endocrinology","DOI":"10.1016/S2213-8587(22)00047-X","ISSN":"22138587","issue":"5","journalAbbreviation":"The Lancet Diabetes &amp; Endocrinology","language":"en","page":"351-365","source":"DOI.org (Crossref)","title":"Obesity in children and adolescents: epidemiology, causes, assessment, and management","title-short":"Obesity in children and adolescents","volume":"10","author":[{"family":"Jebeile","given":"Hiba"},{"family":"Kelly","given":"Aaron S"},{"family":"O'Malley","given":"Grace"},{"family":"Baur","given":"Louise A"}],"issued":{"date-parts":[["2022",5]]}}}],"schema":"https://github.com/citation-style-language/schema/raw/master/csl-citation.json"}</w:instrText>
      </w:r>
      <w:r>
        <w:rPr>
          <w:rFonts w:eastAsia="Calibri"/>
          <w:color w:themeColor="text1" w:val="000000"/>
        </w:rPr>
      </w:r>
      <w:r>
        <w:rPr>
          <w:rFonts w:eastAsia="Calibri"/>
          <w:color w:themeColor="text1" w:val="000000"/>
        </w:rPr>
        <w:fldChar w:fldCharType="separate"/>
      </w:r>
      <w:r>
        <w:rPr>
          <w:rFonts w:eastAsia="Calibri"/>
          <w:color w:themeColor="text1" w:val="000000"/>
        </w:rPr>
        <w:t>[26]</w:t>
      </w:r>
      <w:r/>
      <w:r>
        <w:rPr>
          <w:rFonts w:eastAsia="Calibri"/>
          <w:color w:themeColor="text1" w:val="000000"/>
        </w:rPr>
        <w:fldChar w:fldCharType="end"/>
      </w:r>
      <w:r>
        <w:rPr>
          <w:rFonts w:eastAsia="Calibri"/>
          <w:color w:themeColor="text1" w:val="000000"/>
        </w:rPr>
      </w:r>
    </w:p>
    <w:p>
      <w:pPr>
        <w:pStyle w:val="Normal"/>
        <w:jc w:val="both"/>
        <w:rPr>
          <w:rFonts w:eastAsia="Calibri"/>
          <w:color w:themeColor="text1" w:val="000000"/>
        </w:rPr>
      </w:pPr>
      <w:r>
        <w:rPr>
          <w:rFonts w:eastAsia="Calibri"/>
          <w:color w:themeColor="text1" w:val="000000"/>
        </w:rPr>
      </w:r>
    </w:p>
    <w:p>
      <w:pPr>
        <w:pStyle w:val="Normal"/>
        <w:jc w:val="both"/>
        <w:rPr>
          <w:rFonts w:eastAsia="Calibri"/>
          <w:i/>
          <w:i/>
          <w:iCs/>
          <w:color w:themeColor="text1" w:val="000000"/>
        </w:rPr>
      </w:pPr>
      <w:r>
        <w:rPr>
          <w:rFonts w:eastAsia="Calibri"/>
          <w:i/>
          <w:iCs/>
          <w:color w:themeColor="text1" w:val="000000"/>
        </w:rPr>
        <w:t>Επικράτηση</w:t>
      </w:r>
    </w:p>
    <w:p>
      <w:pPr>
        <w:pStyle w:val="Normal"/>
        <w:jc w:val="both"/>
        <w:rPr>
          <w:rFonts w:eastAsia="Calibri"/>
          <w:i/>
          <w:i/>
          <w:iCs/>
          <w:color w:themeColor="text1" w:val="000000"/>
        </w:rPr>
      </w:pPr>
      <w:r>
        <w:rPr>
          <w:rFonts w:eastAsia="Calibri"/>
          <w:i/>
          <w:iCs/>
          <w:color w:themeColor="text1" w:val="000000"/>
        </w:rPr>
      </w:r>
    </w:p>
    <w:p>
      <w:pPr>
        <w:pStyle w:val="Normal"/>
        <w:spacing w:lineRule="auto" w:line="360"/>
        <w:ind w:firstLine="720"/>
        <w:jc w:val="both"/>
        <w:rPr>
          <w:rFonts w:eastAsia="Calibri"/>
          <w:color w:themeColor="text1" w:val="000000"/>
        </w:rPr>
      </w:pPr>
      <w:r>
        <w:rPr>
          <w:rFonts w:eastAsia="Calibri"/>
          <w:color w:themeColor="text1" w:val="000000"/>
        </w:rPr>
        <w:t>Η επικράτηση της παιδικής παχυσαρκίας</w:t>
      </w:r>
      <w:r>
        <w:fldChar w:fldCharType="begin"/>
      </w:r>
      <w:r>
        <w:rPr>
          <w:rFonts w:eastAsia="Calibri"/>
          <w:color w:themeColor="text1" w:val="000000"/>
        </w:rPr>
        <w:instrText xml:space="preserve">ADDIN ZOTERO_ITEM CSL_CITATION {"citationID":"1Dgc49SL","properties":{"formattedCitation":"[31]","plainCitation":"[31]","noteIndex":0},"citationItems":[{"id":2742,"uris":["http://zotero.org/users/local/WDVvZTBM/items/CM652IRS"],"itemData":{"id":2742,"type":"webpage","container-title":"World Obesity Federation Global Obesity Observatory","language":"en","title":"Presentation maps","URL":"https://data.worldobesity.org/maps/?area=trends","accessed":{"date-parts":[["2023",11,18]]}}}],"schema":"https://github.com/citation-style-language/schema/raw/master/csl-citation.json"}</w:instrText>
      </w:r>
      <w:r>
        <w:rPr>
          <w:rFonts w:eastAsia="Calibri"/>
          <w:color w:themeColor="text1" w:val="000000"/>
        </w:rPr>
      </w:r>
      <w:r>
        <w:rPr>
          <w:rFonts w:eastAsia="Calibri"/>
          <w:color w:themeColor="text1" w:val="000000"/>
        </w:rPr>
        <w:fldChar w:fldCharType="separate"/>
      </w:r>
      <w:r>
        <w:rPr>
          <w:rFonts w:eastAsia="Calibri"/>
          <w:color w:themeColor="text1" w:val="000000"/>
        </w:rPr>
        <w:t>[31]</w:t>
      </w:r>
      <w:r>
        <w:rPr>
          <w:rFonts w:eastAsia="Calibri"/>
          <w:color w:themeColor="text1" w:val="000000"/>
        </w:rPr>
      </w:r>
      <w:r>
        <w:rPr>
          <w:rFonts w:eastAsia="Calibri"/>
          <w:color w:themeColor="text1" w:val="000000"/>
        </w:rPr>
        <w:fldChar w:fldCharType="end"/>
      </w:r>
      <w:r>
        <w:rPr>
          <w:rFonts w:eastAsia="Calibri"/>
          <w:color w:themeColor="text1" w:val="000000"/>
        </w:rPr>
        <w:t xml:space="preserve"> έχει αυξηθεί παγκοσμίως τις τελευταίες πέντε δεκαετίες. Από το 1975 έως το 2016, η παγκόσμια, βασισμένη σε πρότυπα για την ηλικία, επικράτηση της παχυσαρκίας σε παιδιά και εφήβους ηλικίας 5–19 ετών αυξήθηκε από 0,7% (95% αξιόπιστο διάστημα [CrI] 0∙4–1∙2) έως 5,6% (4,8–6,5) για τα κορίτσια και από 0,9% (0,5–1,3) σε 7,8% (6,7–9,1) για τα αγόρια.</w:t>
      </w:r>
      <w:r>
        <w:fldChar w:fldCharType="begin"/>
      </w:r>
      <w:r>
        <w:rPr>
          <w:rFonts w:eastAsia="Calibri"/>
          <w:color w:themeColor="text1" w:val="000000"/>
        </w:rPr>
        <w:instrText xml:space="preserve">ADDIN ZOTERO_ITEM CSL_CITATION {"citationID":"l2HWyRBO","properties":{"formattedCitation":"[32]","plainCitation":"[32]","noteIndex":0},"citationItems":[{"id":2704,"uris":["http://zotero.org/users/local/WDVvZTBM/items/Z4ELZDWD"],"itemData":{"id":2704,"type":"article-journal","abstract":"Wellcome Trust, AstraZeneca Young Health Programme.","container-title":"Lancet (London, England)","DOI":"10.1016/S0140-6736(17)32129-3","ISSN":"1474-547X","issue":"10113","language":"en","note":"publisher: Lancet\nPMID: 29029897","source":"pubmed.ncbi.nlm.nih.gov","title":"Worldwide trends in body-mass index, underweight, overweight, and obesity from 1975 to 2016: a pooled analysis of 2416 population-based measurement studies in 128·9 million children, adolescents, and adults","title-short":"Worldwide trends in body-mass index, underweight, overweight, and obesity from 1975 to 2016","URL":"https://pubmed.ncbi.nlm.nih.gov/29029897/","volume":"390","accessed":{"date-parts":[["2023",11,18]]},"issued":{"date-parts":[["2017",12,16]]}}}],"schema":"https://github.com/citation-style-language/schema/raw/master/csl-citation.json"}</w:instrText>
      </w:r>
      <w:r>
        <w:rPr>
          <w:rFonts w:eastAsia="Calibri"/>
          <w:color w:themeColor="text1" w:val="000000"/>
        </w:rPr>
      </w:r>
      <w:r>
        <w:rPr>
          <w:rFonts w:eastAsia="Calibri"/>
          <w:color w:themeColor="text1" w:val="000000"/>
        </w:rPr>
        <w:fldChar w:fldCharType="separate"/>
      </w:r>
      <w:r>
        <w:rPr>
          <w:rFonts w:eastAsia="Calibri"/>
          <w:color w:themeColor="text1" w:val="000000"/>
        </w:rPr>
        <w:t>[32]</w:t>
      </w:r>
      <w:r>
        <w:rPr>
          <w:rFonts w:eastAsia="Calibri"/>
          <w:color w:themeColor="text1" w:val="000000"/>
        </w:rPr>
      </w:r>
      <w:r>
        <w:rPr>
          <w:rFonts w:eastAsia="Calibri"/>
          <w:color w:themeColor="text1" w:val="000000"/>
        </w:rPr>
        <w:fldChar w:fldCharType="end"/>
      </w:r>
      <w:r>
        <w:rPr>
          <w:rFonts w:eastAsia="Calibri"/>
          <w:color w:themeColor="text1" w:val="000000"/>
        </w:rPr>
        <w:t xml:space="preserve"> Από το 2000, ο μέσος ΔΜΣ έχει μείνει στάσιμος, συνήθως σε υψηλά επίπεδα, σε χώρες με υψηλό εισόδημα, αλλά συνέχισε να αυξάνεται σε χαμηλού και μέσου εισοδήματος χώρες. Το 2016, η επικράτηση της παχυσαρκίας σε αυτή την ηλικιακή ομάδα ήταν η υψηλότερη (&gt;30%) σε πολλά έθνη των νησιών του Ειρηνικού και ήταν υψηλή (&gt;20%) και σε αρκετές χώρες στη Μέση Ανατολή, τη Βόρεια Αφρική, Μικρονησία (περιοχή του δυτικού Ειρηνικού), Πολυνησία (υποπεριοχή Ωκεανίας), την Καραϊβική, καθώς και στις  ΗΠΑ.</w:t>
      </w:r>
      <w:r>
        <w:fldChar w:fldCharType="begin"/>
      </w:r>
      <w:r>
        <w:rPr>
          <w:rFonts w:eastAsia="Calibri"/>
          <w:color w:themeColor="text1" w:val="000000"/>
        </w:rPr>
        <w:instrText xml:space="preserve">ADDIN ZOTERO_ITEM CSL_CITATION {"citationID":"uSsH9jg4","properties":{"formattedCitation":"[23]","plainCitation":"[23]","noteIndex":0},"citationItems":[{"id":2738,"uris":["http://zotero.org/users/local/WDVvZTBM/items/XAZK2LGS"],"itemData":{"id":2738,"type":"webpage","abstract":"To view the first world atlas on childhood obesity, then please click on the here or on the link above.","container-title":"World Obesity Federation","language":"en","title":"Global Atlas on Childhood Obesity","URL":"https://www.worldobesity.org/membersarea/global-atlas-on-childhood-obesity","accessed":{"date-parts":[["2023",11,18]]}}}],"schema":"https://github.com/citation-style-language/schema/raw/master/csl-citation.json"}</w:instrText>
      </w:r>
      <w:r>
        <w:rPr>
          <w:rFonts w:eastAsia="Calibri"/>
          <w:color w:themeColor="text1" w:val="000000"/>
        </w:rPr>
      </w:r>
      <w:r>
        <w:rPr>
          <w:rFonts w:eastAsia="Calibri"/>
          <w:color w:themeColor="text1" w:val="000000"/>
        </w:rPr>
        <w:fldChar w:fldCharType="separate"/>
      </w:r>
      <w:r>
        <w:rPr>
          <w:rFonts w:eastAsia="Calibri"/>
          <w:color w:themeColor="text1" w:val="000000"/>
        </w:rPr>
        <w:t>[23]</w:t>
      </w:r>
      <w:r/>
      <w:r>
        <w:rPr>
          <w:rFonts w:eastAsia="Calibri"/>
          <w:color w:themeColor="text1" w:val="000000"/>
        </w:rPr>
        <w:fldChar w:fldCharType="end"/>
      </w:r>
      <w:r>
        <w:rPr>
          <w:rFonts w:eastAsia="Calibri"/>
          <w:color w:themeColor="text1" w:val="000000"/>
        </w:rPr>
      </w:r>
    </w:p>
    <w:p>
      <w:pPr>
        <w:pStyle w:val="Normal"/>
        <w:spacing w:lineRule="auto" w:line="360"/>
        <w:ind w:firstLine="720"/>
        <w:jc w:val="both"/>
        <w:rPr>
          <w:rFonts w:eastAsia="Calibri"/>
          <w:color w:themeColor="text1" w:val="000000"/>
        </w:rPr>
      </w:pPr>
      <w:r>
        <w:rPr>
          <w:rFonts w:eastAsia="Calibri"/>
          <w:color w:themeColor="text1" w:val="000000"/>
        </w:rPr>
        <w:t>Το 2019, η Παγκόσμια Ομοσπονδία Παχυσαρκίας εκτίμησε ότι θα ήταν 206 εκατομμύρια παιδιά και έφηβοι ηλικίας 5–19 χρόνια με παχυσαρκία το 2025 και 254 εκατομμύρια το 2030.</w:t>
      </w:r>
      <w:r>
        <w:fldChar w:fldCharType="begin"/>
      </w:r>
      <w:r>
        <w:rPr>
          <w:rFonts w:eastAsia="Calibri"/>
          <w:color w:themeColor="text1" w:val="000000"/>
        </w:rPr>
        <w:instrText xml:space="preserve">ADDIN ZOTERO_ITEM CSL_CITATION {"citationID":"kkhzWQqX","properties":{"formattedCitation":"[23]","plainCitation":"[23]","noteIndex":0},"citationItems":[{"id":2738,"uris":["http://zotero.org/users/local/WDVvZTBM/items/XAZK2LGS"],"itemData":{"id":2738,"type":"webpage","abstract":"To view the first world atlas on childhood obesity, then please click on the here or on the link above.","container-title":"World Obesity Federation","language":"en","title":"Global Atlas on Childhood Obesity","URL":"https://www.worldobesity.org/membersarea/global-atlas-on-childhood-obesity","accessed":{"date-parts":[["2023",11,18]]}}}],"schema":"https://github.com/citation-style-language/schema/raw/master/csl-citation.json"}</w:instrText>
      </w:r>
      <w:r>
        <w:rPr>
          <w:rFonts w:eastAsia="Calibri"/>
          <w:color w:themeColor="text1" w:val="000000"/>
        </w:rPr>
      </w:r>
      <w:r>
        <w:rPr>
          <w:rFonts w:eastAsia="Calibri"/>
          <w:color w:themeColor="text1" w:val="000000"/>
        </w:rPr>
        <w:fldChar w:fldCharType="separate"/>
      </w:r>
      <w:r>
        <w:rPr>
          <w:rFonts w:eastAsia="Calibri"/>
          <w:color w:themeColor="text1" w:val="000000"/>
        </w:rPr>
        <w:t>[23]</w:t>
      </w:r>
      <w:r>
        <w:rPr>
          <w:rFonts w:eastAsia="Calibri"/>
          <w:color w:themeColor="text1" w:val="000000"/>
        </w:rPr>
      </w:r>
      <w:r>
        <w:rPr>
          <w:rFonts w:eastAsia="Calibri"/>
          <w:color w:themeColor="text1" w:val="000000"/>
        </w:rPr>
        <w:fldChar w:fldCharType="end"/>
      </w:r>
      <w:r>
        <w:rPr>
          <w:rFonts w:eastAsia="Calibri"/>
          <w:color w:themeColor="text1" w:val="000000"/>
        </w:rPr>
        <w:t xml:space="preserve"> Από τις 42 χώρες που εκτιμάται ότι θα έχουν περισσότερο από 1 εκατομμύριο παιδιά με παχυσαρκία το 2030, στην κορυφή κατατάσσονται η Κίνα, ακολουθούμενη από την Ινδία, τις ΗΠΑ, την Ινδονησία, και τη Βραζιλία, με μόνο επτά από τις 42 κορυφαίες χώρες να είναι χώρες υψηλού εισοδήματος.</w:t>
      </w:r>
    </w:p>
    <w:p>
      <w:pPr>
        <w:pStyle w:val="Normal"/>
        <w:spacing w:lineRule="auto" w:line="360"/>
        <w:ind w:firstLine="720"/>
        <w:jc w:val="both"/>
        <w:rPr>
          <w:rFonts w:eastAsia="Calibri"/>
          <w:color w:themeColor="text1" w:val="000000"/>
        </w:rPr>
      </w:pPr>
      <w:r>
        <w:rPr>
          <w:rFonts w:eastAsia="Calibri"/>
          <w:color w:themeColor="text1" w:val="000000"/>
        </w:rPr>
        <w:t xml:space="preserve"> </w:t>
      </w:r>
      <w:r>
        <w:rPr>
          <w:rFonts w:eastAsia="Calibri"/>
          <w:color w:themeColor="text1" w:val="000000"/>
        </w:rPr>
        <w:t>Η επικράτηση της σοβαρής παχυσαρκίας στον παιδικό πληθυσμό έχει αυξηθεί σε πολλές χώρες υψηλού εισοδήματος, παρόλο που ο συνολικός επιπολασμός της παχυσαρκίας ήταν σταθερός.</w:t>
      </w:r>
      <w:r>
        <w:fldChar w:fldCharType="begin"/>
      </w:r>
      <w:r>
        <w:rPr>
          <w:rFonts w:eastAsia="Calibri"/>
          <w:color w:themeColor="text1" w:val="000000"/>
        </w:rPr>
        <w:instrText xml:space="preserve">ADDIN ZOTERO_ITEM CSL_CITATION {"citationID":"LVGoH1yC","properties":{"formattedCitation":"[33]\\uc0\\u8211{}[35]","plainCitation":"[33]–[35]","noteIndex":0},"citationItems":[{"id":2706,"uris":["http://zotero.org/users/local/WDVvZTBM/items/YX6DQ35Q"],"itemData":{"id":2706,"type":"article-journal","abstract":"Severe obesity is a serious public health issue which affects a large number of children in Europe. Because of the impact on educational, health, social care, and economic systems, obesity needs to be addressed via a range of approaches from early prevention of overweight and obesity to treatment of …","container-title":"Obesity facts","DOI":"10.1159/000500436","ISSN":"1662-4033","issue":"2","language":"en","note":"publisher: Obes Facts\nPMID: 31030201","source":"pubmed.ncbi.nlm.nih.gov","title":"Prevalence of Severe Obesity among Primary School Children in 21 European Countries","URL":"https://pubmed.ncbi.nlm.nih.gov/31030201/","volume":"12","author":[{"family":"A","given":"Spinelli"},{"family":"M","given":"Buoncristiano"},{"family":"Va","given":"Kovacs"},{"family":"A","given":"Yngve"},{"family":"I","given":"Spiroski"},{"family":"G","given":"Obreja"},{"family":"G","given":"Starc"},{"family":"N","given":"Pérez"},{"family":"Ai","given":"Rito"},{"family":"M","given":"Kunešová"},{"family":"Vf","given":"Sant'Angelo"},{"family":"J","given":"Meisfjord"},{"family":"Ih","given":"Bergh"},{"family":"C","given":"Kelleher"},{"family":"N","given":"Yardim"},{"family":"I","given":"Pudule"},{"family":"A","given":"Petrauskiene"},{"family":"V","given":"Duleva"},{"family":"A","given":"Sjöberg"},{"family":"A","given":"Gualtieri"},{"family":"M","given":"Hassapidou"},{"family":"J","given":"Hyska"},{"family":"G","given":"Burazeri"},{"family":"Ch","given":"Petrescu"},{"family":"M","given":"Heinen"},{"family":"H","given":"Takacs"},{"family":"H","given":"Zamrazilová"},{"family":"Tb","given":"Bosi"},{"family":"E","given":"Sacchini"},{"family":"I","given":"Pagkalos"},{"family":"A","given":"Cucu"},{"family":"P","given":"Nardone"},{"family":"P","given":"Gately"},{"family":"J","given":"Williams"},{"family":"J","given":"Breda"}],"accessed":{"date-parts":[["2023",11,18]]},"issued":{"date-parts":[["2019"]]}}},{"id":2708,"uris":["http://zotero.org/users/local/WDVvZTBM/items/JP7KE3UZ"],"itemData":{"id":2708,"type":"article-journal","abstract":"In 2013-2016, there were differences in the prevalence of obesity and severe obesity by age, race and Hispanic origin, and household education, and severe obesity was inversely associated with urbanization. Demographics were not related to the urbanization findings.","container-title":"JAMA","DOI":"10.1001/jama.2018.5158","ISSN":"1538-3598","issue":"23","language":"en","note":"publisher: JAMA\nPMID: 29922826","source":"pubmed.ncbi.nlm.nih.gov","title":"Differences in Obesity Prevalence by Demographics and Urbanization in US Children and Adolescents, 2013-2016","URL":"https://pubmed.ncbi.nlm.nih.gov/29922826/","volume":"319","author":[{"family":"Cl","given":"Ogden"},{"family":"Cd","given":"Fryar"},{"family":"Cm","given":"Hales"},{"family":"Md","given":"Carroll"},{"family":"Y","given":"Aoki"},{"family":"Ds","given":"Freedman"}],"accessed":{"date-parts":[["2023",11,18]]},"issued":{"date-parts":[["2018",6,19]]}}},{"id":2711,"uris":["http://zotero.org/users/local/WDVvZTBM/items/NH5UB76D"],"itemData":{"id":2711,"type":"article-journal","abstract":"This study uses NHANES data to assess trends in obesity and severe obesity stratified by race and Hispanic origin among US residents from 1999 to 2018.","container-title":"JAMA","DOI":"10.1001/jama.2020.14590","ISSN":"1538-3598","issue":"12","language":"en","note":"publisher: JAMA\nPMID: 32857101","source":"pubmed.ncbi.nlm.nih.gov","title":"Trends in Obesity Prevalence by Race and Hispanic Origin-1999-2000 to 2017-2018","URL":"https://pubmed.ncbi.nlm.nih.gov/32857101/","volume":"324","author":[{"family":"Cl","given":"Ogden"},{"family":"Cd","given":"Fryar"},{"family":"Cb","given":"Martin"},{"family":"Ds","given":"Freedman"},{"family":"Md","given":"Carroll"},{"family":"Q","given":"Gu"},{"family":"Cm","given":"Hales"}],"accessed":{"date-parts":[["2023",11,18]]},"issued":{"date-parts":[["2020",9,22]]}}}],"schema":"https://github.com/citation-style-language/schema/raw/master/csl-citation.json"}</w:instrText>
      </w:r>
      <w:r>
        <w:rPr>
          <w:rFonts w:eastAsia="Calibri"/>
          <w:color w:themeColor="text1" w:val="000000"/>
        </w:rPr>
      </w:r>
      <w:r>
        <w:rPr>
          <w:rFonts w:eastAsia="Calibri"/>
          <w:color w:themeColor="text1" w:val="000000"/>
        </w:rPr>
        <w:fldChar w:fldCharType="separate"/>
      </w:r>
      <w:r>
        <w:rPr>
          <w:rFonts w:eastAsia="Calibri"/>
          <w:color w:themeColor="text1" w:val="000000"/>
        </w:rPr>
      </w:r>
      <w:r>
        <w:rPr>
          <w:color w:val="000000"/>
        </w:rPr>
        <w:t>[33]–[35]</w:t>
      </w:r>
      <w:r>
        <w:rPr>
          <w:rFonts w:eastAsia="Calibri"/>
          <w:color w:themeColor="text1" w:val="000000"/>
        </w:rPr>
      </w:r>
      <w:r>
        <w:rPr>
          <w:rFonts w:eastAsia="Calibri"/>
          <w:color w:themeColor="text1" w:val="000000"/>
        </w:rPr>
        <w:fldChar w:fldCharType="end"/>
      </w:r>
      <w:r>
        <w:rPr>
          <w:rFonts w:eastAsia="Calibri"/>
          <w:color w:themeColor="text1" w:val="000000"/>
        </w:rPr>
        <w:t xml:space="preserve"> Σε έρευνα ευρωπαϊκών χωρών περίπου Το ένα τέταρτο των παιδιών με παχυσαρκία ταξινομήθηκαν με σοβαρή παχυσαρκία, εύρημα που έχει επιπτώσεις για παροχή κλινικών υπηρεσιών παχυσαρκίας, επειδή τέτοια παιδιά θα χρειαστούν πιο εξειδικευμένη και εντατική θεραπεία.</w:t>
      </w:r>
      <w:r>
        <w:fldChar w:fldCharType="begin"/>
      </w:r>
      <w:r>
        <w:rPr>
          <w:rFonts w:eastAsia="Calibri"/>
          <w:color w:themeColor="text1" w:val="000000"/>
        </w:rPr>
        <w:instrText xml:space="preserve">ADDIN ZOTERO_ITEM CSL_CITATION {"citationID":"f8zbeQY7","properties":{"formattedCitation":"[33]","plainCitation":"[33]","noteIndex":0},"citationItems":[{"id":2706,"uris":["http://zotero.org/users/local/WDVvZTBM/items/YX6DQ35Q"],"itemData":{"id":2706,"type":"article-journal","abstract":"Severe obesity is a serious public health issue which affects a large number of children in Europe. Because of the impact on educational, health, social care, and economic systems, obesity needs to be addressed via a range of approaches from early prevention of overweight and obesity to treatment of …","container-title":"Obesity facts","DOI":"10.1159/000500436","ISSN":"1662-4033","issue":"2","language":"en","note":"publisher: Obes Facts\nPMID: 31030201","source":"pubmed.ncbi.nlm.nih.gov","title":"Prevalence of Severe Obesity among Primary School Children in 21 European Countries","URL":"https://pubmed.ncbi.nlm.nih.gov/31030201/","volume":"12","author":[{"family":"A","given":"Spinelli"},{"family":"M","given":"Buoncristiano"},{"family":"Va","given":"Kovacs"},{"family":"A","given":"Yngve"},{"family":"I","given":"Spiroski"},{"family":"G","given":"Obreja"},{"family":"G","given":"Starc"},{"family":"N","given":"Pérez"},{"family":"Ai","given":"Rito"},{"family":"M","given":"Kunešová"},{"family":"Vf","given":"Sant'Angelo"},{"family":"J","given":"Meisfjord"},{"family":"Ih","given":"Bergh"},{"family":"C","given":"Kelleher"},{"family":"N","given":"Yardim"},{"family":"I","given":"Pudule"},{"family":"A","given":"Petrauskiene"},{"family":"V","given":"Duleva"},{"family":"A","given":"Sjöberg"},{"family":"A","given":"Gualtieri"},{"family":"M","given":"Hassapidou"},{"family":"J","given":"Hyska"},{"family":"G","given":"Burazeri"},{"family":"Ch","given":"Petrescu"},{"family":"M","given":"Heinen"},{"family":"H","given":"Takacs"},{"family":"H","given":"Zamrazilová"},{"family":"Tb","given":"Bosi"},{"family":"E","given":"Sacchini"},{"family":"I","given":"Pagkalos"},{"family":"A","given":"Cucu"},{"family":"P","given":"Nardone"},{"family":"P","given":"Gately"},{"family":"J","given":"Williams"},{"family":"J","given":"Breda"}],"accessed":{"date-parts":[["2023",11,18]]},"issued":{"date-parts":[["2019"]]}}}],"schema":"https://github.com/citation-style-language/schema/raw/master/csl-citation.json"}</w:instrText>
      </w:r>
      <w:r>
        <w:rPr>
          <w:rFonts w:eastAsia="Calibri"/>
          <w:color w:themeColor="text1" w:val="000000"/>
        </w:rPr>
      </w:r>
      <w:r>
        <w:rPr>
          <w:rFonts w:eastAsia="Calibri"/>
          <w:color w:themeColor="text1" w:val="000000"/>
        </w:rPr>
        <w:fldChar w:fldCharType="separate"/>
      </w:r>
      <w:r>
        <w:rPr>
          <w:rFonts w:eastAsia="Calibri"/>
          <w:color w:themeColor="text1" w:val="000000"/>
        </w:rPr>
        <w:t>[33]</w:t>
      </w:r>
      <w:r>
        <w:rPr>
          <w:rFonts w:eastAsia="Calibri"/>
          <w:color w:themeColor="text1" w:val="000000"/>
        </w:rPr>
      </w:r>
      <w:r>
        <w:rPr>
          <w:rFonts w:eastAsia="Calibri"/>
          <w:color w:themeColor="text1" w:val="000000"/>
        </w:rPr>
        <w:fldChar w:fldCharType="end"/>
      </w:r>
      <w:r>
        <w:rPr>
          <w:rFonts w:eastAsia="Calibri"/>
          <w:color w:themeColor="text1" w:val="000000"/>
        </w:rPr>
        <w:t xml:space="preserve"> Υπάρχουν κοινωνικοοικονομικές ανισότητες στην επικράτηση της παιδικής παχυσαρκίας εντός των χωρών. Σε χαμηλότερου έως μεσαίου εισοδήματος χώρες, παιδιά ανώτερων κοινωνικοοικονομικών καταστάσεων διατρέχουν μεγαλύτερο κίνδυνο να επηρεαστούν από το υπερβολικό βάρος ή την παχυσαρκία, από τα παιδιά χαμηλότερης κοινωνικοοικονομικής κατάστασης, ενώ στις χώρες υψηλού εισοδήματος, τα παιδιά με κοινωνικοοικονομικό μειονέκτημα είναι αυτά που διατρέχουν μεγαλύτερο κίνδυνο.</w:t>
      </w:r>
      <w:r>
        <w:fldChar w:fldCharType="begin"/>
      </w:r>
      <w:r>
        <w:rPr>
          <w:rFonts w:eastAsia="Calibri"/>
          <w:color w:themeColor="text1" w:val="000000"/>
        </w:rPr>
        <w:instrText xml:space="preserve">ADDIN ZOTERO_ITEM CSL_CITATION {"citationID":"UFjOjd2d","properties":{"formattedCitation":"[36], [37]","plainCitation":"[36], [37]","noteIndex":0},"citationItems":[{"id":2714,"uris":["http://zotero.org/users/local/WDVvZTBM/items/WHUAXMLB"],"itemData":{"id":2714,"type":"article-journal","abstract":"Addressing social disadvantages that lead to obesity should be a public health priority. Obesity prevalence among children and adolescents has reached a plateau in countries with high income but it continues rising in low-income and middle-income countries. In high-income countries, an elevated prev …","container-title":"Frontiers in public health","DOI":"10.3389/fpubh.2020.00423","ISSN":"2296-2565","language":"en","note":"publisher: Front Public Health\nPMID: 32984237","source":"pubmed.ncbi.nlm.nih.gov","title":"Consideration of Social Disadvantages for Understanding and Preventing Obesity in Children","URL":"https://pubmed.ncbi.nlm.nih.gov/32984237/","volume":"8","author":[{"family":"Am","given":"Ayala-Marín"},{"family":"I","given":"Iguacel"},{"family":"P","given":"Miguel-Etayo"},{"family":"La","given":"Moreno"}],"accessed":{"date-parts":[["2023",11,18]]},"issued":{"date-parts":[["2020",8,28]]}}},{"id":2720,"uris":["http://zotero.org/users/local/WDVvZTBM/items/7JXKEBZF"],"itemData":{"id":2720,"type":"article-journal","abstract":"Adiposity and SES are negatively associated in high-income countries and positively associated in medium to low-income countries. Several mechanisms, such as early introduction of solid food and parental behaviors, which may explain the association of SES and adiposity, have been identified. Parenta …","container-title":"Current obesity reports","DOI":"10.1007/s13679-020-00400-2","ISSN":"2162-4968","issue":"4","language":"en","note":"publisher: Curr Obes Rep\nPMID: 32785878","source":"pubmed.ncbi.nlm.nih.gov","title":"Socioeconomic Status and Childhood Obesity: a Review of Literature from the Past Decade to Inform Intervention Research","title-short":"Socioeconomic Status and Childhood Obesity","URL":"https://pubmed.ncbi.nlm.nih.gov/32785878/","volume":"9","author":[{"family":"Ce","given":"Vazquez"},{"family":"C","given":"Cubbin"}],"accessed":{"date-parts":[["2023",11,18]]},"issued":{"date-parts":[["2020",12]]}}}],"schema":"https://github.com/citation-style-language/schema/raw/master/csl-citation.json"}</w:instrText>
      </w:r>
      <w:r>
        <w:rPr>
          <w:rFonts w:eastAsia="Calibri"/>
          <w:color w:themeColor="text1" w:val="000000"/>
        </w:rPr>
      </w:r>
      <w:r>
        <w:rPr>
          <w:rFonts w:eastAsia="Calibri"/>
          <w:color w:themeColor="text1" w:val="000000"/>
        </w:rPr>
        <w:fldChar w:fldCharType="separate"/>
      </w:r>
      <w:r>
        <w:rPr>
          <w:rFonts w:eastAsia="Calibri"/>
          <w:color w:themeColor="text1" w:val="000000"/>
        </w:rPr>
        <w:t>[36], [37]</w:t>
      </w:r>
      <w:r>
        <w:rPr>
          <w:rFonts w:eastAsia="Calibri"/>
          <w:color w:themeColor="text1" w:val="000000"/>
        </w:rPr>
      </w:r>
      <w:r>
        <w:rPr>
          <w:rFonts w:eastAsia="Calibri"/>
          <w:color w:themeColor="text1" w:val="000000"/>
        </w:rPr>
        <w:fldChar w:fldCharType="end"/>
      </w:r>
      <w:r>
        <w:rPr>
          <w:rFonts w:eastAsia="Calibri"/>
          <w:color w:themeColor="text1" w:val="000000"/>
        </w:rPr>
        <w:t xml:space="preserve"> Αναφορές από την Κίνα, την Ευρώπη και τις ΗΠΑ έχουν τεκμηριώσει αυξημένο κέρδος βάρους μεταξύ των παιδιών και εφήβων κατά τη διάρκεια της πανδημίας COVID-19, συγκριτικά με το ποσοστό πριν από την πανδημία,  μια εμφανές συνέπεια της μείωσης της σωματικής δραστηριότητας, αυξημένος χρόνος οθόνης, αλλαγές στην ημερήσια διατροφική πρόσληψη, διατροφική ανασφάλεια, και αυξημένο οικογενειακό και ατομικό άγχος.</w:t>
      </w:r>
      <w:r>
        <w:fldChar w:fldCharType="begin"/>
      </w:r>
      <w:r>
        <w:rPr>
          <w:rFonts w:eastAsia="Calibri"/>
          <w:color w:themeColor="text1" w:val="000000"/>
        </w:rPr>
        <w:instrText xml:space="preserve">ADDIN ZOTERO_ITEM CSL_CITATION {"citationID":"cyOpRXf9","properties":{"formattedCitation":"[38]\\uc0\\u8211{}[43]","plainCitation":"[38]–[43]","noteIndex":0},"citationItems":[{"id":2722,"uris":["http://zotero.org/users/local/WDVvZTBM/items/I8RC9TV4"],"itemData":{"id":2722,"type":"article-journal","abstract":"This study compares body mass index (BMI) of youths during the COVID-19 pandemic with BMI during the same period in 2019 to determine whether they experienced pandemic-related weight gain.","container-title":"JAMA","DOI":"10.1001/jama.2021.15036","ISSN":"1538-3598","issue":"14","language":"en","note":"publisher: JAMA\nPMID: 34448817","source":"pubmed.ncbi.nlm.nih.gov","title":"Changes in Body Mass Index Among Children and Adolescents During the COVID-19 Pandemic","URL":"https://pubmed.ncbi.nlm.nih.gov/34448817/","volume":"326","author":[{"family":"Sj","given":"Woolford"},{"family":"M","given":"Sidell"},{"family":"X","given":"Li"},{"family":"V","given":"Else"},{"family":"Dr","given":"Young"},{"family":"K","given":"Resnicow"},{"family":"C","given":"Koebnick"}],"accessed":{"date-parts":[["2023",11,18]]},"issued":{"date-parts":[["2021",12,10]]}}},{"id":2724,"uris":["http://zotero.org/users/local/WDVvZTBM/items/X26XD62S"],"itemData":{"id":2724,"type":"article-journal","abstract":"COVID-19 and Changes in Child Obesity","container-title":"Pediatrics","DOI":"10.1542/peds.2021-050123","ISSN":"1098-4275","issue":"5","language":"en","note":"publisher: Pediatrics\nPMID: 33653879","source":"pubmed.ncbi.nlm.nih.gov","title":"COVID-19 and Changes in Child Obesity","URL":"https://pubmed.ncbi.nlm.nih.gov/33653879/","volume":"147","author":[{"family":"Bp","given":"Jenssen"},{"family":"Mk","given":"Kelly"},{"family":"M","given":"Powell"},{"family":"Z","given":"Bouchelle"},{"family":"Sl","given":"Mayne"},{"family":"Ag","given":"Fiks"}],"accessed":{"date-parts":[["2023",11,18]]},"issued":{"date-parts":[["2021",12]]}}},{"id":2726,"uris":["http://zotero.org/users/local/WDVvZTBM/items/S4CVTAL9"],"itemData":{"id":2726,"type":"article-journal","abstract":"Obesity is a serious health concern in the United States, affecting more than one in six children (1) and putting their long-term health and quality of life at risk.* During the COVID-19 pandemic, children and adolescents spent more time than usual away from structured school settings, and families …","container-title":"MMWR. Morbidity and mortality weekly report","DOI":"10.15585/mmwr.mm7037a3","ISSN":"1545-861X","issue":"37","language":"en","note":"publisher: MMWR Morb Mortal Wkly Rep\nPMID: 34529635","source":"pubmed.ncbi.nlm.nih.gov","title":"Longitudinal Trends in Body Mass Index Before and During the COVID-19 Pandemic Among Persons Aged 2-19 Years - United States, 2018-2020","URL":"https://pubmed.ncbi.nlm.nih.gov/34529635/","volume":"70","author":[{"family":"Sj","given":"Lange"},{"family":"L","given":"Kompaniyets"},{"family":"Ds","given":"Freedman"},{"family":"Em","given":"Kraus"},{"family":"R","given":"Porter"},{"family":"Hm","given":"Blanck"},{"family":"Ab","given":"Goodman"}],"accessed":{"date-parts":[["2023",11,18]]},"issued":{"date-parts":[["2021",9,17]]}}},{"id":2729,"uris":["http://zotero.org/users/local/WDVvZTBM/items/69YBBVW8"],"itemData":{"id":2729,"type":"article-journal","abstract":"There is a concern that measures aiming to limit a further spread of COVID-19, e.g., school closures and social distancing, cause an aggravation of the childhood obesity epidemic. Therefore, we compared BMI trends during the 15 years before and during the COVID-19 pandemic. To assess the change in weight dynamics during the first months of COVID-19, we compared the trends of 3-month change in BMI-SDS (ΔBMI-SDS) and the proportions of children showing a high positive (HPC) or high negative (HNC) weight change between 2005 and 2019 and the respective changes from 2019 (pre-pandemic) to 2020 (after the onset of anti-pandemic measures) in more than 150,000 children (9689 during the pandemic period). The period of 3 months corresponds approximately to the first lockdown period in Germany. During the COVID-19 pandemic, we found a substantial weight gain across all weight and age groups, reflected by an increase in the 3-month change in BMI-SDS (β = 0.05, p &amp;lt; 0.001), an increase in the proportion of children showing HPC (OR = 1.4, p &amp;lt; 0.001), and a decrease in the proportion of children showing HNC (OR = 0.7, p &amp;lt; 0.001). Besides, we found the same trends since 2005 on a low but stable level with a yearly increase of ΔBMI-SDS by β = 0.001 (p &amp;lt; 0.001), the odds of HPC increased by ORhigh_pos = 1.01 (p &amp;lt; 0.001), and the odds of HNC decreased by ORhigh_neg = 0.99 (p &amp;lt; 0.001). These rather small effects accumulated to β = 0.02, ORhigh_pos = 1.14, and ORhigh_pos = 0.85 over the whole period 2005–2019. Alarmingly, both the long-term and the short-term effects were most pronounced in the obese subgroup. There are positive dynamics in different measures of weight change, indicating a positive trend in weight gain patterns, especially within the group of children with obesity. These dynamics are likely to be escalated by COVID-19-related measures. Thus, they may lead to a significant further aggravation of the childhood obesity pandemic.","container-title":"International Journal of Obesity","DOI":"10.1038/s41366-021-00968-2","ISSN":"1476-5497","issue":"1","journalAbbreviation":"Int J Obes","language":"en","license":"2021 The Author(s)","note":"number: 1\npublisher: Nature Publishing Group","page":"144-152","source":"www.nature.com","title":"Age- and weight group-specific weight gain patterns in children and adolescents during the 15 years before and during the COVID-19 pandemic","volume":"46","author":[{"family":"Vogel","given":"Mandy"},{"family":"Geserick","given":"Mandy"},{"family":"Gausche","given":"Ruth"},{"family":"Beger","given":"Christoph"},{"family":"Poulain","given":"Tanja"},{"family":"Meigen","given":"Christof"},{"family":"Körner","given":"Antje"},{"family":"Keller","given":"Eberhard"},{"family":"Kiess","given":"Wieland"},{"family":"Pfäffle","given":"Roland"}],"issued":{"date-parts":[["2022",1]]}}},{"id":2731,"uris":["http://zotero.org/users/local/WDVvZTBM/items/PIJRTAP7"],"itemData":{"id":2731,"type":"article-journal","abstract":"Lockdown measures including school closures due to COVID-19 may affect youths' activity patterns and obesity status. This will be for the first time examined in China in this study on the basis of a large national sample from the COVID-19 Impact on Lifestyle Change Survey (COINLICS). Through an onli …","container-title":"International journal of obesity (2005)","DOI":"10.1038/s41366-020-00710-4","ISSN":"1476-5497","issue":"3","language":"en","note":"publisher: Int J Obes (Lond)\nPMID: 33277588","source":"pubmed.ncbi.nlm.nih.gov","title":"Impact of COVID-19 lockdown on activity patterns and weight status among youths in China: the COVID-19 Impact on Lifestyle Change Survey (COINLICS)","title-short":"Impact of COVID-19 lockdown on activity patterns and weight status among youths in China","URL":"https://pubmed.ncbi.nlm.nih.gov/33277588/","volume":"45","author":[{"family":"P","given":"Jia"},{"family":"L","given":"Zhang"},{"family":"W","given":"Yu"},{"family":"B","given":"Yu"},{"family":"M","given":"Liu"},{"family":"D","given":"Zhang"},{"family":"S","given":"Yang"}],"accessed":{"date-parts":[["2023",11,18]]},"issued":{"date-parts":[["2021",3]]}}},{"id":2734,"uris":["http://zotero.org/users/local/WDVvZTBM/items/BY53SZ6D"],"itemData":{"id":2734,"type":"article-journal","abstract":"Recognizing these adverse collateral effects of the coronavirus disease 2019 pandemic lockdown is critical in avoiding depreciation of weight control efforts among youths afflicted with excess adiposity. Depending on duration, these untoward lockdown effects may have a lasting impact on a child's or …","container-title":"Obesity (Silver Spring, Md.)","DOI":"10.1002/oby.22861","ISSN":"1930-739X","issue":"8","language":"en","note":"publisher: Obesity (Silver Spring)\nPMID: 32352652","source":"pubmed.ncbi.nlm.nih.gov","title":"Effects of COVID-19 Lockdown on Lifestyle Behaviors in Children with Obesity Living in Verona, Italy: A Longitudinal Study","title-short":"Effects of COVID-19 Lockdown on Lifestyle Behaviors in Children with Obesity Living in Verona, Italy","URL":"https://pubmed.ncbi.nlm.nih.gov/32352652/","volume":"28","author":[{"family":"A","given":"Pietrobelli"},{"family":"L","given":"Pecoraro"},{"family":"A","given":"Ferruzzi"},{"family":"M","given":"Heo"},{"family":"M","given":"Faith"},{"family":"T","given":"Zoller"},{"family":"F","given":"Antoniazzi"},{"family":"G","given":"Piacentini"},{"family":"Sn","given":"Fearnbach"},{"family":"Sb","given":"Heymsfield"}],"accessed":{"date-parts":[["2023",11,18]]},"issued":{"date-parts":[["2020",8]]}}}],"schema":"https://github.com/citation-style-language/schema/raw/master/csl-citation.json"}</w:instrText>
      </w:r>
      <w:r>
        <w:rPr>
          <w:rFonts w:eastAsia="Calibri"/>
          <w:color w:themeColor="text1" w:val="000000"/>
        </w:rPr>
      </w:r>
      <w:r>
        <w:rPr>
          <w:rFonts w:eastAsia="Calibri"/>
          <w:color w:themeColor="text1" w:val="000000"/>
        </w:rPr>
        <w:fldChar w:fldCharType="separate"/>
      </w:r>
      <w:r>
        <w:rPr>
          <w:rFonts w:eastAsia="Calibri"/>
          <w:color w:themeColor="text1" w:val="000000"/>
        </w:rPr>
      </w:r>
      <w:r>
        <w:rPr>
          <w:color w:val="000000"/>
        </w:rPr>
        <w:t>[38]–[43]</w:t>
      </w:r>
      <w:r/>
      <w:r>
        <w:rPr>
          <w:rFonts w:eastAsia="Calibri"/>
          <w:color w:themeColor="text1" w:val="000000"/>
        </w:rPr>
        <w:fldChar w:fldCharType="end"/>
      </w:r>
      <w:r>
        <w:rPr>
          <w:rFonts w:eastAsia="Calibri"/>
          <w:color w:themeColor="text1" w:val="000000"/>
        </w:rPr>
      </w:r>
    </w:p>
    <w:p>
      <w:pPr>
        <w:pStyle w:val="Normal"/>
        <w:keepNext w:val="true"/>
        <w:spacing w:lineRule="auto" w:line="360"/>
        <w:jc w:val="center"/>
        <w:rPr/>
      </w:pPr>
      <w:r>
        <w:rPr/>
        <w:drawing>
          <wp:inline distT="0" distB="0" distL="0" distR="0">
            <wp:extent cx="5278755" cy="3261360"/>
            <wp:effectExtent l="0" t="0" r="0" b="0"/>
            <wp:docPr id="3" name="Εικόνα 2" descr="Εικόνα που περιέχει γράφημα, γραμμή,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2" descr="Εικόνα που περιέχει γράφημα, γραμμή, στιγμιότυπο οθόνης&#10;&#10;Περιγραφή που δημιουργήθηκε αυτόματα"/>
                    <pic:cNvPicPr>
                      <a:picLocks noChangeAspect="1" noChangeArrowheads="1"/>
                    </pic:cNvPicPr>
                  </pic:nvPicPr>
                  <pic:blipFill>
                    <a:blip r:embed="rId16"/>
                    <a:stretch>
                      <a:fillRect/>
                    </a:stretch>
                  </pic:blipFill>
                  <pic:spPr bwMode="auto">
                    <a:xfrm>
                      <a:off x="0" y="0"/>
                      <a:ext cx="5278755" cy="3261360"/>
                    </a:xfrm>
                    <a:prstGeom prst="rect">
                      <a:avLst/>
                    </a:prstGeom>
                  </pic:spPr>
                </pic:pic>
              </a:graphicData>
            </a:graphic>
          </wp:inline>
        </w:drawing>
      </w:r>
    </w:p>
    <w:p>
      <w:pPr>
        <w:pStyle w:val="Caption1"/>
        <w:jc w:val="center"/>
        <w:rPr>
          <w:rFonts w:eastAsia="Calibri"/>
          <w:b w:val="false"/>
          <w:bCs w:val="false"/>
          <w:i/>
          <w:i/>
          <w:iCs/>
          <w:color w:themeColor="text1" w:val="000000"/>
          <w:sz w:val="18"/>
          <w:szCs w:val="18"/>
        </w:rPr>
      </w:pPr>
      <w:bookmarkStart w:id="21" w:name="_Toc152764767"/>
      <w:r>
        <w:rPr/>
        <w:t xml:space="preserve">Εικόνα </w:t>
      </w:r>
      <w:r>
        <w:rPr/>
        <w:fldChar w:fldCharType="begin"/>
      </w:r>
      <w:r>
        <w:rPr/>
        <w:instrText xml:space="preserve"> SEQ Εικόνα \* ARABIC </w:instrText>
      </w:r>
      <w:r>
        <w:rPr/>
        <w:fldChar w:fldCharType="separate"/>
      </w:r>
      <w:r>
        <w:rPr/>
        <w:t>1</w:t>
      </w:r>
      <w:r>
        <w:rPr/>
        <w:fldChar w:fldCharType="end"/>
      </w:r>
      <w:r>
        <w:rPr/>
        <w:t>:</w:t>
      </w:r>
      <w:r>
        <w:rPr>
          <w:b w:val="false"/>
          <w:bCs w:val="false"/>
          <w:i/>
          <w:iCs/>
          <w:sz w:val="18"/>
          <w:szCs w:val="18"/>
        </w:rPr>
        <w:t xml:space="preserve">Επικράτηση της παχυσαρκίας σε άνδρες και γυναίκες ανάλογα με την ηλικία και τη γεωγρφαφική περιοχή. </w:t>
      </w:r>
      <w:r>
        <w:rPr>
          <w:rFonts w:eastAsia="Calibri" w:cs="Times-Roman" w:ascii="Times-Roman" w:hAnsi="Times-Roman"/>
          <w:b w:val="false"/>
          <w:bCs w:val="false"/>
          <w:i/>
          <w:iCs/>
          <w:color w:themeColor="text1" w:val="000000"/>
          <w:sz w:val="18"/>
          <w:szCs w:val="18"/>
        </w:rPr>
        <w:t xml:space="preserve">α | Επιπολασμός των παχυσαρκία (δείκτης μάζας σώματος (ΔΜΣ) ≥30 kg m−2) σε γυναίκες και άνδρες ηλικίας ≥20 ετών, από το 1975 έως το 2016. β | Επικράτηση της παχυσαρκίας (βάρος ≥2 s.d. πάνω από το διάμεσο της αναφοράς ανάπτυξης του ΠΟΥ) σε κορίτσια και αγόρια 5 ετών από το 1975 έως το 2016 </w:t>
      </w:r>
      <w:r>
        <w:fldChar w:fldCharType="begin"/>
      </w:r>
      <w:r>
        <w:rPr>
          <w:sz w:val="18"/>
          <w:i/>
          <w:b w:val="false"/>
          <w:szCs w:val="18"/>
          <w:iCs/>
          <w:bCs w:val="false"/>
          <w:rFonts w:eastAsia="Calibri" w:cs="Times-Roman" w:ascii="Times-Roman" w:hAnsi="Times-Roman"/>
          <w:color w:themeColor="text1" w:val="000000"/>
        </w:rPr>
        <w:instrText xml:space="preserve">ADDIN ZOTERO_ITEM CSL_CITATION {"citationID":"ZfQ3P3g9","properties":{"formattedCitation":"[44]","plainCitation":"[44]","noteIndex":0},"citationItems":[{"id":2446,"uris":["http://zotero.org/users/local/WDVvZTBM/items/9EHLE2DL"],"itemData":{"id":2446,"type":"article-journal","abstract":"The prevalence of obesity has tripled over the past four decades, imposing an enormous burden on people’s health. Polygenic (or common) obesity and rare, severe, early-o nset monogenic obesity are often polarized as distinct diseases. However, gene discovery studies for both forms of obesity show that they have shared genetic and biological underpinnings, pointing to a key role for the brain in the control of body weight. Genome-w ide association studies (GWAS) with increasing sample sizes and advances in sequencing technology are the main drivers behind a recent flurry of new discoveries. However, it is the post-G WAS, cross-d isciplinary collaborations, which combine new omics technologies and analytical approaches, that have started to facilitate translation of genetic loci into meaningful biology and new avenues for treatment.","container-title":"Nature Reviews Genetics","DOI":"10.1038/s41576-021-00414-z","ISSN":"1471-0056, 1471-0064","issue":"2","journalAbbreviation":"Nat Rev Genet","language":"en","page":"120-133","source":"DOI.org (Crossref)","title":"The genetics of obesity: from discovery to biology","title-short":"The genetics of obesity","volume":"23","author":[{"family":"Loos","given":"Ruth J. F."},{"family":"Yeo","given":"Giles S. H."}],"issued":{"date-parts":[["2022",2]]}}}],"schema":"https://github.com/citation-style-language/schema/raw/master/csl-citation.json"}</w:instrText>
      </w:r>
      <w:r>
        <w:rPr>
          <w:rFonts w:eastAsia="Calibri" w:cs="Times-Roman" w:ascii="Times-Roman" w:hAnsi="Times-Roman"/>
          <w:b w:val="false"/>
          <w:bCs w:val="false"/>
          <w:i/>
          <w:iCs/>
          <w:color w:themeColor="text1" w:val="000000"/>
          <w:sz w:val="18"/>
          <w:szCs w:val="18"/>
        </w:rPr>
      </w:r>
      <w:r>
        <w:rPr>
          <w:sz w:val="18"/>
          <w:i/>
          <w:b w:val="false"/>
          <w:szCs w:val="18"/>
          <w:iCs/>
          <w:bCs w:val="false"/>
          <w:rFonts w:eastAsia="Calibri" w:cs="Times-Roman" w:ascii="Times-Roman" w:hAnsi="Times-Roman"/>
          <w:color w:themeColor="text1" w:val="000000"/>
        </w:rPr>
        <w:fldChar w:fldCharType="separate"/>
      </w:r>
      <w:r>
        <w:rPr>
          <w:rFonts w:eastAsia="Calibri" w:cs="Times-Roman" w:ascii="Times-Roman" w:hAnsi="Times-Roman"/>
          <w:b w:val="false"/>
          <w:bCs w:val="false"/>
          <w:i/>
          <w:iCs/>
          <w:color w:themeColor="text1" w:val="000000"/>
          <w:sz w:val="18"/>
          <w:szCs w:val="18"/>
        </w:rPr>
        <w:t>[44]</w:t>
      </w:r>
      <w:r>
        <w:rPr>
          <w:rFonts w:eastAsia="Calibri" w:cs="Times-Roman" w:ascii="Times-Roman" w:hAnsi="Times-Roman"/>
          <w:b w:val="false"/>
          <w:bCs w:val="false"/>
          <w:i/>
          <w:iCs/>
          <w:color w:themeColor="text1" w:val="000000"/>
          <w:sz w:val="18"/>
          <w:szCs w:val="18"/>
        </w:rPr>
      </w:r>
      <w:r>
        <w:rPr>
          <w:sz w:val="18"/>
          <w:i/>
          <w:b w:val="false"/>
          <w:szCs w:val="18"/>
          <w:iCs/>
          <w:bCs w:val="false"/>
          <w:rFonts w:eastAsia="Calibri" w:cs="Times-Roman" w:ascii="Times-Roman" w:hAnsi="Times-Roman"/>
          <w:color w:themeColor="text1" w:val="000000"/>
        </w:rPr>
        <w:fldChar w:fldCharType="end"/>
      </w:r>
      <w:r>
        <w:rPr>
          <w:rFonts w:eastAsia="Calibri" w:cs="Times-Roman" w:ascii="Times-Roman" w:hAnsi="Times-Roman"/>
          <w:b w:val="false"/>
          <w:bCs w:val="false"/>
          <w:i/>
          <w:iCs/>
          <w:color w:themeColor="text1" w:val="000000"/>
          <w:sz w:val="18"/>
          <w:szCs w:val="18"/>
        </w:rPr>
        <w:t>.</w:t>
      </w:r>
      <w:bookmarkEnd w:id="21"/>
    </w:p>
    <w:p>
      <w:pPr>
        <w:pStyle w:val="Normal"/>
        <w:keepNext w:val="true"/>
        <w:spacing w:lineRule="auto" w:line="360"/>
        <w:jc w:val="center"/>
        <w:rPr/>
      </w:pPr>
      <w:r>
        <w:rPr/>
        <w:drawing>
          <wp:inline distT="0" distB="0" distL="0" distR="0">
            <wp:extent cx="4382770" cy="3513455"/>
            <wp:effectExtent l="0" t="0" r="0" b="0"/>
            <wp:docPr id="4" name="Εικόνα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1" descr=""/>
                    <pic:cNvPicPr>
                      <a:picLocks noChangeAspect="1" noChangeArrowheads="1"/>
                    </pic:cNvPicPr>
                  </pic:nvPicPr>
                  <pic:blipFill>
                    <a:blip r:embed="rId17"/>
                    <a:stretch>
                      <a:fillRect/>
                    </a:stretch>
                  </pic:blipFill>
                  <pic:spPr bwMode="auto">
                    <a:xfrm>
                      <a:off x="0" y="0"/>
                      <a:ext cx="4382770" cy="3513455"/>
                    </a:xfrm>
                    <a:prstGeom prst="rect">
                      <a:avLst/>
                    </a:prstGeom>
                  </pic:spPr>
                </pic:pic>
              </a:graphicData>
            </a:graphic>
          </wp:inline>
        </w:drawing>
      </w:r>
    </w:p>
    <w:p>
      <w:pPr>
        <w:pStyle w:val="Caption1"/>
        <w:spacing w:before="0" w:after="0"/>
        <w:jc w:val="center"/>
        <w:rPr>
          <w:rFonts w:ascii="Times-Roman" w:hAnsi="Times-Roman" w:eastAsia="Calibri" w:cs="Times-Roman"/>
          <w:color w:val="E2E5E8"/>
          <w:sz w:val="56"/>
          <w:szCs w:val="56"/>
        </w:rPr>
      </w:pPr>
      <w:bookmarkStart w:id="22" w:name="_Toc152764768"/>
      <w:r>
        <w:rPr/>
        <w:t xml:space="preserve">Εικόνα </w:t>
      </w:r>
      <w:r>
        <w:rPr/>
        <w:fldChar w:fldCharType="begin"/>
      </w:r>
      <w:r>
        <w:rPr/>
        <w:instrText xml:space="preserve"> SEQ Εικόνα \* ARABIC </w:instrText>
      </w:r>
      <w:r>
        <w:rPr/>
        <w:fldChar w:fldCharType="separate"/>
      </w:r>
      <w:r>
        <w:rPr/>
        <w:t>2</w:t>
      </w:r>
      <w:r>
        <w:rPr/>
        <w:fldChar w:fldCharType="end"/>
      </w:r>
      <w:r>
        <w:rPr/>
        <w:t xml:space="preserve">: </w:t>
      </w:r>
      <w:r>
        <w:rPr>
          <w:b w:val="false"/>
          <w:bCs w:val="false"/>
          <w:i/>
          <w:iCs/>
          <w:sz w:val="16"/>
          <w:szCs w:val="16"/>
        </w:rPr>
        <w:t>Ένα κοινωνικο-οικολογικό μοντέλο για την κατανόηση των δυναμικών αλληλεπιδράσεων μεταξύ διαφόρων προσωπικών και περιβαλλοντικών παραγόντων που επηρεάζουν την παιδική και εφηβική παχυσαρκία. Προσαρμοσμένο από το κοινωνικο-οικολογικό μοντέλο του Κέντρου Ελέγχου και Πρόληψης Νοσημάτων.</w:t>
      </w:r>
      <w:r>
        <w:fldChar w:fldCharType="begin"/>
      </w:r>
      <w:r>
        <w:rPr>
          <w:sz w:val="16"/>
          <w:i/>
          <w:b w:val="false"/>
          <w:szCs w:val="16"/>
          <w:iCs/>
          <w:bCs w:val="false"/>
        </w:rPr>
        <w:instrText xml:space="preserve">ADDIN ZOTERO_ITEM CSL_CITATION {"citationID":"1KQKki2y","properties":{"formattedCitation":"[45]","plainCitation":"[45]","noteIndex":0},"citationItems":[{"id":2737,"uris":["http://zotero.org/users/local/WDVvZTBM/items/K9YFHDYS"],"itemData":{"id":2737,"type":"webpage","language":"en-us","title":"The Social-Ecological Model: A Framework for Prevention |Violence Prevention|Injury Center|CDC","title-short":"The Social-Ecological Model","URL":"https://www.cdc.gov/violenceprevention/about/social-ecologicalmodel.html","accessed":{"date-parts":[["2023",11,18]]},"issued":{"date-parts":[["2022",1,18]]}}}],"schema":"https://github.com/citation-style-language/schema/raw/master/csl-citation.json"}</w:instrText>
      </w:r>
      <w:r>
        <w:rPr>
          <w:b w:val="false"/>
          <w:bCs w:val="false"/>
          <w:i/>
          <w:iCs/>
          <w:sz w:val="16"/>
          <w:szCs w:val="16"/>
        </w:rPr>
      </w:r>
      <w:r>
        <w:rPr>
          <w:sz w:val="16"/>
          <w:i/>
          <w:b w:val="false"/>
          <w:szCs w:val="16"/>
          <w:iCs/>
          <w:bCs w:val="false"/>
        </w:rPr>
        <w:fldChar w:fldCharType="separate"/>
      </w:r>
      <w:r>
        <w:rPr>
          <w:b w:val="false"/>
          <w:bCs w:val="false"/>
          <w:i/>
          <w:iCs/>
          <w:sz w:val="16"/>
          <w:szCs w:val="16"/>
        </w:rPr>
        <w:t>[45]</w:t>
      </w:r>
      <w:r/>
      <w:r>
        <w:rPr>
          <w:sz w:val="16"/>
          <w:i/>
          <w:b w:val="false"/>
          <w:szCs w:val="16"/>
          <w:iCs/>
          <w:bCs w:val="false"/>
        </w:rPr>
        <w:fldChar w:fldCharType="end"/>
      </w:r>
      <w:r>
        <w:rPr>
          <w:b w:val="false"/>
          <w:bCs w:val="false"/>
          <w:i/>
          <w:iCs/>
          <w:sz w:val="16"/>
          <w:szCs w:val="16"/>
        </w:rPr>
      </w:r>
      <w:bookmarkEnd w:id="22"/>
    </w:p>
    <w:p>
      <w:pPr>
        <w:pStyle w:val="Normal"/>
        <w:rPr/>
      </w:pPr>
      <w:r>
        <w:rPr/>
      </w:r>
    </w:p>
    <w:p>
      <w:pPr>
        <w:pStyle w:val="Normal"/>
        <w:rPr>
          <w:i/>
          <w:i/>
          <w:iCs/>
        </w:rPr>
      </w:pPr>
      <w:r>
        <w:rPr>
          <w:i/>
          <w:iCs/>
        </w:rPr>
      </w:r>
    </w:p>
    <w:p>
      <w:pPr>
        <w:pStyle w:val="Normal"/>
        <w:rPr>
          <w:i/>
          <w:i/>
          <w:iCs/>
        </w:rPr>
      </w:pPr>
      <w:r>
        <w:rPr>
          <w:i/>
          <w:iCs/>
          <w:lang w:val="en-US"/>
        </w:rPr>
        <w:t>O</w:t>
      </w:r>
      <w:r>
        <w:rPr>
          <w:i/>
          <w:iCs/>
        </w:rPr>
        <w:t xml:space="preserve"> ΠΟΥ για την παιδική παχυσαρκία</w:t>
      </w:r>
      <w:r>
        <w:fldChar w:fldCharType="begin"/>
      </w:r>
      <w:r>
        <w:rPr>
          <w:i/>
          <w:iCs/>
        </w:rPr>
        <w:instrText xml:space="preserve">ADDIN ZOTERO_ITEM CSL_CITATION {"citationID":"88tsFMhH","properties":{"formattedCitation":"[46]","plainCitation":"[46]","noteIndex":0},"citationItems":[{"id":2743,"uris":["http://zotero.org/users/local/WDVvZTBM/items/DB4S7F8C"],"itemData":{"id":2743,"type":"webpage","abstract":"On World Obesity Day 2023 WHO/Europe highlights five trends concerning overweight and obesity among primary school-aged children in the European Region.","language":"el","title":"Childhood obesity: five facts about the WHO European Region","title-short":"Childhood obesity","URL":"https://www.who.int/europe/news/item/03-03-2023-childhood-obesity--five-facts-about-the-who-european-region","accessed":{"date-parts":[["2023",11,18]]}}}],"schema":"https://github.com/citation-style-language/schema/raw/master/csl-citation.json"}</w:instrText>
      </w:r>
      <w:r>
        <w:rPr>
          <w:i/>
          <w:iCs/>
        </w:rPr>
      </w:r>
      <w:r>
        <w:rPr>
          <w:i/>
          <w:iCs/>
        </w:rPr>
        <w:fldChar w:fldCharType="separate"/>
      </w:r>
      <w:r>
        <w:rPr>
          <w:i/>
          <w:iCs/>
        </w:rPr>
        <w:t>[46]</w:t>
      </w:r>
      <w:r/>
      <w:r>
        <w:rPr>
          <w:i/>
          <w:iCs/>
        </w:rPr>
        <w:fldChar w:fldCharType="end"/>
      </w:r>
      <w:r>
        <w:rPr>
          <w:i/>
          <w:iCs/>
        </w:rPr>
      </w:r>
    </w:p>
    <w:p>
      <w:pPr>
        <w:pStyle w:val="Normal"/>
        <w:rPr>
          <w:i/>
          <w:i/>
          <w:iCs/>
        </w:rPr>
      </w:pPr>
      <w:r>
        <w:rPr>
          <w:i/>
          <w:iCs/>
        </w:rPr>
      </w:r>
    </w:p>
    <w:p>
      <w:pPr>
        <w:pStyle w:val="NormalWeb"/>
        <w:spacing w:lineRule="auto" w:line="360" w:beforeAutospacing="0" w:before="0" w:afterAutospacing="0" w:after="0"/>
        <w:ind w:firstLine="720"/>
        <w:jc w:val="both"/>
        <w:rPr>
          <w:color w:val="3C4245"/>
        </w:rPr>
      </w:pPr>
      <w:r>
        <w:rPr>
          <w:color w:val="3C4245"/>
        </w:rPr>
        <w:t>Την Παγκόσμια Ημέρα κατά της Παχυσαρκίας 2023, ο ΠΟΥ/Ευρώπη τονίζει πέντε τάσεις σχετικά με το υπέρβαρο και την παχυσαρκία σε παιδιά δημοτικού σχολείου στην Ευρωπαϊκή Περιφέρεια. Τα δεδομένα του ΠΟΥ που χρησιμοποιούνται για τον προσδιορισμό των τάσεων προέρχονται από τον τελευταίο (πέμπτο) γύρο της Ευρωπαϊκής Πρωτοβουλίας για την Παρακολούθηση της Παιδικής Παχυσαρκίας του ΠΟΥ (COSI), που έλαβε χώρα μεταξύ 2018 και 2020 και στον οποίο συνεισέφεραν δεδομένα 33 χώρες. Συνολικά, μετρήθηκαν σχεδόν 411.000 παιδιά.</w:t>
      </w:r>
    </w:p>
    <w:p>
      <w:pPr>
        <w:pStyle w:val="Normal"/>
        <w:rPr/>
      </w:pPr>
      <w:r>
        <w:rPr/>
        <w:t>Γεγονός πρώτο: κάθε τρίτο παιδί ζει με υπέρβαρο ή παχυσαρκία</w:t>
      </w:r>
    </w:p>
    <w:p>
      <w:pPr>
        <w:pStyle w:val="NormalWeb"/>
        <w:spacing w:lineRule="auto" w:line="360" w:beforeAutospacing="0" w:before="0" w:afterAutospacing="0" w:after="0"/>
        <w:jc w:val="both"/>
        <w:rPr>
          <w:color w:val="3C4245"/>
        </w:rPr>
      </w:pPr>
      <w:r>
        <w:rPr>
          <w:color w:val="3C4245"/>
        </w:rPr>
        <w:t>Το είκοσι εννέα τοις εκατό των παιδιών ηλικίας 7-9 ετών στις χώρες που συλλέγουν δεδομένα για τον κύκλο 5 του COSI βρέθηκαν να ζουν με υπέρβαρα (συμπεριλαμβανομένης της παχυσαρκίας, σύμφωνα με τους ορισμούς του ΠΟΥ).</w:t>
      </w:r>
    </w:p>
    <w:p>
      <w:pPr>
        <w:pStyle w:val="Normal"/>
        <w:rPr/>
      </w:pPr>
      <w:r>
        <w:rPr/>
        <w:t>Δεύτερο γεγονός: το υπερβολικό βάρος και η παχυσαρκία είναι πιο εμφανή στα αγόρια</w:t>
      </w:r>
    </w:p>
    <w:p>
      <w:pPr>
        <w:pStyle w:val="NormalWeb"/>
        <w:spacing w:lineRule="auto" w:line="360" w:beforeAutospacing="0" w:before="0" w:afterAutospacing="0" w:after="0"/>
        <w:jc w:val="both"/>
        <w:rPr>
          <w:color w:val="3C4245"/>
        </w:rPr>
      </w:pPr>
      <w:r>
        <w:rPr>
          <w:color w:val="3C4245"/>
        </w:rPr>
        <w:t>Συνολικά, ο επιπολασμός του υπέρβαρου και της παχυσαρκίας στα αγόρια είναι 31%, ενώ στα κορίτσια είναι 28%.Στις 16 χώρες όπου συλλέχθηκαν δεδομένα COSI για περισσότερες από μία ηλικιακές ομάδες, ο επιπολασμός της παχυσαρκίας αυξήθηκε με την ηλικία στα αγόρια.</w:t>
      </w:r>
    </w:p>
    <w:p>
      <w:pPr>
        <w:pStyle w:val="Normal"/>
        <w:rPr/>
      </w:pPr>
      <w:r>
        <w:rPr/>
        <w:t>Γεγονός τρίτο: Το 75% των παιδιών τρώνε πρωινό κάθε μέρα </w:t>
      </w:r>
    </w:p>
    <w:p>
      <w:pPr>
        <w:pStyle w:val="NormalWeb"/>
        <w:spacing w:lineRule="auto" w:line="360" w:beforeAutospacing="0" w:before="0" w:afterAutospacing="0" w:after="0"/>
        <w:jc w:val="both"/>
        <w:rPr>
          <w:color w:val="3C4245"/>
        </w:rPr>
      </w:pPr>
      <w:r>
        <w:rPr>
          <w:color w:val="3C4245"/>
        </w:rPr>
        <w:t>Και μόνο το 3% της ίδιας ηλικιακής ομάδας (6–9 ετών) δεν το κάνει ποτέ.Αυτά είναι καλά νέα καθώς το πρωινό είναι ένα σημαντικό στοιχείο μιας υγιεινής διατροφής που μειώνει τους κινδύνους για την υγεία που σχετίζονται με το υπερβολικό βάρος και την παχυσαρκία. </w:t>
      </w:r>
    </w:p>
    <w:p>
      <w:pPr>
        <w:pStyle w:val="Normal"/>
        <w:rPr/>
      </w:pPr>
      <w:r>
        <w:rPr/>
        <w:t>Γεγονός τέταρτο: λιγότερα από τα μισά (43%) των παιδιών καταναλώνουν φρέσκα φρούτα καθημερινά </w:t>
      </w:r>
    </w:p>
    <w:p>
      <w:pPr>
        <w:pStyle w:val="NormalWeb"/>
        <w:spacing w:lineRule="auto" w:line="360" w:beforeAutospacing="0" w:before="0" w:afterAutospacing="0" w:after="0"/>
        <w:jc w:val="both"/>
        <w:rPr>
          <w:color w:val="3C4245"/>
        </w:rPr>
      </w:pPr>
      <w:r>
        <w:rPr>
          <w:color w:val="3C4245"/>
        </w:rPr>
        <w:t>Και 1 στα 10 παιδιά (11%) ηλικίας 6-9 ετών στις χώρες που συμμετείχαν στην έρευνα δεν έτρωγε ποτέ λαχανικά ή το έκανε λιγότερο από μία φορά την εβδομάδα. Η καθημερινή κατανάλωση φρούτων και λαχανικών είναι ένα άλλο σημαντικό μέρος μιας υγιεινής διατροφής. Η κατανάλωση φρούτων και λαχανικών σε καθημερινή βάση έτεινε να είναι πιο συχνή μεταξύ των παιδιών γονέων με υψηλό μορφωτικό επίπεδο παρά μεταξύ των παιδιών γονέων με χαμηλότερο μορφωτικό επίπεδο.</w:t>
      </w:r>
    </w:p>
    <w:p>
      <w:pPr>
        <w:pStyle w:val="Normal"/>
        <w:rPr/>
      </w:pPr>
      <w:r>
        <w:rPr/>
        <w:t>Γεγονός πέντε: μόνο λίγες χώρες – εκείνες με τον υψηλότερο αρχικό επιπολασμό υπέρβαρου και παχυσαρκίας – παρουσιάζουν μείωση  </w:t>
      </w:r>
    </w:p>
    <w:p>
      <w:pPr>
        <w:pStyle w:val="NormalWeb"/>
        <w:spacing w:lineRule="auto" w:line="360" w:beforeAutospacing="0" w:before="0" w:afterAutospacing="0" w:after="0"/>
        <w:jc w:val="both"/>
        <w:rPr>
          <w:color w:val="3C4245"/>
        </w:rPr>
      </w:pPr>
      <w:r>
        <w:rPr>
          <w:color w:val="3C4245"/>
        </w:rPr>
        <w:t>Ορισμένες χώρες που ανέφεραν αρχικά περισσότερο από το 40% των παιδιών που ζουν με παχυσαρκία, με βάση δεδομένα που είχαν συλλεγεί πριν από το 2010, εμφάνισαν μείωση στον κύκλο 5 του COSI – συμπεριλαμβανομένης της Ελλάδας, της Ιταλίας, της Πορτογαλίας και της Ισπανίας. Ωστόσο, παρά τη μείωση κατά 5-10 ποσοστιαίες μονάδες, ο επιπολασμός του υπέρβαρου και της παχυσαρκίας παραμένει υψηλός σε αυτές τις χώρες. Παρόμοια μείωση παρατηρήθηκε επίσης στη Σλοβενία, όπου η αρχική τιμή επιπολασμού για το υπέρβαρο ήταν σημαντικά χαμηλότερη (περίπου 30%).</w:t>
      </w:r>
    </w:p>
    <w:p>
      <w:pPr>
        <w:pStyle w:val="Normal"/>
        <w:rPr/>
      </w:pPr>
      <w:r>
        <w:rPr/>
      </w:r>
    </w:p>
    <w:p>
      <w:pPr>
        <w:pStyle w:val="Heading2"/>
        <w:rPr/>
      </w:pPr>
      <w:bookmarkStart w:id="23" w:name="_Toc154923809"/>
      <w:r>
        <w:rPr/>
        <w:t>1.2 Η σημασία της κατανόησης της συνεισφοράς των γενετικών παραγόντων</w:t>
      </w:r>
      <w:bookmarkEnd w:id="23"/>
    </w:p>
    <w:p>
      <w:pPr>
        <w:pStyle w:val="Normal"/>
        <w:rPr/>
      </w:pPr>
      <w:r>
        <w:rPr/>
      </w:r>
    </w:p>
    <w:p>
      <w:pPr>
        <w:pStyle w:val="Normal"/>
        <w:spacing w:lineRule="auto" w:line="360"/>
        <w:ind w:firstLine="720"/>
        <w:jc w:val="both"/>
        <w:rPr>
          <w:rFonts w:ascii="Times-Roman" w:hAnsi="Times-Roman" w:eastAsia="Calibri" w:cs="Times-Roman"/>
          <w:color w:themeColor="text1" w:val="000000"/>
        </w:rPr>
      </w:pPr>
      <w:bookmarkStart w:id="24" w:name="_Toc73896076"/>
      <w:r>
        <w:rPr>
          <w:rFonts w:eastAsia="Calibri" w:cs="Times-Roman" w:ascii="Times-Roman" w:hAnsi="Times-Roman"/>
          <w:color w:themeColor="text1" w:val="000000"/>
        </w:rPr>
        <w:t xml:space="preserve">Η παιδική παχυσαρκία είναι μια σύνθετη και πολυπαραγοντική πάθηση που επηρεάζεται από γενετικούς και περιβαλλοντικούς παράγοντες. Η αλληλεπίδραση μεταξύ γενετικής προδιάθεσης και περιβαλλοντικών επιρροών συμβάλλει σημαντικά στην ανάπτυξη της παχυσαρκίας στα παιδιά </w:t>
      </w:r>
      <w:r>
        <w:fldChar w:fldCharType="begin"/>
      </w:r>
      <w:r>
        <w:rPr>
          <w:rFonts w:eastAsia="Calibri" w:cs="Times-Roman" w:ascii="Times-Roman" w:hAnsi="Times-Roman"/>
          <w:color w:themeColor="text1" w:val="000000"/>
        </w:rPr>
        <w:instrText xml:space="preserve">ADDIN ZOTERO_ITEM CSL_CITATION {"citationID":"FM3PvI2U","properties":{"formattedCitation":"[47]","plainCitation":"[47]","noteIndex":0},"citationItems":[{"id":3184,"uris":["http://zotero.org/users/local/WDVvZTBM/items/QFZDWI7Z"],"itemData":{"id":3184,"type":"article-journal","container-title":"Physiology &amp; Behavior","DOI":"10.1016/j.physbeh.2010.04.031","title":"Eating Behaviors of Children in the Context of Their Family Environment","author":[{"family":"Kral","given":"Tanja V.E."},{"family":"Rauh","given":"Erin M."}],"issued":{"date-parts":[["2010"]]}}}],"schema":"https://github.com/citation-style-language/schema/raw/master/csl-citation.json"}</w:instrText>
      </w:r>
      <w:r>
        <w:rPr>
          <w:rFonts w:eastAsia="Calibri" w:cs="Times-Roman" w:ascii="Times-Roman" w:hAnsi="Times-Roman"/>
          <w:color w:themeColor="text1" w:val="000000"/>
        </w:rPr>
      </w:r>
      <w:r>
        <w:rPr>
          <w:rFonts w:eastAsia="Calibri" w:cs="Times-Roman" w:ascii="Times-Roman" w:hAnsi="Times-Roman"/>
          <w:color w:themeColor="text1" w:val="000000"/>
        </w:rPr>
        <w:fldChar w:fldCharType="separate"/>
      </w:r>
      <w:r>
        <w:rPr>
          <w:rFonts w:eastAsia="Calibri" w:cs="Times-Roman" w:ascii="Times-Roman" w:hAnsi="Times-Roman"/>
          <w:color w:themeColor="text1" w:val="000000"/>
        </w:rPr>
        <w:t>[47]</w:t>
      </w:r>
      <w:r>
        <w:rPr>
          <w:rFonts w:eastAsia="Calibri" w:cs="Times-Roman" w:ascii="Times-Roman" w:hAnsi="Times-Roman"/>
          <w:color w:themeColor="text1" w:val="000000"/>
        </w:rPr>
      </w:r>
      <w:r>
        <w:rPr>
          <w:rFonts w:eastAsia="Calibri" w:cs="Times-Roman" w:ascii="Times-Roman" w:hAnsi="Times-Roman"/>
          <w:color w:themeColor="text1" w:val="000000"/>
        </w:rPr>
        <w:fldChar w:fldCharType="end"/>
      </w:r>
      <w:r>
        <w:rPr>
          <w:rFonts w:eastAsia="Calibri" w:cs="Times-Roman" w:ascii="Times-Roman" w:hAnsi="Times-Roman"/>
          <w:color w:themeColor="text1" w:val="000000"/>
        </w:rPr>
        <w:t xml:space="preserve">. Οι γενετικοί παράγοντες παίζουν καθοριστικό ρόλο στην ευαισθησία στην παιδική παχυσαρκία, όπως αποδεικνύεται από διάφορες μελέτες που έχουν εντοπίσει γενετικές παραλλαγές που σχετίζονται με την παχυσαρκία και τις μεταβολικές ανωμαλίες σε παιδιά και εφήβους </w:t>
      </w:r>
      <w:r>
        <w:fldChar w:fldCharType="begin"/>
      </w:r>
      <w:r>
        <w:rPr>
          <w:rFonts w:eastAsia="Calibri" w:cs="Times-Roman" w:ascii="Times-Roman" w:hAnsi="Times-Roman"/>
          <w:color w:themeColor="text1" w:val="000000"/>
        </w:rPr>
        <w:instrText xml:space="preserve">ADDIN ZOTERO_ITEM CSL_CITATION {"citationID":"aop8Y982","properties":{"formattedCitation":"[48], [49]","plainCitation":"[48], [49]","noteIndex":0},"citationItems":[{"id":3008,"uris":["http://zotero.org/users/local/WDVvZTBM/items/6PN75KWQ"],"itemData":{"id":3008,"type":"article-journal","abstract":"Previous genome-wide association studies for type 2 diabetes susceptibility genes have confirmed that a common variant, rs9939609, in the fat mass and obesity associated (FTO) gene region is associated with body mass index (BMI) in European children and ...","container-title":"BMC Medical Genetics","DOI":"10.1186/1471-2350-11-107","language":"en","note":"publisher: BMC\nPMID: 20598163","page":"107","source":"www.ncbi.nlm.nih.gov","title":"The common rs9939609 variant of the fat mass and obesity-associated gene is associated with obesity risk in children and adolescents of Beijing, China","volume":"11","author":[{"family":"Xi","given":"Bo"},{"family":"Shen","given":"Yue"},{"family":"Zhang","given":"Meixian"},{"family":"Liu","given":"Xin"},{"family":"Zhao","given":"Xiaoyuan"},{"family":"Wu","given":"Lijun"},{"family":"Cheng","given":"Hong"},{"family":"Hou","given":"Dongqing"},{"family":"Lindpaintner","given":"Klaus"},{"family":"Liu","given":"Lisheng"},{"family":"Mi","given":"Jie"},{"family":"Wang","given":"Xingyu"}],"issued":{"date-parts":[["2010"]]}}},{"id":3011,"uris":["http://zotero.org/users/local/WDVvZTBM/items/S9L68NT6"],"itemData":{"id":3011,"type":"article-journal","abstract":"The present meta-analysis suggested a positive association between FTO gene polymorphism and overweight/obesity risk among children and adolescents. Further prospective studies should be recommended to confirm the observed association, and underlying mechanism should be investigated to clarify the a …","container-title":"PloS one","DOI":"10.1371/journal.pone.0082133","ISSN":"1932-6203","issue":"11","language":"en","note":"publisher: PLoS One\nPMID: 24278475","source":"pubmed.ncbi.nlm.nih.gov","title":"FTO gene variant and risk of overweight and obesity among children and adolescents: a systematic review and meta-analysis","title-short":"FTO gene variant and risk of overweight and obesity among children and adolescents","URL":"https://pubmed.ncbi.nlm.nih.gov/24278475/","volume":"8","author":[{"family":"C","given":"Liu"},{"family":"S","given":"Mou"},{"family":"Y","given":"Cai"}],"accessed":{"date-parts":[["2023",11,19]]},"issued":{"date-parts":[["2013",11,22]]}}}],"schema":"https://github.com/citation-style-language/schema/raw/master/csl-citation.json"}</w:instrText>
      </w:r>
      <w:r>
        <w:rPr>
          <w:rFonts w:eastAsia="Calibri" w:cs="Times-Roman" w:ascii="Times-Roman" w:hAnsi="Times-Roman"/>
          <w:color w:themeColor="text1" w:val="000000"/>
        </w:rPr>
      </w:r>
      <w:r>
        <w:rPr>
          <w:rFonts w:eastAsia="Calibri" w:cs="Times-Roman" w:ascii="Times-Roman" w:hAnsi="Times-Roman"/>
          <w:color w:themeColor="text1" w:val="000000"/>
        </w:rPr>
        <w:fldChar w:fldCharType="separate"/>
      </w:r>
      <w:r>
        <w:rPr>
          <w:rFonts w:eastAsia="Calibri" w:cs="Times-Roman" w:ascii="Times-Roman" w:hAnsi="Times-Roman"/>
          <w:color w:themeColor="text1" w:val="000000"/>
        </w:rPr>
        <w:t>[48], [49]</w:t>
      </w:r>
      <w:r>
        <w:rPr>
          <w:rFonts w:eastAsia="Calibri" w:cs="Times-Roman" w:ascii="Times-Roman" w:hAnsi="Times-Roman"/>
          <w:color w:themeColor="text1" w:val="000000"/>
        </w:rPr>
      </w:r>
      <w:r>
        <w:rPr>
          <w:rFonts w:eastAsia="Calibri" w:cs="Times-Roman" w:ascii="Times-Roman" w:hAnsi="Times-Roman"/>
          <w:color w:themeColor="text1" w:val="000000"/>
        </w:rPr>
        <w:fldChar w:fldCharType="end"/>
      </w:r>
      <w:r>
        <w:rPr>
          <w:rFonts w:eastAsia="Calibri" w:cs="Times-Roman" w:ascii="Times-Roman" w:hAnsi="Times-Roman"/>
          <w:color w:themeColor="text1" w:val="000000"/>
        </w:rPr>
        <w:t xml:space="preserve">. Για παράδειγμα, οι πολυμορφισμοί της λιπώδους μάζας και του γονιδίου που σχετίζεται με την παχυσαρκία (FTO) έχουν εμπλακεί στην ευαισθησία υπέρβαρου/παχυσαρκίας σε παιδιά και εφήβους </w:t>
      </w:r>
      <w:r>
        <w:fldChar w:fldCharType="begin"/>
      </w:r>
      <w:r>
        <w:rPr>
          <w:rFonts w:eastAsia="Calibri" w:cs="Times-Roman" w:ascii="Times-Roman" w:hAnsi="Times-Roman"/>
          <w:color w:themeColor="text1" w:val="000000"/>
        </w:rPr>
        <w:instrText xml:space="preserve">ADDIN ZOTERO_ITEM CSL_CITATION {"citationID":"tPXVLGIF","properties":{"formattedCitation":"[50]","plainCitation":"[50]","noteIndex":0},"citationItems":[{"id":3187,"uris":["http://zotero.org/users/local/WDVvZTBM/items/4KIXWEKY"],"itemData":{"id":3187,"type":"article-journal","container-title":"Plos One","DOI":"10.1371/journal.pone.0082133","title":"FTO Gene Variant and Risk of Overweight and Obesity Among Children and Adolescents: A Systematic Review and Meta-Analysis","author":[{"family":"Liu","given":"Chibo"},{"family":"Mou","given":"Sihua"},{"family":"Cai","given":"Yangqun"}],"issued":{"date-parts":[["2013"]]}}}],"schema":"https://github.com/citation-style-language/schema/raw/master/csl-citation.json"}</w:instrText>
      </w:r>
      <w:r>
        <w:rPr>
          <w:rFonts w:eastAsia="Calibri" w:cs="Times-Roman" w:ascii="Times-Roman" w:hAnsi="Times-Roman"/>
          <w:color w:themeColor="text1" w:val="000000"/>
        </w:rPr>
      </w:r>
      <w:r>
        <w:rPr>
          <w:rFonts w:eastAsia="Calibri" w:cs="Times-Roman" w:ascii="Times-Roman" w:hAnsi="Times-Roman"/>
          <w:color w:themeColor="text1" w:val="000000"/>
        </w:rPr>
        <w:fldChar w:fldCharType="separate"/>
      </w:r>
      <w:r>
        <w:rPr>
          <w:rFonts w:eastAsia="Calibri" w:cs="Times-Roman" w:ascii="Times-Roman" w:hAnsi="Times-Roman"/>
          <w:color w:themeColor="text1" w:val="000000"/>
        </w:rPr>
        <w:t>[50]</w:t>
      </w:r>
      <w:r>
        <w:rPr>
          <w:rFonts w:eastAsia="Calibri" w:cs="Times-Roman" w:ascii="Times-Roman" w:hAnsi="Times-Roman"/>
          <w:color w:themeColor="text1" w:val="000000"/>
        </w:rPr>
      </w:r>
      <w:r>
        <w:rPr>
          <w:rFonts w:eastAsia="Calibri" w:cs="Times-Roman" w:ascii="Times-Roman" w:hAnsi="Times-Roman"/>
          <w:color w:themeColor="text1" w:val="000000"/>
        </w:rPr>
        <w:fldChar w:fldCharType="end"/>
      </w:r>
      <w:r>
        <w:rPr>
          <w:rFonts w:eastAsia="Calibri" w:cs="Times-Roman" w:ascii="Times-Roman" w:hAnsi="Times-Roman"/>
          <w:color w:themeColor="text1" w:val="000000"/>
        </w:rPr>
        <w:t xml:space="preserve">. Επιπλέον, ο πολυμορφισμός rs9939609 του γονιδίου λιπώδους μάζας και σχετιζόμενης με την παχυσαρκία (FTO) έχει συσχετιστεί ευρέως με την παιδική παχυσαρκία σε αρκετές κοόρτες </w:t>
      </w:r>
      <w:r>
        <w:fldChar w:fldCharType="begin"/>
      </w:r>
      <w:r>
        <w:rPr>
          <w:rFonts w:eastAsia="Calibri" w:cs="Times-Roman" w:ascii="Times-Roman" w:hAnsi="Times-Roman"/>
          <w:color w:themeColor="text1" w:val="000000"/>
        </w:rPr>
        <w:instrText xml:space="preserve">ADDIN ZOTERO_ITEM CSL_CITATION {"citationID":"HtjLCsET","properties":{"formattedCitation":"[51]","plainCitation":"[51]","noteIndex":0},"citationItems":[{"id":3188,"uris":["http://zotero.org/users/local/WDVvZTBM/items/MWXC6A39"],"itemData":{"id":3188,"type":"article-journal","container-title":"British Journal of Nutrition","DOI":"10.1017/s0007114511003424","title":"Dietary Fatty Acid Distribution Modifies Obesity Risk Linked to the Rs9939609 Polymorphism of the Fat Mass and Obesity-Associated Gene in a Spanish Case–control Study of Children","author":[{"family":"Moleres","given":"Adriana"},{"family":"Ochoa","given":"Maria C."},{"family":"Rendo-Urteaga","given":"Tara"},{"family":"Martínez-González","given":"M A"},{"family":"Azcona","given":"Cristina"},{"family":"Martínez","given":"J. Alfredo"},{"family":"Marti","given":"Amelia"}],"issued":{"date-parts":[["2011"]]}}}],"schema":"https://github.com/citation-style-language/schema/raw/master/csl-citation.json"}</w:instrText>
      </w:r>
      <w:r>
        <w:rPr>
          <w:rFonts w:eastAsia="Calibri" w:cs="Times-Roman" w:ascii="Times-Roman" w:hAnsi="Times-Roman"/>
          <w:color w:themeColor="text1" w:val="000000"/>
        </w:rPr>
      </w:r>
      <w:r>
        <w:rPr>
          <w:rFonts w:eastAsia="Calibri" w:cs="Times-Roman" w:ascii="Times-Roman" w:hAnsi="Times-Roman"/>
          <w:color w:themeColor="text1" w:val="000000"/>
        </w:rPr>
        <w:fldChar w:fldCharType="separate"/>
      </w:r>
      <w:r>
        <w:rPr>
          <w:rFonts w:eastAsia="Calibri" w:cs="Times-Roman" w:ascii="Times-Roman" w:hAnsi="Times-Roman"/>
          <w:color w:themeColor="text1" w:val="000000"/>
        </w:rPr>
        <w:t>[51]</w:t>
      </w:r>
      <w:r>
        <w:rPr>
          <w:rFonts w:eastAsia="Calibri" w:cs="Times-Roman" w:ascii="Times-Roman" w:hAnsi="Times-Roman"/>
          <w:color w:themeColor="text1" w:val="000000"/>
        </w:rPr>
      </w:r>
      <w:r>
        <w:rPr>
          <w:rFonts w:eastAsia="Calibri" w:cs="Times-Roman" w:ascii="Times-Roman" w:hAnsi="Times-Roman"/>
          <w:color w:themeColor="text1" w:val="000000"/>
        </w:rPr>
        <w:fldChar w:fldCharType="end"/>
      </w:r>
      <w:r>
        <w:rPr>
          <w:rFonts w:eastAsia="Calibri" w:cs="Times-Roman" w:ascii="Times-Roman" w:hAnsi="Times-Roman"/>
          <w:color w:themeColor="text1" w:val="000000"/>
        </w:rPr>
        <w:t xml:space="preserve">. Αυτά τα ευρήματα υπογραμμίζουν τη σημασία της διερεύνησης της γενετικής συμβολής στην παχυσαρκία και τις σχετικές μεταβολικές ανωμαλίες, οι οποίες θα μπορούσαν να επιτρέψουν τον έλεγχο και την προληπτική θεραπεία για παχύσαρκα παιδιά και εφήβους </w:t>
      </w:r>
      <w:r>
        <w:fldChar w:fldCharType="begin"/>
      </w:r>
      <w:r>
        <w:rPr>
          <w:rFonts w:eastAsia="Calibri" w:cs="Times-Roman" w:ascii="Times-Roman" w:hAnsi="Times-Roman"/>
          <w:color w:themeColor="text1" w:val="000000"/>
        </w:rPr>
        <w:instrText xml:space="preserve">ADDIN ZOTERO_ITEM CSL_CITATION {"citationID":"M2xwpo7q","properties":{"formattedCitation":"[52]","plainCitation":"[52]","noteIndex":0},"citationItems":[{"id":1941,"uris":["http://zotero.org/users/local/WDVvZTBM/items/FNTUA6Z2"],"itemData":{"id":1941,"type":"article-journal","abstract":"To unravel the source of SARS-CoV-2 introduction and the pattern of its spreading and evolution in the United Arab Emirates, we conducted meta-transcriptome sequencing of 1067 nasopharyngeal swab samples collected between May 9th and Jun 29th, 2020 during the first peak of the local COVID-19 epidemic. We identified global clade distribution and eleven novel genetic variants that were almost absent in the rest of the world and that defined five subclades specific to the UAE viral population. Cross-settlement human-to-human transmission was related to the local business activity. Perhaps surprisingly, at least 5% of the population were co-infected by SARS-CoV-2 of multiple clades within the same host. We also discovered an enrichment of cytosine-to-uracil mutation among the viral population collected from the nasopharynx, that is different from the adenosine-to-inosine change previously reported in the bronchoalveolar lavage fluid samples and a previously unidentified upregulation of APOBEC4 expression in nasopharynx among infected patients, indicating the innate immune host response mediated by ADAR and APOBEC gene families could be tissue-specific. The genomic epidemiological and molecular biological knowledge reported here provides new insights for the SARS-CoV-2 evolution and transmission and points out future direction on host–pathogen interaction investigation.","container-title":"Scientific Reports","DOI":"10.1038/s41598-021-92851-3","ISSN":"2045-2322","issue":"1","journalAbbreviation":"Sci Rep","language":"en","license":"2021 The Author(s)","note":"number: 1\npublisher: Nature Publishing Group","page":"13971","source":"www.nature.com","title":"Genomic epidemiology of SARS-CoV-2 in the UAE reveals novel virus mutation, patterns of co-infection and tissue specific host immune response","volume":"11","author":[{"family":"Liu","given":"Rong"},{"family":"Wu","given":"Pei"},{"family":"Ogrodzki","given":"Pauline"},{"family":"Mahmoud","given":"Sally"},{"family":"Liang","given":"Ke"},{"family":"Liu","given":"Pengjuan"},{"family":"Francis","given":"Stephen S."},{"family":"Khalak","given":"Hanif"},{"family":"Liu","given":"Denghui"},{"family":"Li","given":"Junhua"},{"family":"Ma","given":"Tao"},{"family":"Chen","given":"Fang"},{"family":"Liu","given":"Weibin"},{"family":"Huang","given":"Xinyu"},{"family":"He","given":"Wenjun"},{"family":"Yuan","given":"Zhaorong"},{"family":"Qiao","given":"Nan"},{"family":"Meng","given":"Xin"},{"family":"Alqarni","given":"Budoor"},{"family":"Quilez","given":"Javier"},{"family":"Kusuma","given":"Vinay"},{"family":"Lin","given":"Long"},{"family":"Jin","given":"Xin"},{"family":"Yang","given":"Chongguang"},{"family":"Anton","given":"Xavier"},{"family":"Koshy","given":"Ashish"},{"family":"Yang","given":"Huanming"},{"family":"Xu","given":"Xun"},{"family":"Wang","given":"Jian"},{"family":"Xiao","given":"Peng"},{"family":"Al Kaabi","given":"Nawal"},{"family":"Fasihuddin","given":"Mohammed Saifuddin"},{"family":"Selvaraj","given":"Francis Amirtharaj"},{"family":"Weber","given":"Stefan"},{"family":"Al Hosani","given":"Farida Ismail"},{"family":"Liu","given":"Siyang"},{"family":"Zaher","given":"Walid Abbas"}],"issued":{"date-parts":[["2021",7,7]]}}}],"schema":"https://github.com/citation-style-language/schema/raw/master/csl-citation.json"}</w:instrText>
      </w:r>
      <w:r>
        <w:rPr>
          <w:rFonts w:eastAsia="Calibri" w:cs="Times-Roman" w:ascii="Times-Roman" w:hAnsi="Times-Roman"/>
          <w:color w:themeColor="text1" w:val="000000"/>
        </w:rPr>
      </w:r>
      <w:r>
        <w:rPr>
          <w:rFonts w:eastAsia="Calibri" w:cs="Times-Roman" w:ascii="Times-Roman" w:hAnsi="Times-Roman"/>
          <w:color w:themeColor="text1" w:val="000000"/>
        </w:rPr>
        <w:fldChar w:fldCharType="separate"/>
      </w:r>
      <w:r>
        <w:rPr>
          <w:rFonts w:eastAsia="Calibri" w:cs="Times-Roman" w:ascii="Times-Roman" w:hAnsi="Times-Roman"/>
          <w:color w:themeColor="text1" w:val="000000"/>
        </w:rPr>
        <w:t>[52]</w:t>
      </w:r>
      <w:r>
        <w:rPr>
          <w:rFonts w:eastAsia="Calibri" w:cs="Times-Roman" w:ascii="Times-Roman" w:hAnsi="Times-Roman"/>
          <w:color w:themeColor="text1" w:val="000000"/>
        </w:rPr>
      </w:r>
      <w:r>
        <w:rPr>
          <w:rFonts w:eastAsia="Calibri" w:cs="Times-Roman" w:ascii="Times-Roman" w:hAnsi="Times-Roman"/>
          <w:color w:themeColor="text1" w:val="000000"/>
        </w:rPr>
        <w:fldChar w:fldCharType="end"/>
      </w:r>
      <w:r>
        <w:rPr>
          <w:rFonts w:eastAsia="Calibri" w:cs="Times-Roman" w:ascii="Times-Roman" w:hAnsi="Times-Roman"/>
          <w:color w:themeColor="text1" w:val="000000"/>
        </w:rPr>
        <w:t>.</w:t>
      </w:r>
    </w:p>
    <w:p>
      <w:pPr>
        <w:pStyle w:val="Normal"/>
        <w:spacing w:lineRule="auto" w:line="360"/>
        <w:ind w:firstLine="720"/>
        <w:jc w:val="both"/>
        <w:rPr>
          <w:rFonts w:ascii="Times-Roman" w:hAnsi="Times-Roman" w:eastAsia="Calibri" w:cs="Times-Roman"/>
          <w:color w:themeColor="text1" w:val="000000"/>
        </w:rPr>
      </w:pPr>
      <w:r>
        <w:rPr>
          <w:rFonts w:eastAsia="Calibri" w:cs="Times-Roman" w:ascii="Times-Roman" w:hAnsi="Times-Roman"/>
          <w:color w:themeColor="text1" w:val="000000"/>
        </w:rPr>
        <w:t xml:space="preserve">Επιπλέον, η γονική παχυσαρκία έχει αναγνωριστεί ως κύριος παράγοντας κινδύνου για την παιδική παχυσαρκία, υπογραμμίζοντας την πιθανή κληρονομική επίδραση στην ανάπτυξη της παχυσαρκίας </w:t>
      </w:r>
      <w:r>
        <w:fldChar w:fldCharType="begin"/>
      </w:r>
      <w:r>
        <w:rPr>
          <w:rFonts w:eastAsia="Calibri" w:cs="Times-Roman" w:ascii="Times-Roman" w:hAnsi="Times-Roman"/>
          <w:color w:themeColor="text1" w:val="000000"/>
        </w:rPr>
        <w:instrText xml:space="preserve">ADDIN ZOTERO_ITEM CSL_CITATION {"citationID":"ZdYD42w4","properties":{"formattedCitation":"[53]","plainCitation":"[53]","noteIndex":0},"citationItems":[{"id":3189,"uris":["http://zotero.org/users/local/WDVvZTBM/items/4WC746J8"],"itemData":{"id":3189,"type":"article-journal","container-title":"Pediatric Gastroenterology Hepatology &amp; Nutrition","DOI":"10.5223/pghn.2017.20.2.71","title":"Nutritional Counseling for Obese Children With Obesity-Related Metabolic Abnormalities in Korea","author":[{"family":"Kang","given":"Kyu-Suk"}],"issued":{"date-parts":[["2017"]]}}}],"schema":"https://github.com/citation-style-language/schema/raw/master/csl-citation.json"}</w:instrText>
      </w:r>
      <w:r>
        <w:rPr>
          <w:rFonts w:eastAsia="Calibri" w:cs="Times-Roman" w:ascii="Times-Roman" w:hAnsi="Times-Roman"/>
          <w:color w:themeColor="text1" w:val="000000"/>
        </w:rPr>
      </w:r>
      <w:r>
        <w:rPr>
          <w:rFonts w:eastAsia="Calibri" w:cs="Times-Roman" w:ascii="Times-Roman" w:hAnsi="Times-Roman"/>
          <w:color w:themeColor="text1" w:val="000000"/>
        </w:rPr>
        <w:fldChar w:fldCharType="separate"/>
      </w:r>
      <w:r>
        <w:rPr>
          <w:rFonts w:eastAsia="Calibri" w:cs="Times-Roman" w:ascii="Times-Roman" w:hAnsi="Times-Roman"/>
          <w:color w:themeColor="text1" w:val="000000"/>
        </w:rPr>
        <w:t>[53]</w:t>
      </w:r>
      <w:r>
        <w:rPr>
          <w:rFonts w:eastAsia="Calibri" w:cs="Times-Roman" w:ascii="Times-Roman" w:hAnsi="Times-Roman"/>
          <w:color w:themeColor="text1" w:val="000000"/>
        </w:rPr>
      </w:r>
      <w:r>
        <w:rPr>
          <w:rFonts w:eastAsia="Calibri" w:cs="Times-Roman" w:ascii="Times-Roman" w:hAnsi="Times-Roman"/>
          <w:color w:themeColor="text1" w:val="000000"/>
        </w:rPr>
        <w:fldChar w:fldCharType="end"/>
      </w:r>
      <w:r>
        <w:rPr>
          <w:rFonts w:eastAsia="Calibri" w:cs="Times-Roman" w:ascii="Times-Roman" w:hAnsi="Times-Roman"/>
          <w:color w:themeColor="text1" w:val="000000"/>
        </w:rPr>
        <w:t xml:space="preserve">. Μελέτες έχουν δείξει ότι τα παιδιά με παχύσαρκους γονείς παρουσιάζουν χαρακτηριστικούς τρόπους ζωής που μπορεί να συμβάλλουν στην ανάπτυξη της παχυσαρκίας, υποδεικνύοντας την πιθανή μετάδοση των παραγόντων κινδύνου παχυσαρκίας μεταξύ των γενεών </w:t>
      </w:r>
      <w:r>
        <w:fldChar w:fldCharType="begin"/>
      </w:r>
      <w:r>
        <w:rPr>
          <w:rFonts w:eastAsia="Calibri" w:cs="Times-Roman" w:ascii="Times-Roman" w:hAnsi="Times-Roman"/>
          <w:color w:themeColor="text1" w:val="000000"/>
        </w:rPr>
        <w:instrText xml:space="preserve">ADDIN ZOTERO_ITEM CSL_CITATION {"citationID":"1xXCiXJa","properties":{"formattedCitation":"[54]","plainCitation":"[54]","noteIndex":0},"citationItems":[{"id":2425,"uris":["http://zotero.org/users/local/WDVvZTBM/items/ANNDCRDK"],"itemData":{"id":2425,"type":"article-journal","abstract":"Sedentary lifestyle and consumption of high-calorie foods have caused a relentless increase of overweight and obesity prevalence at all ages. Its presently epidemic proportion is disquieting due to the tight relationship of obesity with metabolic syndrome and several other comorbidities which do call for urgent workarounds. The usual ineffectiveness of present therapies and failure of prevention campaigns triggered overtime a number of research studies which have unveiled some relevant aspects of obesity genetic and epigenetic inheritable profiles. These findings are revealing extremely precious mainly to serve as a likely extra arrow to allow the clinician’s bow to achieve still hitherto unmet preventive goals. Evidence now exists that maternal obesity/overnutrition during pregnancy and lactation convincingly appears associated with several disorders in the offspring independently of the transmission of a purely genetic predisposition. Even the pre-conception direct exposure of either father or mother gametes to environmental factors can reprogram the epigenetic architecture of cells. Such phenomena lie behind the transfer of the obesity susceptibility to future generations through a mechanism of epigenetic inheritance. Moreover, a growing number of studies suggests that several environmental factors such as maternal malnutrition, hypoxia, and exposure to excess hormones and endocrine disruptors during pregnancy and the early postnatal period may play critical roles in programming childhood adipose tissue and obesity. A deeper understanding of how inherited genetics and epigenetics may generate an obesogenic environment at pediatric age might strengthen our knowledge about pathogenetic mechanisms and improve the clinical management of patients. Therefore, in this narrative review, we attempt to provide a general overview of the contribution of heritable genetic and epigenetic patterns to the obesity susceptibility in children, placing a particular emphasis on the mother-child dyad.","container-title":"Frontiers in Endocrinology","DOI":"10.3389/fendo.2022.1006008","ISSN":"1664-2392","journalAbbreviation":"Front. Endocrinol.","language":"en","page":"1006008","source":"DOI.org (Crossref)","title":"Genetics, epigenetics and transgenerational transmission of obesity in children","volume":"13","author":[{"family":"Panera","given":"Nadia"},{"family":"Mandato","given":"Claudia"},{"family":"Crudele","given":"Annalisa"},{"family":"Bertrando","given":"Sara"},{"family":"Vajro","given":"Pietro"},{"family":"Alisi","given":"Anna"}],"issued":{"date-parts":[["2022",11,14]]}}}],"schema":"https://github.com/citation-style-language/schema/raw/master/csl-citation.json"}</w:instrText>
      </w:r>
      <w:r>
        <w:rPr>
          <w:rFonts w:eastAsia="Calibri" w:cs="Times-Roman" w:ascii="Times-Roman" w:hAnsi="Times-Roman"/>
          <w:color w:themeColor="text1" w:val="000000"/>
        </w:rPr>
      </w:r>
      <w:r>
        <w:rPr>
          <w:rFonts w:eastAsia="Calibri" w:cs="Times-Roman" w:ascii="Times-Roman" w:hAnsi="Times-Roman"/>
          <w:color w:themeColor="text1" w:val="000000"/>
        </w:rPr>
        <w:fldChar w:fldCharType="separate"/>
      </w:r>
      <w:r>
        <w:rPr>
          <w:rFonts w:eastAsia="Calibri" w:cs="Times-Roman" w:ascii="Times-Roman" w:hAnsi="Times-Roman"/>
          <w:color w:themeColor="text1" w:val="000000"/>
        </w:rPr>
        <w:t>[54]</w:t>
      </w:r>
      <w:r>
        <w:rPr>
          <w:rFonts w:eastAsia="Calibri" w:cs="Times-Roman" w:ascii="Times-Roman" w:hAnsi="Times-Roman"/>
          <w:color w:themeColor="text1" w:val="000000"/>
        </w:rPr>
      </w:r>
      <w:r>
        <w:rPr>
          <w:rFonts w:eastAsia="Calibri" w:cs="Times-Roman" w:ascii="Times-Roman" w:hAnsi="Times-Roman"/>
          <w:color w:themeColor="text1" w:val="000000"/>
        </w:rPr>
        <w:fldChar w:fldCharType="end"/>
      </w:r>
      <w:r>
        <w:rPr>
          <w:rFonts w:eastAsia="Calibri" w:cs="Times-Roman" w:ascii="Times-Roman" w:hAnsi="Times-Roman"/>
          <w:color w:themeColor="text1" w:val="000000"/>
        </w:rPr>
        <w:t xml:space="preserve">. Επιπλέον, η συσχέτιση μεταξύ μητρικής παχυσαρκίας πριν από την εγκυμοσύνη και αυξημένου κινδύνου νευροαναπτυξιακών διαταραχών στα παιδιά υπογραμμίζει την επίδραση της παχυσαρκίας των γονέων στην υγεία του παιδιού </w:t>
      </w:r>
      <w:r>
        <w:fldChar w:fldCharType="begin"/>
      </w:r>
      <w:r>
        <w:rPr>
          <w:rFonts w:eastAsia="Calibri" w:cs="Times-Roman" w:ascii="Times-Roman" w:hAnsi="Times-Roman"/>
          <w:color w:themeColor="text1" w:val="000000"/>
        </w:rPr>
        <w:instrText xml:space="preserve">ADDIN ZOTERO_ITEM CSL_CITATION {"citationID":"n5AyWdu2","properties":{"formattedCitation":"[55]","plainCitation":"[55]","noteIndex":0},"citationItems":[{"id":3191,"uris":["http://zotero.org/users/local/WDVvZTBM/items/ULNH5C7U"],"itemData":{"id":3191,"type":"article-journal","container-title":"Pediatrics","DOI":"10.1542/peds.2013-3664d","title":"Parental Obesity and Risk of Autism Spectrum Disorder","issued":{"date-parts":[["2014"]]}}}],"schema":"https://github.com/citation-style-language/schema/raw/master/csl-citation.json"}</w:instrText>
      </w:r>
      <w:r>
        <w:rPr>
          <w:rFonts w:eastAsia="Calibri" w:cs="Times-Roman" w:ascii="Times-Roman" w:hAnsi="Times-Roman"/>
          <w:color w:themeColor="text1" w:val="000000"/>
        </w:rPr>
      </w:r>
      <w:r>
        <w:rPr>
          <w:rFonts w:eastAsia="Calibri" w:cs="Times-Roman" w:ascii="Times-Roman" w:hAnsi="Times-Roman"/>
          <w:color w:themeColor="text1" w:val="000000"/>
        </w:rPr>
        <w:fldChar w:fldCharType="separate"/>
      </w:r>
      <w:r>
        <w:rPr>
          <w:rFonts w:eastAsia="Calibri" w:cs="Times-Roman" w:ascii="Times-Roman" w:hAnsi="Times-Roman"/>
          <w:color w:themeColor="text1" w:val="000000"/>
        </w:rPr>
        <w:t>[55]</w:t>
      </w:r>
      <w:r>
        <w:rPr>
          <w:rFonts w:eastAsia="Calibri" w:cs="Times-Roman" w:ascii="Times-Roman" w:hAnsi="Times-Roman"/>
          <w:color w:themeColor="text1" w:val="000000"/>
        </w:rPr>
      </w:r>
      <w:r>
        <w:rPr>
          <w:rFonts w:eastAsia="Calibri" w:cs="Times-Roman" w:ascii="Times-Roman" w:hAnsi="Times-Roman"/>
          <w:color w:themeColor="text1" w:val="000000"/>
        </w:rPr>
        <w:fldChar w:fldCharType="end"/>
      </w:r>
      <w:r>
        <w:rPr>
          <w:rFonts w:eastAsia="Calibri" w:cs="Times-Roman" w:ascii="Times-Roman" w:hAnsi="Times-Roman"/>
          <w:color w:themeColor="text1" w:val="000000"/>
        </w:rPr>
        <w:t>.</w:t>
      </w:r>
    </w:p>
    <w:p>
      <w:pPr>
        <w:pStyle w:val="Normal"/>
        <w:spacing w:lineRule="auto" w:line="360"/>
        <w:ind w:firstLine="720"/>
        <w:jc w:val="both"/>
        <w:rPr>
          <w:rFonts w:ascii="Times-Roman" w:hAnsi="Times-Roman" w:eastAsia="Calibri" w:cs="Times-Roman"/>
          <w:color w:themeColor="text1" w:val="000000"/>
        </w:rPr>
      </w:pPr>
      <w:r>
        <w:rPr>
          <w:rFonts w:eastAsia="Calibri" w:cs="Times-Roman" w:ascii="Times-Roman" w:hAnsi="Times-Roman"/>
          <w:color w:themeColor="text1" w:val="000000"/>
        </w:rPr>
        <w:t xml:space="preserve">Ενώ οι γενετικοί παράγοντες παίζουν σημαντικό ρόλο στην παιδική παχυσαρκία, είναι σημαντικό να αναγνωριστεί η αλληλεπίδραση μεταξύ της γενετικής προδιάθεσης και των περιβαλλοντικών επιρροών. Ο κίνδυνος παιδικής παχυσαρκίας επηρεάζεται από έναν συνδυασμό γενετικών συστατικών, περιβαλλοντικών και μεταβλητών τρόπου ζωής και διατροφικών παραγόντων </w:t>
      </w:r>
      <w:r>
        <w:fldChar w:fldCharType="begin"/>
      </w:r>
      <w:r>
        <w:rPr>
          <w:rFonts w:eastAsia="Calibri" w:cs="Times-Roman" w:ascii="Times-Roman" w:hAnsi="Times-Roman"/>
          <w:color w:themeColor="text1" w:val="000000"/>
        </w:rPr>
        <w:instrText xml:space="preserve">ADDIN ZOTERO_ITEM CSL_CITATION {"citationID":"EIPHq7W2","properties":{"formattedCitation":"[56]","plainCitation":"[56]","noteIndex":0},"citationItems":[{"id":3192,"uris":["http://zotero.org/users/local/WDVvZTBM/items/PT2W4CV6"],"itemData":{"id":3192,"type":"article-journal","container-title":"Journal of Public Health Dentistry","DOI":"10.1111/jphd.12218","title":"Introduction to Proceedings of Healthy Futures: Engaging the Oral Health Community in Childhood Obesity Prevention National Conference","author":[{"family":"Tinanoff","given":"Norman"},{"family":"Holt","given":"Katrina"}],"issued":{"date-parts":[["2017"]]}}}],"schema":"https://github.com/citation-style-language/schema/raw/master/csl-citation.json"}</w:instrText>
      </w:r>
      <w:r>
        <w:rPr>
          <w:rFonts w:eastAsia="Calibri" w:cs="Times-Roman" w:ascii="Times-Roman" w:hAnsi="Times-Roman"/>
          <w:color w:themeColor="text1" w:val="000000"/>
        </w:rPr>
      </w:r>
      <w:r>
        <w:rPr>
          <w:rFonts w:eastAsia="Calibri" w:cs="Times-Roman" w:ascii="Times-Roman" w:hAnsi="Times-Roman"/>
          <w:color w:themeColor="text1" w:val="000000"/>
        </w:rPr>
        <w:fldChar w:fldCharType="separate"/>
      </w:r>
      <w:r>
        <w:rPr>
          <w:rFonts w:eastAsia="Calibri" w:cs="Times-Roman" w:ascii="Times-Roman" w:hAnsi="Times-Roman"/>
          <w:color w:themeColor="text1" w:val="000000"/>
        </w:rPr>
        <w:t>[56]</w:t>
      </w:r>
      <w:r>
        <w:rPr>
          <w:rFonts w:eastAsia="Calibri" w:cs="Times-Roman" w:ascii="Times-Roman" w:hAnsi="Times-Roman"/>
          <w:color w:themeColor="text1" w:val="000000"/>
        </w:rPr>
      </w:r>
      <w:r>
        <w:rPr>
          <w:rFonts w:eastAsia="Calibri" w:cs="Times-Roman" w:ascii="Times-Roman" w:hAnsi="Times-Roman"/>
          <w:color w:themeColor="text1" w:val="000000"/>
        </w:rPr>
        <w:fldChar w:fldCharType="end"/>
      </w:r>
      <w:r>
        <w:rPr>
          <w:rFonts w:eastAsia="Calibri" w:cs="Times-Roman" w:ascii="Times-Roman" w:hAnsi="Times-Roman"/>
          <w:color w:themeColor="text1" w:val="000000"/>
        </w:rPr>
        <w:t xml:space="preserve">. Επιπλέον, οι επιπτώσεις της γενετικής ευθύνης για την παιδική παχυσαρκία στα αποτελέσματα της σωματικής υγείας, όπως οι καρδιαγγειακές παθήσεις, τονίζουν περαιτέρω την περίπλοκη σχέση μεταξύ της γενετικής προδιάθεσης και των αποτελεσμάτων υγείας </w:t>
      </w:r>
      <w:r>
        <w:fldChar w:fldCharType="begin"/>
      </w:r>
      <w:r>
        <w:rPr>
          <w:rFonts w:eastAsia="Calibri" w:cs="Times-Roman" w:ascii="Times-Roman" w:hAnsi="Times-Roman"/>
          <w:color w:themeColor="text1" w:val="000000"/>
        </w:rPr>
        <w:instrText xml:space="preserve">ADDIN ZOTERO_ITEM CSL_CITATION {"citationID":"tYmlWJ3Y","properties":{"formattedCitation":"[57]","plainCitation":"[57]","noteIndex":0},"citationItems":[{"id":3193,"uris":["http://zotero.org/users/local/WDVvZTBM/items/3ZYGYPLR"],"itemData":{"id":3193,"type":"article-journal","DOI":"10.1101/630467","title":"ADHD Genetic Liability and Physical Health Outcomes - A Two-Sample Mendelian Randomization Study","author":[{"family":"Leppert","given":"Beate"},{"family":"Riglin","given":"Lucy"},{"family":"Dardani","given":"Christina"},{"family":"Thapar","given":"Ajay K"},{"family":"Staley","given":"James R"},{"family":"Tilling","given":"Kate"},{"family":"Smith","given":"George Davey"},{"family":"Thapar","given":"Anita"},{"family":"Stergiakouli","given":"Evie"}],"issued":{"date-parts":[["2019"]]}}}],"schema":"https://github.com/citation-style-language/schema/raw/master/csl-citation.json"}</w:instrText>
      </w:r>
      <w:r>
        <w:rPr>
          <w:rFonts w:eastAsia="Calibri" w:cs="Times-Roman" w:ascii="Times-Roman" w:hAnsi="Times-Roman"/>
          <w:color w:themeColor="text1" w:val="000000"/>
        </w:rPr>
      </w:r>
      <w:r>
        <w:rPr>
          <w:rFonts w:eastAsia="Calibri" w:cs="Times-Roman" w:ascii="Times-Roman" w:hAnsi="Times-Roman"/>
          <w:color w:themeColor="text1" w:val="000000"/>
        </w:rPr>
        <w:fldChar w:fldCharType="separate"/>
      </w:r>
      <w:r>
        <w:rPr>
          <w:rFonts w:eastAsia="Calibri" w:cs="Times-Roman" w:ascii="Times-Roman" w:hAnsi="Times-Roman"/>
          <w:color w:themeColor="text1" w:val="000000"/>
        </w:rPr>
        <w:t>[57]</w:t>
      </w:r>
      <w:r>
        <w:rPr>
          <w:rFonts w:eastAsia="Calibri" w:cs="Times-Roman" w:ascii="Times-Roman" w:hAnsi="Times-Roman"/>
          <w:color w:themeColor="text1" w:val="000000"/>
        </w:rPr>
      </w:r>
      <w:r>
        <w:rPr>
          <w:rFonts w:eastAsia="Calibri" w:cs="Times-Roman" w:ascii="Times-Roman" w:hAnsi="Times-Roman"/>
          <w:color w:themeColor="text1" w:val="000000"/>
        </w:rPr>
        <w:fldChar w:fldCharType="end"/>
      </w:r>
      <w:r>
        <w:rPr>
          <w:rFonts w:eastAsia="Calibri" w:cs="Times-Roman" w:ascii="Times-Roman" w:hAnsi="Times-Roman"/>
          <w:color w:themeColor="text1" w:val="000000"/>
        </w:rPr>
        <w:t>.</w:t>
      </w:r>
    </w:p>
    <w:p>
      <w:pPr>
        <w:pStyle w:val="Normal"/>
        <w:spacing w:lineRule="auto" w:line="360"/>
        <w:ind w:firstLine="720"/>
        <w:jc w:val="both"/>
        <w:rPr>
          <w:rFonts w:ascii="Times-Roman" w:hAnsi="Times-Roman" w:eastAsia="Calibri" w:cs="Times-Roman"/>
          <w:color w:themeColor="text1" w:val="000000"/>
        </w:rPr>
      </w:pPr>
      <w:r>
        <w:rPr>
          <w:rFonts w:eastAsia="Calibri" w:cs="Times-Roman" w:ascii="Times-Roman" w:hAnsi="Times-Roman"/>
          <w:color w:themeColor="text1" w:val="000000"/>
        </w:rPr>
        <w:t>Συμπερασματικά, η συμβολή των γενετικών παραγόντων στην παιδική παχυσαρκία είναι σημαντική, όπως αποδεικνύεται από τον εντοπισμό γενετικών παραλλαγών που σχετίζονται με την παχυσαρκία και τις μεταβολικές ανωμαλίες στα παιδιά. Η κατανόηση των γενετικών υποδομών της παιδικής παχυσαρκίας είναι ζωτικής σημασίας για την ανάπτυξη αποτελεσματικών στρατηγικών προσυμπτωματικού ελέγχου και πρόληψης. Ωστόσο, είναι σημαντικό να ληφθεί υπόψη η αλληλεπίδραση μεταξύ της γενετικής προδιάθεσης και των περιβαλλοντικών επιρροών για την ολοκληρωμένη αντιμετώπιση της παιδικής παχυσαρκίας.</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Heading1"/>
        <w:rPr>
          <w:rFonts w:ascii="Times New Roman" w:hAnsi="Times New Roman"/>
          <w:lang w:eastAsia="el-GR"/>
        </w:rPr>
      </w:pPr>
      <w:bookmarkStart w:id="25" w:name="_Toc154923810"/>
      <w:bookmarkStart w:id="26" w:name="_Toc103619728"/>
      <w:r>
        <w:rPr>
          <w:rFonts w:ascii="Times New Roman" w:hAnsi="Times New Roman"/>
          <w:lang w:eastAsia="el-GR"/>
        </w:rPr>
        <w:t>Κεφάλαιο 2: Μεθοδολογία Έρευνας</w:t>
      </w:r>
      <w:bookmarkEnd w:id="25"/>
      <w:bookmarkEnd w:id="26"/>
      <w:r>
        <w:rPr>
          <w:rFonts w:ascii="Times New Roman" w:hAnsi="Times New Roman"/>
          <w:lang w:eastAsia="el-GR"/>
        </w:rPr>
        <w:t xml:space="preserve"> </w:t>
      </w:r>
    </w:p>
    <w:p>
      <w:pPr>
        <w:pStyle w:val="Heading2"/>
        <w:rPr/>
      </w:pPr>
      <w:bookmarkStart w:id="27" w:name="_Toc154923811"/>
      <w:bookmarkStart w:id="28" w:name="_Toc103619729"/>
      <w:r>
        <w:rPr/>
        <w:t>2.1 Στόχος της βιβλιογραφικής ανασκόπησης</w:t>
      </w:r>
      <w:bookmarkEnd w:id="27"/>
      <w:bookmarkEnd w:id="28"/>
      <w:r>
        <w:rPr/>
        <w:t xml:space="preserve"> </w:t>
      </w:r>
    </w:p>
    <w:p>
      <w:pPr>
        <w:pStyle w:val="Normal"/>
        <w:spacing w:lineRule="auto" w:line="360"/>
        <w:ind w:firstLine="720"/>
        <w:jc w:val="both"/>
        <w:rPr>
          <w:rFonts w:ascii="Times-Roman" w:hAnsi="Times-Roman" w:eastAsia="Calibri" w:cs="Times-Roman"/>
          <w:color w:val="18191B"/>
        </w:rPr>
      </w:pPr>
      <w:r>
        <w:rPr>
          <w:rFonts w:eastAsia="Calibri" w:cs="Times-Roman" w:ascii="Times-Roman" w:hAnsi="Times-Roman"/>
          <w:color w:val="18191B"/>
        </w:rPr>
        <w:t>Η παρούσα βιβλιογραφική έρευνα έχει ως στόχο την εδραίωση και τη σύνθεση του υπάρχοντος όγκου γνώσεων σχετικά με τους γενετικούς παράγοντες που συμβάλλουν στην παιδική παχυσαρκία. Με την ανασκόπηση της σχετικής βιβλιογραφίας, ο στόχος είναι να παρέχεται μια ολοκληρωμένη επισκόπηση της τρέχουσας κατάστασης με σκοπό την κατανόηση της σε αυτόν τον τομέα. Η ανασκόπηση επιδιώκει να εντοπίσει και να επισημάνει συγκεκριμένα γονίδια και γενετικές παραλλαγές που σχετίζονται με την παιδική παχυσαρκία. Αυτό περιλαμβάνει τη σύνοψη ευρημάτων από διάφορες μελέτες, συμπεριλαμβανομένων των μελετών συσχέτισης σε επίπεδο γονιδιώματος (GWAS) και μελετών υποψήφιων γονιδίων, για τον εντοπισμό των βασικών γενετικών παραγόντων που εμπλέκονται στην ανάπτυξη της παχυσαρκίας κατά την παιδική ηλικία. Θα διερευνηθεί πώς αλληλεπιδρούν οι γενετικοί παράγοντες με τις περιβαλλοντικές επιρροές στο πλαίσιο της παιδικής παχυσαρκίας. Η κατανόηση του τρόπου με τον οποίο αλληλεπιδρούν τα γονίδια και το περιβάλλον είναι ζωτικής σημασίας για την ανάπτυξη μιας διαφοροποιημένης κατανόησης της πολύπλευρης φύσης της αιτιολογίας της παχυσαρκίας. Θα αξιολογηθούν οι μεθοδολογίες που χρησιμοποιούνται σε μελέτες που διερευνούν γενετικούς παράγοντες στην παιδική παχυσαρκία. Αυτό περιλαμβάνει την αξιολόγηση των πλεονεκτημάτων και των περιορισμών διαφορετικών ερευνητικών σχεδίων, μεγεθών δειγμάτων και τεχνικών μέτρησης για να διαπιστωθεί η αξιοπιστία και η εγκυρότητα των στοιχείων που παρουσιάζονται στη βιβλιογραφία.</w:t>
      </w:r>
    </w:p>
    <w:p>
      <w:pPr>
        <w:pStyle w:val="Normal"/>
        <w:spacing w:lineRule="auto" w:line="360"/>
        <w:ind w:firstLine="720"/>
        <w:jc w:val="both"/>
        <w:rPr>
          <w:rFonts w:ascii="Times-Roman" w:hAnsi="Times-Roman" w:eastAsia="Calibri" w:cs="Times-Roman"/>
          <w:color w:val="18191B"/>
        </w:rPr>
      </w:pPr>
      <w:r>
        <w:rPr>
          <w:rFonts w:eastAsia="Calibri" w:cs="Times-Roman" w:ascii="Times-Roman" w:hAnsi="Times-Roman"/>
          <w:color w:val="18191B"/>
        </w:rPr>
        <w:t>Επιπλέον, στοχεύεται ο προσδιορισμός ερευνητικών κενών στους τομείς στους οποίους απαιτείται περαιτέρω έρευνα, εντοπίζοντας κενά ή περιορισμούς στο τρέχον σώμα της βιβλιογραφίας. Αυτό θα μπορούσε να περιλαμβάνει την πρόταση συγκεκριμένων πληθυσμών που απαιτούν περισσότερη προσοχή, τη σύσταση πρόσθετων μεθοδολογιών ή την πρόταση νέων οδών έρευνας. Επισημαίνεται ότι εντός των στόχων που έχουν τεθεί είναι κ παροχή πληροφοριών που μπορούν να ενημερώσουν την ανάπτυξη στρατηγικών πρόληψης και παρέμβασης. Η κατανόηση των γενετικών παραγόντων που συμβάλλουν στην παιδική παχυσαρκία μπορεί να καθοδηγήσει τον σχεδιασμό στοχευμένων παρεμβάσεων, εξατομικευμένων σχεδίων θεραπείας και πρωτοβουλιών δημόσιας υγείας που στοχεύουν στη μείωση του επιπολασμού της παιδικής παχυσαρκίας.</w:t>
      </w:r>
    </w:p>
    <w:p>
      <w:pPr>
        <w:pStyle w:val="Normal"/>
        <w:spacing w:lineRule="auto" w:line="360"/>
        <w:ind w:firstLine="720"/>
        <w:jc w:val="both"/>
        <w:rPr>
          <w:szCs w:val="21"/>
        </w:rPr>
      </w:pPr>
      <w:r>
        <w:rPr>
          <w:rFonts w:eastAsia="Calibri" w:cs="Times-Roman" w:ascii="Times-Roman" w:hAnsi="Times-Roman"/>
          <w:color w:val="18191B"/>
        </w:rPr>
        <w:t>Συνοπτικά, ο σκοπός της βιβλιογραφικής ανασκόπησης σχετικά με τους γενετικούς παράγοντες στην παιδική παχυσαρκία είναι να εδραιώσει τη γνώση, να εντοπίσει βασικούς γενετικούς καθοριστικούς παράγοντες, να διερευνήσει τις αλληλεπιδράσεις γονιδίου-περιβάλλοντος, να αξιολογήσει ερευνητικές μεθοδολογίες, να εντοπίσει ερευνητικά κενά, να ενημερώσει στρατηγικές για την πρόληψη και την παρέμβαση και να διευκολύνει τα στοιχεία- με βάση τη λήψη αποφάσεων στο πεδίο.</w:t>
      </w:r>
    </w:p>
    <w:p>
      <w:pPr>
        <w:pStyle w:val="Heading2"/>
        <w:rPr/>
      </w:pPr>
      <w:bookmarkStart w:id="29" w:name="_Toc154923812"/>
      <w:bookmarkStart w:id="30" w:name="_Toc103619730"/>
      <w:r>
        <w:rPr/>
        <w:t>2.2 Ερευνητικά ερωτήματα</w:t>
      </w:r>
      <w:bookmarkEnd w:id="29"/>
      <w:bookmarkEnd w:id="30"/>
      <w:r>
        <w:rPr/>
        <w:t xml:space="preserve"> </w:t>
      </w:r>
    </w:p>
    <w:p>
      <w:pPr>
        <w:pStyle w:val="Normal"/>
        <w:spacing w:lineRule="auto" w:line="360"/>
        <w:ind w:firstLine="720"/>
        <w:jc w:val="both"/>
        <w:rPr>
          <w:szCs w:val="21"/>
        </w:rPr>
      </w:pPr>
      <w:r>
        <w:rPr>
          <w:rFonts w:eastAsia="Calibri" w:cs="Times-Roman" w:ascii="Times-Roman" w:hAnsi="Times-Roman"/>
          <w:color w:val="18191B"/>
        </w:rPr>
        <w:t>Μια βιβλιογραφική ανασκόπηση σχετικά με τους γενετικούς παράγοντες της παιδικής παχυσαρκίας αντιμετωπίζει συνήθως διάφορα ερωτήματα για να παρέχει μια ολοκληρωμένη κατανόηση της τρέχουσας κατάστασης της γνώσης σε αυτόν τον τομέα.</w:t>
      </w:r>
      <w:r>
        <w:rPr>
          <w:szCs w:val="21"/>
        </w:rPr>
        <w:t>. Επομένως, δημιουργούνται τα εξής ερευνητικά ερωτήματα γύρω από την αναζήτηση αυτών των παραγόντων:</w:t>
      </w:r>
    </w:p>
    <w:p>
      <w:pPr>
        <w:pStyle w:val="ListParagraph"/>
        <w:numPr>
          <w:ilvl w:val="0"/>
          <w:numId w:val="3"/>
        </w:numPr>
        <w:spacing w:lineRule="auto" w:line="360"/>
        <w:jc w:val="both"/>
        <w:rPr>
          <w:rFonts w:ascii="Times-Roman" w:hAnsi="Times-Roman" w:cs="Times-Roman"/>
          <w:color w:val="18191B"/>
        </w:rPr>
      </w:pPr>
      <w:r>
        <w:rPr>
          <w:rFonts w:cs="Times-Roman" w:ascii="Times-Roman" w:hAnsi="Times-Roman"/>
          <w:color w:val="18191B"/>
        </w:rPr>
        <w:t>Ποιοι είναι οι βασικοί γενετικοί καθοριστικοί παράγοντες που σχετίζονται με την παιδική παχυσαρκία;</w:t>
      </w:r>
    </w:p>
    <w:p>
      <w:pPr>
        <w:pStyle w:val="ListParagraph"/>
        <w:numPr>
          <w:ilvl w:val="0"/>
          <w:numId w:val="3"/>
        </w:numPr>
        <w:spacing w:lineRule="auto" w:line="360"/>
        <w:jc w:val="both"/>
        <w:rPr>
          <w:rFonts w:ascii="Times-Roman" w:hAnsi="Times-Roman" w:cs="Times-Roman"/>
          <w:color w:val="18191B"/>
        </w:rPr>
      </w:pPr>
      <w:r>
        <w:rPr>
          <w:rFonts w:cs="Times-Roman" w:ascii="Times-Roman" w:hAnsi="Times-Roman"/>
          <w:color w:val="18191B"/>
        </w:rPr>
        <w:t>Πώς συμβάλλουν συγκεκριμένα γονίδια και γενετικές παραλλαγές στην ανάπτυξη της παιδικής παχυσαρκίας;</w:t>
      </w:r>
    </w:p>
    <w:p>
      <w:pPr>
        <w:pStyle w:val="ListParagraph"/>
        <w:numPr>
          <w:ilvl w:val="0"/>
          <w:numId w:val="3"/>
        </w:numPr>
        <w:spacing w:lineRule="auto" w:line="360"/>
        <w:jc w:val="both"/>
        <w:rPr>
          <w:rFonts w:ascii="Times-Roman" w:hAnsi="Times-Roman" w:cs="Times-Roman"/>
          <w:color w:val="18191B"/>
        </w:rPr>
      </w:pPr>
      <w:r>
        <w:rPr>
          <w:rFonts w:cs="Times-Roman" w:ascii="Times-Roman" w:hAnsi="Times-Roman"/>
          <w:color w:val="18191B"/>
        </w:rPr>
        <w:t>Ποια είναι τα στοιχεία από μελέτες συσχέτισης σε επίπεδο γονιδιώματος (GWAS) σχετικά με τη γενετική αρχιτεκτονική της παιδικής παχυσαρκίας;</w:t>
      </w:r>
    </w:p>
    <w:p>
      <w:pPr>
        <w:pStyle w:val="ListParagraph"/>
        <w:numPr>
          <w:ilvl w:val="0"/>
          <w:numId w:val="3"/>
        </w:numPr>
        <w:spacing w:lineRule="auto" w:line="360"/>
        <w:jc w:val="both"/>
        <w:rPr>
          <w:rFonts w:ascii="Times-Roman" w:hAnsi="Times-Roman" w:cs="Times-Roman"/>
          <w:color w:val="18191B"/>
        </w:rPr>
      </w:pPr>
      <w:r>
        <w:rPr>
          <w:rFonts w:cs="Times-Roman" w:ascii="Times-Roman" w:hAnsi="Times-Roman"/>
          <w:color w:val="18191B"/>
        </w:rPr>
        <w:t>Υπάρχουν υποψήφια γονίδια που ταυτοποιούνται με συνέπεια σε διάφορες μελέτες;</w:t>
      </w:r>
    </w:p>
    <w:p>
      <w:pPr>
        <w:pStyle w:val="ListParagraph"/>
        <w:numPr>
          <w:ilvl w:val="0"/>
          <w:numId w:val="3"/>
        </w:numPr>
        <w:spacing w:lineRule="auto" w:line="360"/>
        <w:jc w:val="both"/>
        <w:rPr>
          <w:rFonts w:ascii="Times-Roman" w:hAnsi="Times-Roman" w:cs="Times-Roman"/>
          <w:color w:val="18191B"/>
        </w:rPr>
      </w:pPr>
      <w:r>
        <w:rPr>
          <w:rFonts w:cs="Times-Roman" w:ascii="Times-Roman" w:hAnsi="Times-Roman"/>
          <w:color w:val="18191B"/>
        </w:rPr>
        <w:t>Πώς επηρεάζουν οι αλληλεπιδράσεις γονιδίου-περιβάλλοντος τον κίνδυνο παιδικής παχυσαρκίας;</w:t>
      </w:r>
    </w:p>
    <w:p>
      <w:pPr>
        <w:pStyle w:val="ListParagraph"/>
        <w:numPr>
          <w:ilvl w:val="0"/>
          <w:numId w:val="3"/>
        </w:numPr>
        <w:spacing w:lineRule="auto" w:line="360"/>
        <w:jc w:val="both"/>
        <w:rPr>
          <w:rFonts w:ascii="Times-Roman" w:hAnsi="Times-Roman" w:cs="Times-Roman"/>
          <w:color w:val="18191B"/>
        </w:rPr>
      </w:pPr>
      <w:r>
        <w:rPr>
          <w:rFonts w:cs="Times-Roman" w:ascii="Times-Roman" w:hAnsi="Times-Roman"/>
          <w:color w:val="18191B"/>
        </w:rPr>
        <w:t>Τι ρόλο παίζουν οι επιγενετικοί μηχανισμοί (π.χ. μεθυλίωση DNA, τροποποίηση ιστόνης) στη γενετική βάση της παιδικής παχυσαρκίας;</w:t>
      </w:r>
    </w:p>
    <w:p>
      <w:pPr>
        <w:pStyle w:val="ListParagraph"/>
        <w:numPr>
          <w:ilvl w:val="0"/>
          <w:numId w:val="3"/>
        </w:numPr>
        <w:spacing w:lineRule="auto" w:line="360"/>
        <w:jc w:val="both"/>
        <w:rPr>
          <w:rFonts w:ascii="Times-Roman" w:hAnsi="Times-Roman" w:cs="Times-Roman"/>
          <w:color w:val="18191B"/>
        </w:rPr>
      </w:pPr>
      <w:r>
        <w:rPr>
          <w:rFonts w:cs="Times-Roman" w:ascii="Times-Roman" w:hAnsi="Times-Roman"/>
          <w:color w:val="18191B"/>
        </w:rPr>
        <w:t>Ποια είναι η επίδραση της γονικής γενετικής στον κίνδυνο παχυσαρκίας στους απογόνους τους;</w:t>
      </w:r>
    </w:p>
    <w:p>
      <w:pPr>
        <w:pStyle w:val="ListParagraph"/>
        <w:numPr>
          <w:ilvl w:val="0"/>
          <w:numId w:val="3"/>
        </w:numPr>
        <w:spacing w:lineRule="auto" w:line="360"/>
        <w:jc w:val="both"/>
        <w:rPr>
          <w:rFonts w:ascii="Times-Roman" w:hAnsi="Times-Roman" w:cs="Times-Roman"/>
          <w:color w:val="18191B"/>
        </w:rPr>
      </w:pPr>
      <w:r>
        <w:rPr>
          <w:rFonts w:cs="Times-Roman" w:ascii="Times-Roman" w:hAnsi="Times-Roman"/>
          <w:color w:val="18191B"/>
        </w:rPr>
        <w:t>Σε ποιό βαθμό οι γενετικοί παράγοντες εξηγούν τις ατομικές διαφορές στην ευαισθησία στην παιδική παχυσαρκία;</w:t>
      </w:r>
    </w:p>
    <w:p>
      <w:pPr>
        <w:pStyle w:val="ListParagraph"/>
        <w:numPr>
          <w:ilvl w:val="0"/>
          <w:numId w:val="3"/>
        </w:numPr>
        <w:spacing w:lineRule="auto" w:line="360"/>
        <w:jc w:val="both"/>
        <w:rPr>
          <w:rFonts w:ascii="Times-Roman" w:hAnsi="Times-Roman" w:cs="Times-Roman"/>
          <w:color w:val="18191B"/>
        </w:rPr>
      </w:pPr>
      <w:r>
        <w:rPr>
          <w:rFonts w:cs="Times-Roman" w:ascii="Times-Roman" w:hAnsi="Times-Roman"/>
          <w:color w:val="18191B"/>
        </w:rPr>
        <w:t>Ποιες μεθοδολογίες χρησιμοποιούνται συνήθως για τη μελέτη γενετικών παραγόντων στην παιδική παχυσαρκία και ποια είναι τα δυνατά και τα όριά τους;</w:t>
      </w:r>
    </w:p>
    <w:p>
      <w:pPr>
        <w:pStyle w:val="ListParagraph"/>
        <w:numPr>
          <w:ilvl w:val="0"/>
          <w:numId w:val="3"/>
        </w:numPr>
        <w:spacing w:lineRule="auto" w:line="360"/>
        <w:jc w:val="both"/>
        <w:rPr>
          <w:rFonts w:ascii="Times-Roman" w:hAnsi="Times-Roman" w:cs="Times-Roman"/>
          <w:color w:val="18191B"/>
        </w:rPr>
      </w:pPr>
      <w:r>
        <w:rPr>
          <w:rFonts w:cs="Times-Roman" w:ascii="Times-Roman" w:hAnsi="Times-Roman"/>
          <w:color w:val="18191B"/>
        </w:rPr>
        <w:t>Πόσο συνεπή είναι τα ευρήματα σε διαφορετικούς πληθυσμούς και εθνοτικές ομάδες;</w:t>
      </w:r>
    </w:p>
    <w:p>
      <w:pPr>
        <w:pStyle w:val="ListParagraph"/>
        <w:numPr>
          <w:ilvl w:val="0"/>
          <w:numId w:val="3"/>
        </w:numPr>
        <w:spacing w:lineRule="auto" w:line="360"/>
        <w:jc w:val="both"/>
        <w:rPr>
          <w:rFonts w:ascii="Times-Roman" w:hAnsi="Times-Roman" w:cs="Times-Roman"/>
          <w:color w:val="18191B"/>
        </w:rPr>
      </w:pPr>
      <w:r>
        <w:rPr>
          <w:rFonts w:cs="Times-Roman" w:ascii="Times-Roman" w:hAnsi="Times-Roman"/>
          <w:color w:val="18191B"/>
        </w:rPr>
        <w:t>Ποια διαχρονικά στοιχεία υπάρχουν σχετικά με τη σταθερότητα των γενετικών επιδράσεων στην παιδική παχυσαρκία με την πάροδο του χρόνου;</w:t>
      </w:r>
    </w:p>
    <w:p>
      <w:pPr>
        <w:pStyle w:val="ListParagraph"/>
        <w:numPr>
          <w:ilvl w:val="0"/>
          <w:numId w:val="3"/>
        </w:numPr>
        <w:spacing w:lineRule="auto" w:line="360"/>
        <w:jc w:val="both"/>
        <w:rPr>
          <w:rFonts w:ascii="Times-Roman" w:hAnsi="Times-Roman" w:cs="Times-Roman"/>
          <w:color w:val="18191B"/>
        </w:rPr>
      </w:pPr>
      <w:r>
        <w:rPr>
          <w:rFonts w:cs="Times-Roman" w:ascii="Times-Roman" w:hAnsi="Times-Roman"/>
          <w:color w:val="18191B"/>
        </w:rPr>
        <w:t>Ποια κενά ή περιορισμοί υπάρχουν στην τρέχουσα έρευνα σχετικά με τους γενετικούς παράγοντες της παιδικής παχυσαρκίας;</w:t>
      </w:r>
    </w:p>
    <w:p>
      <w:pPr>
        <w:pStyle w:val="ListParagraph"/>
        <w:numPr>
          <w:ilvl w:val="0"/>
          <w:numId w:val="3"/>
        </w:numPr>
        <w:spacing w:lineRule="auto" w:line="360"/>
        <w:jc w:val="both"/>
        <w:rPr>
          <w:rFonts w:ascii="Times-Roman" w:hAnsi="Times-Roman" w:cs="Times-Roman"/>
          <w:color w:val="18191B"/>
        </w:rPr>
      </w:pPr>
      <w:r>
        <w:rPr>
          <w:rFonts w:cs="Times-Roman" w:ascii="Times-Roman" w:hAnsi="Times-Roman"/>
          <w:color w:val="18191B"/>
        </w:rPr>
        <w:t>Πώς μπορεί η κατανόηση των γενετικών παραγόντων να συμβάλει στην ανάπτυξη εξατομικευμένων παρεμβάσεων για την πρόληψη ή τη θεραπεία της παιδικής παχυσαρκίας;</w:t>
      </w:r>
    </w:p>
    <w:p>
      <w:pPr>
        <w:pStyle w:val="ListParagraph"/>
        <w:numPr>
          <w:ilvl w:val="0"/>
          <w:numId w:val="3"/>
        </w:numPr>
        <w:spacing w:lineRule="auto" w:line="360"/>
        <w:jc w:val="both"/>
        <w:rPr>
          <w:rFonts w:ascii="Times-Roman" w:hAnsi="Times-Roman" w:cs="Times-Roman"/>
          <w:color w:val="18191B"/>
        </w:rPr>
      </w:pPr>
      <w:r>
        <w:rPr>
          <w:rFonts w:cs="Times-Roman" w:ascii="Times-Roman" w:hAnsi="Times-Roman"/>
          <w:color w:val="18191B"/>
        </w:rPr>
        <w:t>Τι επιπτώσεις έχουν οι γενετικές γνώσεις για τις στρατηγικές δημόσιας υγείας που στοχεύουν στη μείωση του επιπολασμού της παιδικής παχυσαρκίας;</w:t>
      </w:r>
    </w:p>
    <w:p>
      <w:pPr>
        <w:pStyle w:val="ListParagraph"/>
        <w:numPr>
          <w:ilvl w:val="0"/>
          <w:numId w:val="3"/>
        </w:numPr>
        <w:spacing w:lineRule="auto" w:line="360"/>
        <w:rPr/>
      </w:pPr>
      <w:r>
        <w:rPr>
          <w:rFonts w:cs="Times-Roman" w:ascii="Times-Roman" w:hAnsi="Times-Roman"/>
          <w:color w:val="18191B"/>
        </w:rPr>
        <w:t>Υπάρχουν συγκεκριμένες προκλήσεις ή διαμάχες στον τομέα της γενετικής έρευνας για την παιδική παχυσαρκία που πρέπει να αντιμετωπιστούν;</w:t>
      </w:r>
    </w:p>
    <w:p>
      <w:pPr>
        <w:pStyle w:val="Heading2"/>
        <w:rPr/>
      </w:pPr>
      <w:bookmarkStart w:id="31" w:name="_Toc154923813"/>
      <w:bookmarkStart w:id="32" w:name="_Toc103619731"/>
      <w:r>
        <w:rPr/>
        <w:t>2.3 Πηγές δεδομένων</w:t>
      </w:r>
      <w:bookmarkEnd w:id="31"/>
      <w:bookmarkEnd w:id="32"/>
      <w:r>
        <w:rPr/>
        <w:t xml:space="preserve"> </w:t>
      </w:r>
    </w:p>
    <w:p>
      <w:pPr>
        <w:pStyle w:val="Normal"/>
        <w:spacing w:lineRule="auto" w:line="360"/>
        <w:jc w:val="both"/>
        <w:rPr/>
      </w:pPr>
      <w:r>
        <w:rPr/>
        <w:t xml:space="preserve">Το Σεπτέμβριο του 2023 διεξήχθη ηλεκτρονική αναζήτηση στις παρακάτω ηλεκτρονικές βάσεις δεδομένων: </w:t>
      </w:r>
    </w:p>
    <w:p>
      <w:pPr>
        <w:pStyle w:val="ListParagraph"/>
        <w:numPr>
          <w:ilvl w:val="0"/>
          <w:numId w:val="1"/>
        </w:numPr>
        <w:spacing w:lineRule="auto" w:line="360"/>
        <w:jc w:val="both"/>
        <w:rPr>
          <w:rFonts w:ascii="Times New Roman" w:hAnsi="Times New Roman" w:eastAsia="Times New Roman"/>
          <w:lang w:val="en-US" w:eastAsia="el-GR"/>
        </w:rPr>
      </w:pPr>
      <w:r>
        <w:rPr>
          <w:rFonts w:eastAsia="Times New Roman" w:ascii="Times New Roman" w:hAnsi="Times New Roman"/>
          <w:lang w:val="en-US" w:eastAsia="el-GR"/>
        </w:rPr>
        <w:t>PubMed (</w:t>
      </w:r>
      <w:hyperlink r:id="rId18">
        <w:r>
          <w:rPr>
            <w:rStyle w:val="Hyperlink"/>
            <w:rFonts w:ascii="Times New Roman" w:hAnsi="Times New Roman"/>
            <w:lang w:val="en-US" w:eastAsia="el-GR"/>
          </w:rPr>
          <w:t>https://www.ncbi.nlm.nih.gov/pubmed/</w:t>
        </w:r>
      </w:hyperlink>
      <w:r>
        <w:rPr>
          <w:rFonts w:eastAsia="Times New Roman" w:ascii="Times New Roman" w:hAnsi="Times New Roman"/>
          <w:lang w:val="en-US" w:eastAsia="el-GR"/>
        </w:rPr>
        <w:t xml:space="preserve">) </w:t>
      </w:r>
    </w:p>
    <w:p>
      <w:pPr>
        <w:pStyle w:val="ListParagraph"/>
        <w:numPr>
          <w:ilvl w:val="0"/>
          <w:numId w:val="1"/>
        </w:numPr>
        <w:spacing w:lineRule="auto" w:line="360"/>
        <w:jc w:val="both"/>
        <w:rPr>
          <w:rFonts w:ascii="Times New Roman" w:hAnsi="Times New Roman" w:eastAsia="Times New Roman"/>
          <w:lang w:val="en-US" w:eastAsia="el-GR"/>
        </w:rPr>
      </w:pPr>
      <w:r>
        <w:rPr>
          <w:rFonts w:eastAsia="Times New Roman" w:ascii="Times New Roman" w:hAnsi="Times New Roman"/>
          <w:lang w:val="en-US" w:eastAsia="el-GR"/>
        </w:rPr>
        <w:t>Science Direct (</w:t>
      </w:r>
      <w:hyperlink r:id="rId19">
        <w:r>
          <w:rPr>
            <w:rStyle w:val="Hyperlink"/>
            <w:rFonts w:ascii="Times New Roman" w:hAnsi="Times New Roman"/>
            <w:lang w:val="en-US" w:eastAsia="el-GR"/>
          </w:rPr>
          <w:t>http://www.sciencedirect.com/</w:t>
        </w:r>
      </w:hyperlink>
      <w:r>
        <w:rPr>
          <w:rFonts w:eastAsia="Times New Roman" w:ascii="Times New Roman" w:hAnsi="Times New Roman"/>
          <w:lang w:val="en-US" w:eastAsia="el-GR"/>
        </w:rPr>
        <w:t xml:space="preserve">) </w:t>
      </w:r>
    </w:p>
    <w:p>
      <w:pPr>
        <w:pStyle w:val="ListParagraph"/>
        <w:numPr>
          <w:ilvl w:val="0"/>
          <w:numId w:val="1"/>
        </w:numPr>
        <w:spacing w:lineRule="auto" w:line="360"/>
        <w:jc w:val="both"/>
        <w:rPr>
          <w:rFonts w:ascii="Times New Roman" w:hAnsi="Times New Roman" w:eastAsia="Times New Roman"/>
          <w:lang w:val="en-US" w:eastAsia="el-GR"/>
        </w:rPr>
      </w:pPr>
      <w:r>
        <w:rPr>
          <w:rFonts w:eastAsia="Times New Roman" w:ascii="Times New Roman" w:hAnsi="Times New Roman"/>
          <w:lang w:val="en-US" w:eastAsia="el-GR"/>
        </w:rPr>
        <w:t>Google Scholar (</w:t>
      </w:r>
      <w:hyperlink r:id="rId20">
        <w:r>
          <w:rPr>
            <w:rStyle w:val="Hyperlink"/>
            <w:rFonts w:ascii="Times New Roman" w:hAnsi="Times New Roman"/>
            <w:lang w:val="en-US" w:eastAsia="el-GR"/>
          </w:rPr>
          <w:t>https://scholar.google.gr/</w:t>
        </w:r>
      </w:hyperlink>
      <w:r>
        <w:rPr>
          <w:rFonts w:eastAsia="Times New Roman" w:ascii="Times New Roman" w:hAnsi="Times New Roman"/>
          <w:lang w:val="en-US" w:eastAsia="el-GR"/>
        </w:rPr>
        <w:t xml:space="preserve">) </w:t>
      </w:r>
    </w:p>
    <w:p>
      <w:pPr>
        <w:pStyle w:val="ListParagraph"/>
        <w:numPr>
          <w:ilvl w:val="0"/>
          <w:numId w:val="1"/>
        </w:numPr>
        <w:spacing w:lineRule="auto" w:line="360"/>
        <w:jc w:val="both"/>
        <w:rPr>
          <w:rFonts w:ascii="Times New Roman" w:hAnsi="Times New Roman" w:eastAsia="Times New Roman"/>
          <w:lang w:val="en-US" w:eastAsia="el-GR"/>
        </w:rPr>
      </w:pPr>
      <w:r>
        <w:rPr>
          <w:rFonts w:eastAsia="Times New Roman" w:ascii="Times New Roman" w:hAnsi="Times New Roman"/>
          <w:lang w:val="en-US" w:eastAsia="el-GR"/>
        </w:rPr>
        <w:t>EEE Explore (</w:t>
      </w:r>
      <w:hyperlink r:id="rId21">
        <w:r>
          <w:rPr>
            <w:rStyle w:val="Hyperlink"/>
            <w:rFonts w:ascii="Times New Roman" w:hAnsi="Times New Roman"/>
            <w:lang w:val="en-US" w:eastAsia="el-GR"/>
          </w:rPr>
          <w:t>http://ieeexplore.ieee.org/</w:t>
        </w:r>
      </w:hyperlink>
      <w:r>
        <w:rPr>
          <w:rFonts w:eastAsia="Times New Roman" w:ascii="Times New Roman" w:hAnsi="Times New Roman"/>
          <w:lang w:val="en-US" w:eastAsia="el-GR"/>
        </w:rPr>
        <w:t xml:space="preserve">) </w:t>
      </w:r>
    </w:p>
    <w:p>
      <w:pPr>
        <w:pStyle w:val="Normal"/>
        <w:spacing w:lineRule="auto" w:line="360"/>
        <w:ind w:firstLine="360"/>
        <w:jc w:val="both"/>
        <w:rPr/>
      </w:pPr>
      <w:r>
        <w:rPr/>
        <w:t>Χρησιμοποιήθηκαν συγκεκριμένοι όροι και προτάσεις στο πεδίο αναζήτησης της κάθε βάσης όπως ‘</w:t>
      </w:r>
      <w:r>
        <w:rPr>
          <w:lang w:val="en-US"/>
        </w:rPr>
        <w:t>childhood</w:t>
      </w:r>
      <w:r>
        <w:rPr/>
        <w:t>/</w:t>
      </w:r>
      <w:r>
        <w:rPr>
          <w:lang w:val="en-US"/>
        </w:rPr>
        <w:t>pediatric</w:t>
      </w:r>
      <w:r>
        <w:rPr/>
        <w:t xml:space="preserve"> </w:t>
      </w:r>
      <w:r>
        <w:rPr>
          <w:lang w:val="en-US"/>
        </w:rPr>
        <w:t>obesity</w:t>
      </w:r>
      <w:r>
        <w:rPr/>
        <w:t>’, ‘</w:t>
      </w:r>
      <w:r>
        <w:rPr>
          <w:lang w:val="en-US"/>
        </w:rPr>
        <w:t>genetic</w:t>
      </w:r>
      <w:r>
        <w:rPr/>
        <w:t xml:space="preserve"> </w:t>
      </w:r>
      <w:r>
        <w:rPr>
          <w:lang w:val="en-US"/>
        </w:rPr>
        <w:t>factors</w:t>
      </w:r>
      <w:r>
        <w:rPr/>
        <w:t>’, ‘</w:t>
      </w:r>
      <w:r>
        <w:rPr>
          <w:lang w:val="en-US"/>
        </w:rPr>
        <w:t>epidimiology</w:t>
      </w:r>
      <w:r>
        <w:rPr/>
        <w:t>’, ‘</w:t>
      </w:r>
      <w:r>
        <w:rPr>
          <w:lang w:val="en-US"/>
        </w:rPr>
        <w:t>hereditary</w:t>
      </w:r>
      <w:r>
        <w:rPr/>
        <w:t xml:space="preserve">’, </w:t>
      </w:r>
      <w:r>
        <w:rPr>
          <w:lang w:val="en-US"/>
        </w:rPr>
        <w:t>genetic</w:t>
      </w:r>
      <w:r>
        <w:rPr/>
        <w:t xml:space="preserve"> </w:t>
      </w:r>
      <w:r>
        <w:rPr>
          <w:lang w:val="en-US"/>
        </w:rPr>
        <w:t>susceptibility</w:t>
      </w:r>
      <w:r>
        <w:rPr/>
        <w:t xml:space="preserve">)’ (οι αντίστοιχες μεταφράσεις των λέξεων στα ελληνικά: ‘παιδική παχυσαρκία’, ‘γενετικοί παράγοντες’, ‘επιδημιολογία’, ‘κληρονομικότητα’, ‘γενετική ευαισθησία’). Ως εύρος ετών ορίστηκε το 2004 μέχρι το 2023, ενώ δεν εφαρμόστηκαν επιπλέον περιορισμοί. </w:t>
      </w:r>
    </w:p>
    <w:p>
      <w:pPr>
        <w:pStyle w:val="Heading2"/>
        <w:rPr/>
      </w:pPr>
      <w:bookmarkStart w:id="33" w:name="_Toc154923814"/>
      <w:bookmarkStart w:id="34" w:name="_Toc103619732"/>
      <w:r>
        <w:rPr/>
        <w:t>2.4 Ανασκόπηση βιβλιογραφίας</w:t>
      </w:r>
      <w:bookmarkEnd w:id="33"/>
      <w:bookmarkEnd w:id="34"/>
      <w:r>
        <w:rPr/>
        <w:t xml:space="preserve"> </w:t>
      </w:r>
    </w:p>
    <w:p>
      <w:pPr>
        <w:pStyle w:val="Normal"/>
        <w:spacing w:lineRule="auto" w:line="360"/>
        <w:ind w:firstLine="720"/>
        <w:jc w:val="both"/>
        <w:rPr>
          <w:color w:val="000000"/>
        </w:rPr>
      </w:pPr>
      <w:bookmarkStart w:id="35" w:name="OLE_LINK2"/>
      <w:bookmarkStart w:id="36" w:name="OLE_LINK1"/>
      <w:r>
        <w:rPr>
          <w:color w:val="000000"/>
        </w:rPr>
        <w:t>Η βιβλιογραφική ανασκόπηση είναι και ερευνητική εργασία η οποία αξιοποιεί την υπάρχουσα επιστημονική γνώση και τα ερευνητικά δεδομένα, η επιλογή των οποίων έχει γίνει εξαιτίας της σχετικότητας τους με το αντικείμενο και τη θεματολογία της εργασίας. Είναι ουσιαστικά μια συστηματική μελέτη των ερευνών που έχουν διεξαχθεί σε ένα συγκεκριμένο πεδίο και αφορά την παρουσίαση της σύνθεσης των βιβλιογραφικών πηγών που μελετώνται, και την εν συνέχεια κριτική αποτίμηση αυτών των πηγών προκειμένου ο ερευνητής να αποκτήσει και ολοκληρωμένη και σαφή εικόνα γύρω από το θέμα που πρόκειται να διερευνηθεί. Στην παρούσα μελέτη η βιβλιογραφική ανασκόπηση αφορά κυρίως επιστημονικά άρθρα, αλλά και κάποια επιστημονικά συγγράμματα. Τα άρθρα και οι ερευνητικές μελέτες που επιλέχθηκαν να χρησιμοποιηθούν είναι</w:t>
      </w:r>
      <w:r>
        <w:rPr>
          <w:b/>
          <w:bCs/>
          <w:color w:val="000000"/>
        </w:rPr>
        <w:t xml:space="preserve"> </w:t>
      </w:r>
      <w:r>
        <w:rPr>
          <w:color w:val="000000"/>
        </w:rPr>
        <w:t xml:space="preserve">. </w:t>
      </w:r>
    </w:p>
    <w:p>
      <w:pPr>
        <w:pStyle w:val="Normal"/>
        <w:spacing w:lineRule="auto" w:line="360"/>
        <w:ind w:firstLine="720"/>
        <w:jc w:val="both"/>
        <w:rPr>
          <w:color w:val="18191B"/>
        </w:rPr>
      </w:pPr>
      <w:r>
        <w:rPr>
          <w:color w:val="18191B"/>
        </w:rPr>
        <w:t xml:space="preserve">Η κατανόηση της τρέχουσας βιβλιογραφίας είναι κρίσιμη για όλες τις φάσεις μιας ερευνητικής μελέτης. Ο Lingard πρόσφατα επικαλέστηκε τη μεταφορά «ημερολόγιο ως συνομιλία», και την παρουσιάζει ως ένα τρόπο κατανόησης του πως  η έρευνα κάποιου ταιριάζει σε μια μεγαλύτερη συζήτηση ιατρικής εκπαίδευση </w:t>
      </w:r>
      <w:r>
        <w:fldChar w:fldCharType="begin"/>
      </w:r>
      <w:r>
        <w:rPr>
          <w:color w:val="18191B"/>
        </w:rPr>
        <w:instrText xml:space="preserve">ADDIN ZOTERO_ITEM CSL_CITATION {"citationID":"8NG34Zbz","properties":{"formattedCitation":"[58]","plainCitation":"[58]","noteIndex":0},"citationItems":[{"id":2536,"uris":["http://zotero.org/users/local/WDVvZTBM/items/RVSYK45X"],"itemData":{"id":2536,"type":"article-journal","abstract":"None","container-title":"Perspectives on Medical Education","DOI":"10.1007/S40037-015-0211-Y","ISSN":"2212-277X","issue":"5","journalAbbreviation":"Perspect Med Educ","language":"en","page":"252-253","source":"DOI.org (Crossref)","title":"Joining a conversation: the problem/gap/hook heuristic","title-short":"Joining a conversation","volume":"4","author":[{"family":"Lingard","given":"Lorelei"}],"issued":{"date-parts":[["2015",9,7]]}}}],"schema":"https://github.com/citation-style-language/schema/raw/master/csl-citation.json"}</w:instrText>
      </w:r>
      <w:r>
        <w:rPr>
          <w:color w:val="18191B"/>
        </w:rPr>
      </w:r>
      <w:r>
        <w:rPr>
          <w:color w:val="18191B"/>
        </w:rPr>
        <w:fldChar w:fldCharType="separate"/>
      </w:r>
      <w:r>
        <w:rPr>
          <w:color w:val="18191B"/>
        </w:rPr>
        <w:t>[58]</w:t>
      </w:r>
      <w:r>
        <w:rPr>
          <w:color w:val="18191B"/>
        </w:rPr>
      </w:r>
      <w:r>
        <w:rPr>
          <w:color w:val="18191B"/>
        </w:rPr>
        <w:fldChar w:fldCharType="end"/>
      </w:r>
      <w:r>
        <w:rPr>
          <w:color w:val="18191B"/>
        </w:rPr>
        <w:t>. Όπως το περιέγραψε: «Φανταστείτε τον εαυτό σας να συμμετέχετε σε μια συνομιλία σε μια κοινωνική εκδήλωση. Αφού κολλήσετε για να παρακολουθήσετε και να λάβετε τη γενική γνώση και περίληψη αυτού που λέγεται (η συνομιλία ισοδύναμη της κριτικής βιβλιογραφίας), συμμετέχετε στη συνομιλία με μια συνεισφορά που σημαίνει κοινό ενδιαφέρον για το θέμα ,  τις γνώσεις σας για το τι ήδη ειπώθηκε,  και την πρόθεσή σας. »</w:t>
      </w:r>
    </w:p>
    <w:p>
      <w:pPr>
        <w:pStyle w:val="Normal"/>
        <w:spacing w:lineRule="auto" w:line="360"/>
        <w:ind w:firstLine="720"/>
        <w:jc w:val="both"/>
        <w:rPr>
          <w:color w:val="18191B"/>
        </w:rPr>
      </w:pPr>
      <w:r>
        <w:rPr>
          <w:color w:val="18191B"/>
        </w:rPr>
        <w:t xml:space="preserve">Αυτό ακριβώς προσπαθεί να κάνει και η παρούσα μελέτη. Η ανασκόπηση της βιβλιογραφίας βοηθά κάθε ερευνητή να συμμετάσχει στη συνομιλία παρέχοντας πλαίσιο, ενημερώνοντας τη μεθοδολογία, προσδιορίζοντας την καινοτομία, ελαχιστοποιώντας τη διπλή έρευνα, και διασφαλίζοντας με τη σιγουριά αυτού του επαγγελματία, ότι πληρούνται τα πρότυπα. Η κατανόηση της τρέχουσας βιβλιογραφίας προάγει επίσης την υποτροφία, όπως προτείνεται από το Boyer, συμβάλλοντας σε 5 από τα 6 πρότυπα, σύμφωνα με τα οποία το επιστημονικό έργο θα πρέπει να αξιολογηθεί </w:t>
      </w:r>
      <w:r>
        <w:fldChar w:fldCharType="begin"/>
      </w:r>
      <w:r>
        <w:rPr>
          <w:color w:val="18191B"/>
        </w:rPr>
        <w:instrText xml:space="preserve">ADDIN ZOTERO_ITEM CSL_CITATION {"citationID":"GoyDGRkq","properties":{"formattedCitation":"[59]","plainCitation":"[59]","noteIndex":0},"citationItems":[{"id":2535,"uris":["http://zotero.org/users/local/WDVvZTBM/items/9PU7KVTF"],"itemData":{"id":2535,"type":"article-journal","container-title":"Academe","DOI":"10.2307/40250362","ISSN":"01902946","issue":"4","language":"en","page":"43","source":"DOI.org (Crossref)","title":"Scholarship Reconsidered: Priorities of the Professoriate","title-short":"Scholarship Reconsidered","volume":"78","author":[{"family":"Poston","given":"Lawrence"},{"family":"Boyer","given":"Ernest L."}],"issued":{"date-parts":[["1992"]]}}}],"schema":"https://github.com/citation-style-language/schema/raw/master/csl-citation.json"}</w:instrText>
      </w:r>
      <w:r>
        <w:rPr>
          <w:color w:val="18191B"/>
        </w:rPr>
      </w:r>
      <w:r>
        <w:rPr>
          <w:color w:val="18191B"/>
        </w:rPr>
        <w:fldChar w:fldCharType="separate"/>
      </w:r>
      <w:r>
        <w:rPr>
          <w:color w:val="18191B"/>
        </w:rPr>
        <w:t>[59]</w:t>
      </w:r>
      <w:r>
        <w:rPr>
          <w:color w:val="18191B"/>
        </w:rPr>
      </w:r>
      <w:r>
        <w:rPr>
          <w:color w:val="18191B"/>
        </w:rPr>
        <w:fldChar w:fldCharType="end"/>
      </w:r>
      <w:r>
        <w:rPr>
          <w:color w:val="18191B"/>
        </w:rPr>
        <w:t>. Συγκεκριμένα, η κριτική βοηθά τον ερευνητή να διατυπώσει σαφείς στόχους, να δείχνει στοιχεία επαρκούς προετοιμασίας, να επιλέγει κατάλληλες μεθόδους, να επικοινωνεί με τα σχετικά αποτελέσματα και να συμμετέχει σε ανακλαστική κριτική.</w:t>
      </w:r>
    </w:p>
    <w:p>
      <w:pPr>
        <w:pStyle w:val="Normal"/>
        <w:spacing w:lineRule="auto" w:line="360"/>
        <w:jc w:val="both"/>
        <w:rPr>
          <w:color w:val="18191B"/>
        </w:rPr>
      </w:pPr>
      <w:r>
        <w:rPr>
          <w:color w:val="18191B"/>
        </w:rPr>
        <w:t>Όπως επισημάνθηκε προηγουμένως, η μελέτη αυτή εκπονήθηκε με σκοπό τη σύνταξη βιβλιογραφικής ανασκόπησης δεδομένων για την αναζήτηση και κατανόηση των γενετικών παραγόντων που σχετίζονται με την παιδική παχυσαρκία, στη μεθοδολογία για τη μελέτη αυτών, καθώς και τις σχετικές έρευνες πρόληψης και αντιμετώπισης αυτής της επιδημιολογικής πάθησης. Μια καλή βιβλιογραφική ανασκόπηση είναι κριτική, επισημαίνει πεδία αμφισβήτησης, εγείρει ερωτήματα και αναγνωρίζει σημεία που χρίζουν μελλοντικής έρευνας. Έτσι και ο σκοπός της ανασκόπησης είναι να συμβάλει στην εξοικείωση του αναγνώστη με τις σχετικές μελέτες και τη βιβλιογραφία που σχετίζεται με την εν λόγω περιοχή μελέτης, να τον ενημερώσει γύρω από τις τρέχουσες ανακαλύψεις, ώστε να αποφευχθούν τυχόν επικαλύψεις, και να επισημάνει κενά και τυχόν  αποκλίσεις από προηγούμενες έρευνες.</w:t>
      </w:r>
    </w:p>
    <w:p>
      <w:pPr>
        <w:pStyle w:val="Normal"/>
        <w:spacing w:lineRule="auto" w:line="360"/>
        <w:jc w:val="both"/>
        <w:rPr>
          <w:color w:val="000000"/>
        </w:rPr>
      </w:pPr>
      <w:r>
        <w:rPr>
          <w:color w:val="000000"/>
        </w:rPr>
        <w:t xml:space="preserve">Σκοπός, λοιπόν της παρούσας ανασκόπησης είναι η σύνταξη ενός κειμένου, που θα συγκεντρώνει τη γνώση γύρω από τη συμβολή και των βασικών γενετικών καθοριστικών παραγόντων που σχετίζονται με την παιδική παχυσαρκία, θα ελέγχει και θα αξιολογεί τη γνώση καθώς και τα επιστημονικά δεδομένα, τα οποία παρατίθενται, καθώς και κάθε κρίσιμο σημείο που θα κρίνεται άξιο αμφισβήτησης και παρακολούθησης, ενώ θα ενισχύει τη συγγραφική διαδικασία με διεξοδική έρευνα πάνω στις επιστημονικές δημοσιεύσεις στα εξειδικευμένα πεδία ενδιαφέροντος. Μετά το τέλος αυτού του σταδίου της συλλογής των δεδομένων και των βιβλιογραφικών αναζητήσεων που σχετίζονται με τη μελέτη, λαμβάνει χώρα μια κριτική αξιολόγηση όλων αυτών των επιστημονικών ευρημάτων, τα οποία αξιολογήθηκαν ως τα πιο σημαντικά και χρήσιμα για την κατανόηση του θέματος, και τέλος παρουσιάζονται αυτές που κατορθώνουν να εξασφαλίσουν την καλύτερη δυνατή κατανόηση από τον αναγνώστη, εξασφαλίζοντάς του οικονομία χρόνου και προσοχή. Ο αναγνώστης ευαισθητοποιείται και εξοικειώνεται με την ανάγνωση επάνω στο θέμα. </w:t>
      </w:r>
    </w:p>
    <w:p>
      <w:pPr>
        <w:pStyle w:val="Normal"/>
        <w:spacing w:lineRule="auto" w:line="360"/>
        <w:ind w:firstLine="720"/>
        <w:jc w:val="both"/>
        <w:rPr/>
      </w:pPr>
      <w:bookmarkStart w:id="37" w:name="OLE_LINK2"/>
      <w:bookmarkStart w:id="38" w:name="OLE_LINK1"/>
      <w:r>
        <w:rPr>
          <w:color w:val="000000"/>
        </w:rPr>
        <w:t>Παρουσιάζονται κριτικές, απόψεις και θέσεις γύρω από το θέμα, μέσω της παράθεσης των ερευνών αυτών, με αποτέλεσμα η βιβλιογραφική ανασκόπηση να χαρακτηρίζεται ως αφηγηματική, προσπαθώντας να ικανοποιήσει τις ανάγκες των αναγνωστών. Εκτός, από τον ποσοτικό χαρακτήρα της βιβλιογραφικής ανασκόπησης, εξαιτίας του όγκου των επιστημονικών και ερευνητικών μελετών και δεδομένων, αναδύεται και ο ποιοτικός χαρακτήρας της, εξαιτίας του τρόπου με τον οποίο αξιοποιούνται οι προσεγγίσεις του ερευνητή επάνω στο θέμα. Όλα όσα προαναφέρθηκαν, λοιπόν, προσπαθεί να κάνει η παρούσα βιβλιογραφική ανασκόπηση.</w:t>
      </w:r>
      <w:bookmarkEnd w:id="37"/>
      <w:bookmarkEnd w:id="38"/>
    </w:p>
    <w:p>
      <w:pPr>
        <w:pStyle w:val="Normal"/>
        <w:rPr/>
      </w:pPr>
      <w:r>
        <w:rPr/>
      </w:r>
    </w:p>
    <w:p>
      <w:pPr>
        <w:pStyle w:val="Heading2"/>
        <w:rPr/>
      </w:pPr>
      <w:bookmarkStart w:id="39" w:name="_Toc154923815"/>
      <w:bookmarkStart w:id="40" w:name="_Toc103619733"/>
      <w:r>
        <w:rPr/>
        <w:t>2.5 Ανάλυση δεδομένων</w:t>
      </w:r>
      <w:bookmarkEnd w:id="39"/>
      <w:bookmarkEnd w:id="40"/>
      <w:r>
        <w:rPr/>
        <w:t xml:space="preserve"> </w:t>
      </w:r>
    </w:p>
    <w:p>
      <w:pPr>
        <w:pStyle w:val="Normal"/>
        <w:tabs>
          <w:tab w:val="clear" w:pos="720"/>
          <w:tab w:val="left" w:pos="566" w:leader="none"/>
          <w:tab w:val="left" w:pos="1133" w:leader="none"/>
          <w:tab w:val="left" w:pos="1700" w:leader="none"/>
          <w:tab w:val="left" w:pos="2267" w:leader="none"/>
          <w:tab w:val="left" w:pos="2834" w:leader="none"/>
          <w:tab w:val="left" w:pos="3401" w:leader="none"/>
          <w:tab w:val="left" w:pos="3968" w:leader="none"/>
          <w:tab w:val="left" w:pos="4535" w:leader="none"/>
          <w:tab w:val="left" w:pos="5102" w:leader="none"/>
          <w:tab w:val="left" w:pos="5669" w:leader="none"/>
          <w:tab w:val="left" w:pos="6236" w:leader="none"/>
          <w:tab w:val="left" w:pos="6803" w:leader="none"/>
        </w:tabs>
        <w:spacing w:lineRule="auto" w:line="360"/>
        <w:jc w:val="both"/>
        <w:rPr/>
      </w:pPr>
      <w:r>
        <w:rPr/>
        <w:tab/>
        <w:t>Η συστημική βιβλιογραφική ανασκόπηση ξεκίνησε με την ολοκλήρωση της διαδικασίας συλλογής και επιλογής των αντίστοιχων άρθρων και ερευνών, μέσω αναζήτησης από βάσεις δεδομένων του διαδικτύου. Εξαιτίας του μεγάλου όγκου των άρθρων , έγινε διαχωρισμός των πηγών με βάση τους τομείς που θέλαμε να αναλύσουμε και να εστιάσουμε. Όλη σχεδόν η αρθρογραφία που χρησιμοποιήθηκε, 225 στον αριθμό, είναι γραμμένη στην αγγλική γλώσσα, ενώ συγκεντρώθηκαν τα πιο ζωτικής σημασίας σημεία ενδιαφέροντος από το εκάστοτε άρθρο, για τη συγγραφή της παρούσας ερευνητικής μελέτης.</w:t>
      </w:r>
    </w:p>
    <w:p>
      <w:pPr>
        <w:pStyle w:val="Normal"/>
        <w:tabs>
          <w:tab w:val="clear" w:pos="720"/>
          <w:tab w:val="left" w:pos="566" w:leader="none"/>
          <w:tab w:val="left" w:pos="1133" w:leader="none"/>
          <w:tab w:val="left" w:pos="1700" w:leader="none"/>
          <w:tab w:val="left" w:pos="2267" w:leader="none"/>
          <w:tab w:val="left" w:pos="2834" w:leader="none"/>
          <w:tab w:val="left" w:pos="3401" w:leader="none"/>
          <w:tab w:val="left" w:pos="3968" w:leader="none"/>
          <w:tab w:val="left" w:pos="4535" w:leader="none"/>
          <w:tab w:val="left" w:pos="5102" w:leader="none"/>
          <w:tab w:val="left" w:pos="5669" w:leader="none"/>
          <w:tab w:val="left" w:pos="6236" w:leader="none"/>
          <w:tab w:val="left" w:pos="6803" w:leader="none"/>
        </w:tabs>
        <w:spacing w:lineRule="auto" w:line="360"/>
        <w:jc w:val="both"/>
        <w:rPr/>
      </w:pPr>
      <w:r>
        <w:rPr/>
        <w:tab/>
        <w:t xml:space="preserve">Η ανάλυση βασίστηκε στον τίτλο, τους στόχους και την εισαγωγική περίληψη της εργασίας, ενώ παρατηρήθηκε και το φαινόμενο, ενώ οι εισαγωγικοί όροι να ταιριάζουν με τη θεματολογία της μελέτης, εν τέλει το περιεχόμενο και τα δεδομένα δε συμφωνούσαν με το σκοπό και τους στόχους της έρευνας, γι’ αυτό και δε συμπεριλήφθησαν στην τελική επιλογή. Τα 225 άρθρα αποτελούν το σκελετό της μελέτης αυτής, και βασιζόμενος σε αυτά καθώς και στην ανάλυση των παραδοχών και των στοιχείων που προσφέρουν, πραγματοποιήθηκε και το τελικό στάδιο της αξιολόγησής τους σχετικά με τα ερευνητικά ερωτήματα (Εικόνα 3). Ο διαχωρισμός των άρθρων έγινε αρχικά, με βάση τους καθοριστικούς γενετικούς παράγοντες στην παιδική παχυσαρκία (γενετική ευαισθησία σε αυτή, ο ρόλος συγκεκριμένων γονιδίων στον κίνδυνο παχυσαρκίας, η πολυγενική φύση της παχυσαρκίας), την κληρονομικότητα, τις αλληλεπιδράσεις γονιδίων-περιβάλλοντος, μελέτες συσχέτισης σε επίπεδο γονιδιώματος, γονιδιακή θεραπεία και εξατομικευμένη ιατρική, καθώς και μελλοντικές κατευθύνσεις και ερευνητικά κενά. </w:t>
      </w:r>
    </w:p>
    <w:p>
      <w:pPr>
        <w:pStyle w:val="Normal"/>
        <w:tabs>
          <w:tab w:val="clear" w:pos="720"/>
          <w:tab w:val="left" w:pos="566" w:leader="none"/>
          <w:tab w:val="left" w:pos="1133" w:leader="none"/>
          <w:tab w:val="left" w:pos="1700" w:leader="none"/>
          <w:tab w:val="left" w:pos="2267" w:leader="none"/>
          <w:tab w:val="left" w:pos="2834" w:leader="none"/>
          <w:tab w:val="left" w:pos="3401" w:leader="none"/>
          <w:tab w:val="left" w:pos="3968" w:leader="none"/>
          <w:tab w:val="left" w:pos="4535" w:leader="none"/>
          <w:tab w:val="left" w:pos="5102" w:leader="none"/>
          <w:tab w:val="left" w:pos="5669" w:leader="none"/>
          <w:tab w:val="left" w:pos="6236" w:leader="none"/>
          <w:tab w:val="left" w:pos="6803" w:leader="none"/>
        </w:tabs>
        <w:spacing w:lineRule="auto" w:line="360"/>
        <w:jc w:val="both"/>
        <w:rPr/>
      </w:pPr>
      <w:r>
        <w:rPr/>
        <w:tab/>
        <w:t>Οι πηγές που χρησιμοποιήθηκαν περιλαμβάνουν επιστημονικά άρθρα, μελέτες και αποσπάσματα βιβλίων που έχουν ως βασικό πυλώνα έρευνας και μελέτης τους γονιδιακούς παράγοντες της παιδικής παχυσαρκίας καθώς και τη σχέση τους με την κληρονομικότητα και το περιβάλλον, με έρευνες και εφαρμογές που σχετίζονται με την ταυτοποίηση των εν λόγω παραγόντων και τη συσχέτισή του με τα γονίδια, καθώς και τις προκλήσεις-ανησυχίες που προκύπτουν από τη χρήση γενετικής πληροφορίας για παρεμβάσεις αντιμετώπισης. Η συλλογή των εν λόγω πηγών βασίστηκε στο κατά πόσο προσβάσιμα και διαθέσιμα ήταν τα άρθρα αυτά, αλλά ξεκάθαρα και στον παράγοντα τύχη. Ο βασικός στόχος που περιγράφεται και αναλύεται μέσω των πληροφοριών από τις βιβλιογραφικές αυτές πηγές είναι να αναλύσει να περιγράψει την παραγωγική διαδικασία, καθώς και τα μέσα και τις μεθόδους που χρησιμοποιούνται, με μια βαθιά έρευνα γενετικών παραγόντων της παιδικής παχυσαρκίας, την προέλευση και τη συσχέτιση τους με άλλους παράγοντες καθώς και μελλοντικές ερευνητικές δράσεις και την ανάγκη για μεγαλύτερες και ποικίλες βάσεις δεδομένων. Επιπλέον, επισημαίνεται και δίνεται έμφαση στη σημασία της κατανόησης της γενετικής στην παιδική παχυσαρκία και τονίζεται η δυνητικότητα προσωποποιημένων μεθόδων προσέγγισης στην κατάκτηση της ερευνητικής περιοχής της παιδικής παχυσαρκίας.</w:t>
      </w:r>
    </w:p>
    <w:p>
      <w:pPr>
        <w:pStyle w:val="Normal"/>
        <w:spacing w:lineRule="auto" w:line="360"/>
        <w:ind w:firstLine="720"/>
        <w:jc w:val="both"/>
        <w:rPr/>
      </w:pPr>
      <w:r>
        <w:rPr/>
        <w:t>Για διεξοδικότερη ανάλυση σχηματίστηκαν πίνακες για κάθε γενετικό παράγοντα ο οποίος βρέθηκε να σχετίζεται με την παιδική παχυσαρκία. Κάθε πίνακας εμπεριέχει τις πληροφορίες κάθε άρθρου επάνω στον αντίστοιχο τομέα μελέτης, αναλύονται όλα τα χαρακτηριστικά και οι ρόλοι των γονιδίων στον κίνδυνοι εμφάνισης και κυριαρχίας της πάθησης αυτής, ενώ στην ενίσχυση της ερευνητικής διαδικασίας συμπεριλήφθηκαν και οι μελέτες συσχέτισης γονιδιωμάτων (G</w:t>
      </w:r>
      <w:r>
        <w:rPr>
          <w:lang w:val="en-US"/>
        </w:rPr>
        <w:t>WAS</w:t>
      </w:r>
      <w:r>
        <w:rPr/>
        <w:t>) καθώς και οι αλληλεπιδράσεις μεταξύ των γονιδίων και των περιβαλλοντικών παραγόντων. Κατηγοριοποιούνται με βάση το πως εκτιμάται να επηρεάζουν και σε τι βαθμό την πάθηση αυτή, και κυρίως αναλύονται οι παράγοντες στο εγγύς περιβάλλον όπβς η διατροφικές συνήθεις, η φυσική δραστηριότητα και οι κοινωνικοοικονομική κατασταση. Τέλος, συγκροτήθηκε ένας γενικός πίνακας που περιλαμβάνει μεταβλητές και χαρακτηριστικά που σχετίζονται με τους γενετικούς παράγοντες, και που εντοπίστηκαν σε όλη την επιλεγμένη αρθρογραφία, καθώς και σε ποιο βαθμό απαιτείται η περεταίρω έρευνα και μελέτη στο συγκεκριμένο πεδίο εφαρμογής.</w:t>
      </w:r>
    </w:p>
    <w:p>
      <w:pPr>
        <w:pStyle w:val="Normal"/>
        <w:rPr/>
      </w:pPr>
      <w:r>
        <w:rPr/>
      </w:r>
    </w:p>
    <w:p>
      <w:pPr>
        <w:pStyle w:val="Normal"/>
        <w:keepNext w:val="true"/>
        <w:rPr/>
      </w:pPr>
      <w:r>
        <w:rPr/>
        <w:drawing>
          <wp:inline distT="0" distB="0" distL="0" distR="0">
            <wp:extent cx="5278755" cy="5414645"/>
            <wp:effectExtent l="0" t="0" r="0" b="0"/>
            <wp:docPr id="5" name="Εικόνα4" descr="Εικόνα που περιέχει κείμενο, στιγμιότυπο οθόνης, γραμματοσειρά, παράλληλ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όνα4" descr="Εικόνα που περιέχει κείμενο, στιγμιότυπο οθόνης, γραμματοσειρά, παράλληλα&#10;&#10;Περιγραφή που δημιουργήθηκε αυτόματα"/>
                    <pic:cNvPicPr>
                      <a:picLocks noChangeAspect="1" noChangeArrowheads="1"/>
                    </pic:cNvPicPr>
                  </pic:nvPicPr>
                  <pic:blipFill>
                    <a:blip r:embed="rId22"/>
                    <a:stretch>
                      <a:fillRect/>
                    </a:stretch>
                  </pic:blipFill>
                  <pic:spPr bwMode="auto">
                    <a:xfrm>
                      <a:off x="0" y="0"/>
                      <a:ext cx="5278755" cy="5414645"/>
                    </a:xfrm>
                    <a:prstGeom prst="rect">
                      <a:avLst/>
                    </a:prstGeom>
                  </pic:spPr>
                </pic:pic>
              </a:graphicData>
            </a:graphic>
          </wp:inline>
        </w:drawing>
      </w:r>
    </w:p>
    <w:p>
      <w:pPr>
        <w:pStyle w:val="Caption1"/>
        <w:jc w:val="center"/>
        <w:rPr>
          <w:b w:val="false"/>
          <w:bCs w:val="false"/>
          <w:i/>
          <w:i/>
          <w:iCs/>
        </w:rPr>
      </w:pPr>
      <w:bookmarkStart w:id="41" w:name="_Toc152764769"/>
      <w:r>
        <w:rPr/>
        <w:t xml:space="preserve">Εικόνα </w:t>
      </w:r>
      <w:r>
        <w:rPr/>
        <w:fldChar w:fldCharType="begin"/>
      </w:r>
      <w:r>
        <w:rPr/>
        <w:instrText xml:space="preserve"> SEQ Εικόνα \* ARABIC </w:instrText>
      </w:r>
      <w:r>
        <w:rPr/>
        <w:fldChar w:fldCharType="separate"/>
      </w:r>
      <w:r>
        <w:rPr/>
        <w:t>3</w:t>
      </w:r>
      <w:r>
        <w:rPr/>
        <w:fldChar w:fldCharType="end"/>
      </w:r>
      <w:r>
        <w:rPr/>
        <w:t xml:space="preserve">: </w:t>
      </w:r>
      <w:r>
        <w:rPr>
          <w:b w:val="false"/>
          <w:bCs w:val="false"/>
          <w:i/>
          <w:iCs/>
        </w:rPr>
        <w:t>Διάγραμμα Ροής από τη διαδικασία επιλογής άρθρων.</w:t>
      </w:r>
      <w:bookmarkEnd w:id="41"/>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keepNext w:val="true"/>
        <w:jc w:val="center"/>
        <w:rPr/>
      </w:pPr>
      <w:r>
        <w:rPr/>
      </w:r>
    </w:p>
    <w:p>
      <w:pPr>
        <w:pStyle w:val="Normal"/>
        <w:rPr/>
      </w:pPr>
      <w:r>
        <w:rPr/>
      </w:r>
    </w:p>
    <w:p>
      <w:pPr>
        <w:pStyle w:val="Normal"/>
        <w:rPr/>
      </w:pPr>
      <w:r>
        <w:rPr/>
      </w:r>
    </w:p>
    <w:p>
      <w:pPr>
        <w:pStyle w:val="Normal"/>
        <w:rPr/>
      </w:pPr>
      <w:r>
        <w:rPr/>
      </w:r>
    </w:p>
    <w:p>
      <w:pPr>
        <w:pStyle w:val="Heading1"/>
        <w:rPr>
          <w:rFonts w:ascii="Times New Roman" w:hAnsi="Times New Roman" w:eastAsia="Calibri"/>
          <w:lang w:eastAsia="el-GR"/>
        </w:rPr>
      </w:pPr>
      <w:r>
        <w:rPr>
          <w:rFonts w:eastAsia="Calibri" w:ascii="Times New Roman" w:hAnsi="Times New Roman"/>
          <w:lang w:eastAsia="el-GR"/>
        </w:rPr>
      </w:r>
    </w:p>
    <w:p>
      <w:pPr>
        <w:pStyle w:val="Normal"/>
        <w:rPr>
          <w:rFonts w:eastAsia="Calibri"/>
        </w:rPr>
      </w:pPr>
      <w:r>
        <w:rPr>
          <w:rFonts w:eastAsia="Calibri"/>
        </w:rPr>
      </w:r>
    </w:p>
    <w:p>
      <w:pPr>
        <w:pStyle w:val="Heading1"/>
        <w:rPr>
          <w:rFonts w:ascii="Times New Roman" w:hAnsi="Times New Roman"/>
          <w:lang w:eastAsia="el-GR"/>
        </w:rPr>
      </w:pPr>
      <w:bookmarkStart w:id="42" w:name="_Toc154923816"/>
      <w:r>
        <w:rPr>
          <w:rFonts w:ascii="Times New Roman" w:hAnsi="Times New Roman"/>
          <w:lang w:eastAsia="el-GR"/>
        </w:rPr>
        <w:t>Κεφάλαιο 3: Γενετικές εκτιμήσεις που σχετίζ</w:t>
      </w:r>
      <w:r>
        <w:rPr>
          <w:rFonts w:ascii="Times New Roman" w:hAnsi="Times New Roman"/>
          <w:lang w:val="en-US" w:eastAsia="el-GR"/>
        </w:rPr>
        <w:t>o</w:t>
      </w:r>
      <w:r>
        <w:rPr>
          <w:rFonts w:ascii="Times New Roman" w:hAnsi="Times New Roman"/>
          <w:lang w:eastAsia="el-GR"/>
        </w:rPr>
        <w:t>νται με την παιδική παχυσαρκία</w:t>
      </w:r>
      <w:bookmarkEnd w:id="42"/>
      <w:r>
        <w:rPr>
          <w:rFonts w:ascii="Times New Roman" w:hAnsi="Times New Roman"/>
          <w:lang w:eastAsia="el-GR"/>
        </w:rPr>
        <w:t xml:space="preserve"> </w:t>
      </w:r>
    </w:p>
    <w:p>
      <w:pPr>
        <w:pStyle w:val="Heading2"/>
        <w:rPr/>
      </w:pPr>
      <w:bookmarkStart w:id="43" w:name="_Toc154923817"/>
      <w:r>
        <w:rPr/>
        <w:t>3.1 Γενικά</w:t>
      </w:r>
      <w:bookmarkEnd w:id="43"/>
      <w:r>
        <w:rPr/>
        <w:t xml:space="preserve"> </w:t>
      </w:r>
    </w:p>
    <w:p>
      <w:pPr>
        <w:pStyle w:val="Normal"/>
        <w:spacing w:lineRule="auto" w:line="360"/>
        <w:ind w:firstLine="720"/>
        <w:jc w:val="both"/>
        <w:rPr>
          <w:rFonts w:eastAsia="Calibri"/>
        </w:rPr>
      </w:pPr>
      <w:r>
        <w:rPr>
          <w:rFonts w:eastAsia="Calibri" w:cs="Times-Roman" w:ascii="Times-Roman" w:hAnsi="Times-Roman"/>
          <w:color w:val="18191B"/>
        </w:rPr>
        <w:t xml:space="preserve">Πολλές διαφορετικές γενετικές παραλλαγές συνδέονται με αυξημένη επίπτωση της παχυσαρκίας. Η κατανόηση της γενετικής της παιδικής παχυσαρκίας είναι σημαντική για την πρόληψη και τη θεραπεία παιδιατρικών ασθενών. Αυτή η γνώση μπορεί να ωφελήσει τα παιδιά και τις οικογένειές τους, μειώνοντας το στίγμα του βάρους, τα αισθήματα ενοχής και την αυξανόμενη αποδοχή της ιατρικής παρέμβασης. </w:t>
      </w:r>
      <w:r>
        <w:fldChar w:fldCharType="begin"/>
      </w:r>
      <w:r>
        <w:rPr>
          <w:rFonts w:eastAsia="Calibri" w:cs="Times-Roman" w:ascii="Times-Roman" w:hAnsi="Times-Roman"/>
          <w:color w:val="18191B"/>
        </w:rPr>
        <w:instrText xml:space="preserve">ADDIN ZOTERO_ITEM CSL_CITATION {"citationID":"Akcd7z67","properties":{"formattedCitation":"[60]","plainCitation":"[60]","noteIndex":0},"citationItems":[{"id":2417,"uris":["http://zotero.org/users/local/WDVvZTBM/items/2MUY9SGM"],"itemData":{"id":2417,"type":"article-journal","abstract":"Background: This Obesity Medicine Association (OMA) clinical practice statement (CPS) covers two topics: 1) genetics and 2) social consequences for the child with overweight and obesity. This CPS is intended to provide clinicians with an overview of clinical practices applicable to children and adolescents with body mass indices greater than or equal to the 85th percentile for their ages, particularly those with adverse consequences resulting from increased body mass. The information in this CPS is based on scientiﬁc evidence, supported by the medical literature, and derived from the clinical experiences of members of the OMA.\nMethods: The scientiﬁc information and clinical guidance in this CPS is based upon referenced evidence and derived from the clinical perspectives of the authors.\nResults: This OMA clinical practice statement details two topics: 1) genetics and 2) social consequences for the child with overweight and obesity.\nConclusions: This OMA clinical practice statement on genetics and social consequences for the child with overweight and obesity is an overview of current literature. The literature provides a roadmap to the improvement of the health of children and adolescents with obesity, especially those with metabolic, physiological, and psychological complications.","container-title":"Obesity Pillars","DOI":"10.1016/j.obpill.2022.100032","ISSN":"26673681","journalAbbreviation":"Obesity Pillars","language":"en","page":"100032","source":"DOI.org (Crossref)","title":"Social consequences and genetics for the child with overweight and obesity: An obesity medicine association (OMA) clinical practice statement 2022","title-short":"Social consequences and genetics for the child with overweight and obesity","volume":"3","author":[{"family":"Cuda","given":"Suzanne"},{"family":"Censani","given":"Marisa"},{"family":"Kharofa","given":"Roohi"},{"family":"Williams","given":"Dominique R."},{"family":"O'Hara","given":"Valerie"},{"family":"Karjoo","given":"Sara"},{"family":"Paisley","given":"Jennifer"},{"family":"Browne","given":"Nancy T."}],"issued":{"date-parts":[["2022",9]]}}}],"schema":"https://github.com/citation-style-language/schema/raw/master/csl-citation.json"}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[60]</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Σε αυτό το κεφάλαιο θα γίνει μια περιγραφή από τις πιο κοινές γενετικές εκτιμήσεις. Στο παλαιότερες έρευνες, οι γενετικές εκτιμήσεις και συνθήκες θεωρήθηκαν μονογονικές (μη συνδρομικές) ή πολυγονιδιακές (συνδρομικές), αν και από κλινική άποψη αυτός ο διαχωρισμός δεν είναι ιδιαίτερα χρήσιμος. Οι περισσότερες γενετικές καταστάσεις είναι σχετικά σπάνιες. Για παράδειγμα, το σύνδρομο Prader Willi είναι το πιο κοινό αναγνωρισμένο συνδρομικό αίτιο παιδικής παχυσαρκίας </w:t>
      </w:r>
      <w:r>
        <w:fldChar w:fldCharType="begin"/>
      </w:r>
      <w:r>
        <w:rPr>
          <w:rFonts w:eastAsia="Calibri" w:cs="Times-Roman" w:ascii="Times-Roman" w:hAnsi="Times-Roman"/>
          <w:color w:val="18191B"/>
        </w:rPr>
        <w:instrText xml:space="preserve">ADDIN ZOTERO_ITEM CSL_CITATION {"citationID":"y3hhRvz3","properties":{"formattedCitation":"[61]","plainCitation":"[61]","noteIndex":0},"citationItems":[{"id":2771,"uris":["http://zotero.org/users/local/WDVvZTBM/items/HSCYV8ES"],"itemData":{"id":2771,"type":"article-journal","abstract":"Obesity management in Prader-Willi syndrome: current perspectives Antonino Crinò,1 Danilo Fintini,2 Sarah Bocchini,1 Graziano Grugni3 1Autoimmune Endocrine Diseases Unit, 2Endocrinology Unit, Bambino Gesù Children’s Hospital, Research Institute, Palidoro, Rome; 3Division of Auxology, Italian Auxological Institute, Research Institute, Piancavallo, Verbania, Italy Abstract: Prader–Willi syndrome (PWS) is a complex multisystem disorder due to the absent expression of the paternally active genes in the PWS critical region on chromosome 15 (15q11.2-q13). The syndrome is considered the most common genetic cause of obesity, occurring in 1:10,000–1:30,000 live births. Its main characteristics include neonatal hypotonia, poor feeding, and lack of appetite in infancy, followed by weight gain, lack of satiety, and uncontrolled appetite, frequently after the age of 2–3 years. The clinical picture includes short stature, multiple endocrine abnormalities (hypogonadism, growth hormone/insulin-like growth factor-I axis dysfunction, hypothyroidism, central adrenal insufficiency), dysmorphic features, scoliosis, osteoporosis, mental retardation, and behavioral and psychiatric problems. Subjects with PWS will become severely obese unless their food intake is strictly controlled. Constant and obsessive food seeking behavior can make life very difficult for both the family and caretakers. Prevention of obesity is mandatory in these patients from the first years of life, because once obesity develops it is difficult to maintain the control of food intake. In fact, PWS subjects die prematurely from complications conventionally related to obesity, including diabetes mellitus, metabolic syndrome, sleep apnea, respiratory insufficiency, and cardiovascular disease. The mechanisms underlying hyperphagia in PWS are not completely known, and to date no drugs have proven their efficacy in controlling appetite. Consequently, dietary restriction, physical activity, and behavior management are fundamental in the prevention and management of obesity in PWS. In spite of all available therapeutic tools, however, successful weight loss and maintenance are hardly accomplished. In this context, clinical trials with new drugs have been initiated in order to find new possibilities of a therapy for obesity in these patients. The preliminary results of these studies seem to be encouraging. On the other hand, until well-proven medical treatments are available, bariatric surgery can be taken into consideration, especially in PWS patients with life-threatening comorbidities. Keywords: Prader–Willi syndrome, severe obesity, hyperphagia, genetic obesity, food management","container-title":"Diabetes, Metabolic Syndrome and Obesity","DOI":"10.2147/DMSO.S141352","journalAbbreviation":"DMSO","language":"English","note":"publisher: Dove Press","page":"579-593","source":"www.dovepress.com","title":"Obesity management in Prader&amp;ndash;Willi syndrome: current perspectives","title-short":"Obesity management in Prader&amp;ndash;Willi syndrome","volume":"11","author":[{"family":"Crinò","given":"Antonino"},{"family":"Fintini","given":"Danilo"},{"family":"Bocchini","given":"Sarah"},{"family":"Grugni","given":"Graziano"}],"issued":{"date-parts":[["2018",10,4]]}}}],"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[61]</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και έχει συχνότητα γέννησης μεταξύ 1/10.000 και 1/30.000.</w:t>
      </w:r>
      <w:r>
        <w:fldChar w:fldCharType="begin"/>
      </w:r>
      <w:r>
        <w:rPr>
          <w:rFonts w:eastAsia="Calibri" w:cs="Times-Roman" w:ascii="Times-Roman" w:hAnsi="Times-Roman"/>
          <w:color w:val="18191B"/>
        </w:rPr>
        <w:instrText xml:space="preserve">ADDIN ZOTERO_ITEM CSL_CITATION {"citationID":"SMLQjBOQ","properties":{"formattedCitation":"[62]","plainCitation":"[62]","noteIndex":0},"citationItems":[{"id":2774,"uris":["http://zotero.org/users/local/WDVvZTBM/items/KJFSQ323"],"itemData":{"id":2774,"type":"article-journal","abstract":"Advances in technologies offer new opportunities to collect and integrate data from a broad range of sources to advance the understanding of rare diseases and support the development of new treatments. Prader–Willi syndrome (PWS) is a rare, complex neurodevelopmental disorder, which has a variable and incompletely understood natural history. PWS is characterized by early failure to thrive, followed by the onset of excessive appetite (hyperphagia). Additional characteristics include multiple endocrine abnormalities, hypotonia, hypogonadism, sleep disturbances, a challenging neurobehavioral phenotype, and cognitive disability. The Foundation for Prader–Willi Research’s Global PWS Registry is one of more than twenty-five registries developed to date through the National Organization of Rare Disorders (NORD) IAMRARE Registry Program. The Registry consists of surveys covering general medical history, system-specific clinical complications, diet, medication and supplement use, as well as behavior, mental health, and social information. Information is primarily parent/caregiver entered. The platform is flexible and allows addition of new surveys, including updatable and longitudinal surveys. Launched in 2015, the PWS Registry has enrolled 1696 participants from 37 countries, with 23,550 surveys completed. This resource can improve the understanding of PWS natural history and support medical product development for PWS.","container-title":"Genes","DOI":"10.3390/genes10090713","ISSN":"2073-4425","issue":"9","language":"en","license":"http://creativecommons.org/licenses/by/3.0/","note":"number: 9\npublisher: Multidisciplinary Digital Publishing Institute","page":"713","source":"www.mdpi.com","title":"The Global Prader–Willi Syndrome Registry: Development, Launch, and Early Demographics","title-short":"The Global Prader–Willi Syndrome Registry","volume":"10","author":[{"family":"Bohonowych","given":"Jessica"},{"family":"Miller","given":"Jennifer"},{"family":"McCandless","given":"Shawn E."},{"family":"Strong","given":"Theresa V."}],"issued":{"date-parts":[["2019",9]]}}}],"schema":"https://github.com/citation-style-language/schema/raw/master/csl-citation.json"}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[62]</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Η Εικόνα 3 δείχνει μια επισκόπηση με τα πιο κοινά γενετικά σύνδρομα που σχετίζονται με την παιδική παχυσαρκία. Αυτά τα γενετικά σύνδρομα και άλλες σχετικές πληροφορίες θέματος περιγράφονται λεπτομερώς στις επόμενες ενότητες.</w:t>
      </w:r>
    </w:p>
    <w:p>
      <w:pPr>
        <w:pStyle w:val="Normal"/>
        <w:jc w:val="both"/>
        <w:rPr>
          <w:rFonts w:eastAsia="Calibri"/>
        </w:rPr>
      </w:pPr>
      <w:r>
        <w:rPr>
          <w:rFonts w:eastAsia="Calibri"/>
        </w:rPr>
      </w:r>
    </w:p>
    <w:p>
      <w:pPr>
        <w:pStyle w:val="Normal"/>
        <w:keepNext w:val="true"/>
        <w:jc w:val="both"/>
        <w:rPr/>
      </w:pPr>
      <w:r>
        <w:rPr/>
        <w:drawing>
          <wp:inline distT="0" distB="0" distL="0" distR="0">
            <wp:extent cx="5278755" cy="3189605"/>
            <wp:effectExtent l="0" t="0" r="0" b="0"/>
            <wp:docPr id="6" name="Εικόνα5" descr="Εικόνα που περιέχει κείμενο, στιγμιότυπο οθόνης, γραμματοσειρά,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Εικόνα5" descr="Εικόνα που περιέχει κείμενο, στιγμιότυπο οθόνης, γραμματοσειρά, αριθμός&#10;&#10;Περιγραφή που δημιουργήθηκε αυτόματα"/>
                    <pic:cNvPicPr>
                      <a:picLocks noChangeAspect="1" noChangeArrowheads="1"/>
                    </pic:cNvPicPr>
                  </pic:nvPicPr>
                  <pic:blipFill>
                    <a:blip r:embed="rId23"/>
                    <a:stretch>
                      <a:fillRect/>
                    </a:stretch>
                  </pic:blipFill>
                  <pic:spPr bwMode="auto">
                    <a:xfrm>
                      <a:off x="0" y="0"/>
                      <a:ext cx="5278755" cy="3189605"/>
                    </a:xfrm>
                    <a:prstGeom prst="rect">
                      <a:avLst/>
                    </a:prstGeom>
                  </pic:spPr>
                </pic:pic>
              </a:graphicData>
            </a:graphic>
          </wp:inline>
        </w:drawing>
      </w:r>
    </w:p>
    <w:p>
      <w:pPr>
        <w:pStyle w:val="Caption1"/>
        <w:jc w:val="center"/>
        <w:rPr>
          <w:rFonts w:eastAsia="Calibri"/>
        </w:rPr>
      </w:pPr>
      <w:bookmarkStart w:id="44" w:name="_Toc152764770"/>
      <w:r>
        <w:rPr/>
        <w:t xml:space="preserve">Εικόνα </w:t>
      </w:r>
      <w:r>
        <w:rPr/>
        <w:fldChar w:fldCharType="begin"/>
      </w:r>
      <w:r>
        <w:rPr/>
        <w:instrText xml:space="preserve"> SEQ Εικόνα \* ARABIC </w:instrText>
      </w:r>
      <w:r>
        <w:rPr/>
        <w:fldChar w:fldCharType="separate"/>
      </w:r>
      <w:r>
        <w:rPr/>
        <w:t>4</w:t>
      </w:r>
      <w:r>
        <w:rPr/>
        <w:fldChar w:fldCharType="end"/>
      </w:r>
      <w:r>
        <w:rPr/>
        <w:t xml:space="preserve">: </w:t>
      </w:r>
      <w:r>
        <w:rPr>
          <w:b w:val="false"/>
          <w:bCs w:val="false"/>
          <w:i/>
          <w:iCs/>
        </w:rPr>
        <w:t>Τα πιο κοινά γενετικά σύνδρομα που σχετίζονται με την παιδική παχυσαρκία.</w:t>
      </w:r>
      <w:r>
        <w:fldChar w:fldCharType="begin"/>
      </w:r>
      <w:r>
        <w:rPr>
          <w:i/>
          <w:b w:val="false"/>
          <w:iCs/>
          <w:bCs w:val="false"/>
        </w:rPr>
        <w:instrText xml:space="preserve">ADDIN ZOTERO_ITEM CSL_CITATION {"citationID":"6ClQSAss","properties":{"formattedCitation":"[60]","plainCitation":"[60]","noteIndex":0},"citationItems":[{"id":2417,"uris":["http://zotero.org/users/local/WDVvZTBM/items/2MUY9SGM"],"itemData":{"id":2417,"type":"article-journal","abstract":"Background: This Obesity Medicine Association (OMA) clinical practice statement (CPS) covers two topics: 1) genetics and 2) social consequences for the child with overweight and obesity. This CPS is intended to provide clinicians with an overview of clinical practices applicable to children and adolescents with body mass indices greater than or equal to the 85th percentile for their ages, particularly those with adverse consequences resulting from increased body mass. The information in this CPS is based on scientiﬁc evidence, supported by the medical literature, and derived from the clinical experiences of members of the OMA.\nMethods: The scientiﬁc information and clinical guidance in this CPS is based upon referenced evidence and derived from the clinical perspectives of the authors.\nResults: This OMA clinical practice statement details two topics: 1) genetics and 2) social consequences for the child with overweight and obesity.\nConclusions: This OMA clinical practice statement on genetics and social consequences for the child with overweight and obesity is an overview of current literature. The literature provides a roadmap to the improvement of the health of children and adolescents with obesity, especially those with metabolic, physiological, and psychological complications.","container-title":"Obesity Pillars","DOI":"10.1016/j.obpill.2022.100032","ISSN":"26673681","journalAbbreviation":"Obesity Pillars","language":"en","page":"100032","source":"DOI.org (Crossref)","title":"Social consequences and genetics for the child with overweight and obesity: An obesity medicine association (OMA) clinical practice statement 2022","title-short":"Social consequences and genetics for the child with overweight and obesity","volume":"3","author":[{"family":"Cuda","given":"Suzanne"},{"family":"Censani","given":"Marisa"},{"family":"Kharofa","given":"Roohi"},{"family":"Williams","given":"Dominique R."},{"family":"O'Hara","given":"Valerie"},{"family":"Karjoo","given":"Sara"},{"family":"Paisley","given":"Jennifer"},{"family":"Browne","given":"Nancy T."}],"issued":{"date-parts":[["2022",9]]}}}],"schema":"https://github.com/citation-style-language/schema/raw/master/csl-citation.json"}</w:instrText>
      </w:r>
      <w:r>
        <w:rPr>
          <w:b w:val="false"/>
          <w:bCs w:val="false"/>
          <w:i/>
          <w:iCs/>
        </w:rPr>
      </w:r>
      <w:r>
        <w:rPr>
          <w:i/>
          <w:b w:val="false"/>
          <w:iCs/>
          <w:bCs w:val="false"/>
        </w:rPr>
        <w:fldChar w:fldCharType="separate"/>
      </w:r>
      <w:r>
        <w:rPr>
          <w:b w:val="false"/>
          <w:bCs w:val="false"/>
          <w:i/>
          <w:iCs/>
        </w:rPr>
        <w:t>[60]</w:t>
      </w:r>
      <w:r/>
      <w:r>
        <w:rPr>
          <w:i/>
          <w:b w:val="false"/>
          <w:iCs/>
          <w:bCs w:val="false"/>
        </w:rPr>
        <w:fldChar w:fldCharType="end"/>
      </w:r>
      <w:r>
        <w:rPr>
          <w:b w:val="false"/>
          <w:bCs w:val="false"/>
          <w:i/>
          <w:iCs/>
        </w:rPr>
      </w:r>
      <w:bookmarkEnd w:id="44"/>
    </w:p>
    <w:p>
      <w:pPr>
        <w:pStyle w:val="Normal"/>
        <w:keepNext w:val="true"/>
        <w:rPr/>
      </w:pPr>
      <w:r>
        <w:rPr/>
        <w:drawing>
          <wp:inline distT="0" distB="0" distL="0" distR="0">
            <wp:extent cx="5278755" cy="7177405"/>
            <wp:effectExtent l="0" t="0" r="0" b="0"/>
            <wp:docPr id="7" name="Εικόνα 3" descr="Εικόνα που περιέχει κείμενο, στιγμιότυπο οθόνης, λογισμικό, παράλληλ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Εικόνα 3" descr="Εικόνα που περιέχει κείμενο, στιγμιότυπο οθόνης, λογισμικό, παράλληλα&#10;&#10;Περιγραφή που δημιουργήθηκε αυτόματα"/>
                    <pic:cNvPicPr>
                      <a:picLocks noChangeAspect="1" noChangeArrowheads="1"/>
                    </pic:cNvPicPr>
                  </pic:nvPicPr>
                  <pic:blipFill>
                    <a:blip r:embed="rId24"/>
                    <a:stretch>
                      <a:fillRect/>
                    </a:stretch>
                  </pic:blipFill>
                  <pic:spPr bwMode="auto">
                    <a:xfrm>
                      <a:off x="0" y="0"/>
                      <a:ext cx="5278755" cy="7177405"/>
                    </a:xfrm>
                    <a:prstGeom prst="rect">
                      <a:avLst/>
                    </a:prstGeom>
                  </pic:spPr>
                </pic:pic>
              </a:graphicData>
            </a:graphic>
          </wp:inline>
        </w:drawing>
      </w:r>
    </w:p>
    <w:p>
      <w:pPr>
        <w:pStyle w:val="Caption1"/>
        <w:jc w:val="center"/>
        <w:rPr>
          <w:rFonts w:eastAsia="Calibri"/>
        </w:rPr>
      </w:pPr>
      <w:bookmarkStart w:id="45" w:name="_Toc152764771"/>
      <w:r>
        <w:rPr/>
        <w:t xml:space="preserve">Εικόνα </w:t>
      </w:r>
      <w:r>
        <w:rPr/>
        <w:fldChar w:fldCharType="begin"/>
      </w:r>
      <w:r>
        <w:rPr/>
        <w:instrText xml:space="preserve"> SEQ Εικόνα \* ARABIC </w:instrText>
      </w:r>
      <w:r>
        <w:rPr/>
        <w:fldChar w:fldCharType="separate"/>
      </w:r>
      <w:r>
        <w:rPr/>
        <w:t>5</w:t>
      </w:r>
      <w:r>
        <w:rPr/>
        <w:fldChar w:fldCharType="end"/>
      </w:r>
      <w:r>
        <w:rPr/>
        <w:t xml:space="preserve">: </w:t>
      </w:r>
      <w:r>
        <w:rPr>
          <w:b w:val="false"/>
          <w:bCs w:val="false"/>
          <w:i/>
          <w:iCs/>
          <w:sz w:val="18"/>
          <w:szCs w:val="18"/>
        </w:rPr>
        <w:t xml:space="preserve">Χρονοδιάγραμμα με ανακαλύψεις στους γενετικούς παράγοντες της παιδικής παχυσαρκίας </w:t>
      </w:r>
      <w:r>
        <w:fldChar w:fldCharType="begin"/>
      </w:r>
      <w:r>
        <w:rPr>
          <w:sz w:val="18"/>
          <w:i/>
          <w:b w:val="false"/>
          <w:szCs w:val="18"/>
          <w:iCs/>
          <w:bCs w:val="false"/>
        </w:rPr>
        <w:instrText xml:space="preserve">ADDIN ZOTERO_ITEM CSL_CITATION {"citationID":"bfKN1wEZ","properties":{"formattedCitation":"[44]","plainCitation":"[44]","noteIndex":0},"citationItems":[{"id":2446,"uris":["http://zotero.org/users/local/WDVvZTBM/items/9EHLE2DL"],"itemData":{"id":2446,"type":"article-journal","abstract":"The prevalence of obesity has tripled over the past four decades, imposing an enormous burden on people’s health. Polygenic (or common) obesity and rare, severe, early-o nset monogenic obesity are often polarized as distinct diseases. However, gene discovery studies for both forms of obesity show that they have shared genetic and biological underpinnings, pointing to a key role for the brain in the control of body weight. Genome-w ide association studies (GWAS) with increasing sample sizes and advances in sequencing technology are the main drivers behind a recent flurry of new discoveries. However, it is the post-G WAS, cross-d isciplinary collaborations, which combine new omics technologies and analytical approaches, that have started to facilitate translation of genetic loci into meaningful biology and new avenues for treatment.","container-title":"Nature Reviews Genetics","DOI":"10.1038/s41576-021-00414-z","ISSN":"1471-0056, 1471-0064","issue":"2","journalAbbreviation":"Nat Rev Genet","language":"en","page":"120-133","source":"DOI.org (Crossref)","title":"The genetics of obesity: from discovery to biology","title-short":"The genetics of obesity","volume":"23","author":[{"family":"Loos","given":"Ruth J. F."},{"family":"Yeo","given":"Giles S. H."}],"issued":{"date-parts":[["2022",2]]}}}],"schema":"https://github.com/citation-style-language/schema/raw/master/csl-citation.json"}</w:instrText>
      </w:r>
      <w:r>
        <w:rPr>
          <w:b w:val="false"/>
          <w:bCs w:val="false"/>
          <w:i/>
          <w:iCs/>
          <w:sz w:val="18"/>
          <w:szCs w:val="18"/>
        </w:rPr>
      </w:r>
      <w:r>
        <w:rPr>
          <w:sz w:val="18"/>
          <w:i/>
          <w:b w:val="false"/>
          <w:szCs w:val="18"/>
          <w:iCs/>
          <w:bCs w:val="false"/>
        </w:rPr>
        <w:fldChar w:fldCharType="separate"/>
      </w:r>
      <w:r>
        <w:rPr>
          <w:b w:val="false"/>
          <w:bCs w:val="false"/>
          <w:i/>
          <w:iCs/>
          <w:sz w:val="18"/>
          <w:szCs w:val="18"/>
        </w:rPr>
        <w:t>[44]</w:t>
      </w:r>
      <w:r>
        <w:rPr>
          <w:b w:val="false"/>
          <w:bCs w:val="false"/>
          <w:i/>
          <w:iCs/>
          <w:sz w:val="18"/>
          <w:szCs w:val="18"/>
        </w:rPr>
      </w:r>
      <w:r>
        <w:rPr>
          <w:sz w:val="18"/>
          <w:i/>
          <w:b w:val="false"/>
          <w:szCs w:val="18"/>
          <w:iCs/>
          <w:bCs w:val="false"/>
        </w:rPr>
        <w:fldChar w:fldCharType="end"/>
      </w:r>
      <w:r>
        <w:rPr>
          <w:b w:val="false"/>
          <w:bCs w:val="false"/>
          <w:i/>
          <w:iCs/>
          <w:sz w:val="18"/>
          <w:szCs w:val="18"/>
        </w:rPr>
        <w:t>.</w:t>
      </w:r>
      <w:bookmarkEnd w:id="45"/>
    </w:p>
    <w:p>
      <w:pPr>
        <w:pStyle w:val="Heading2"/>
        <w:rPr/>
      </w:pPr>
      <w:bookmarkStart w:id="46" w:name="_Toc154923818"/>
      <w:r>
        <w:rPr/>
        <w:t>3.2 Γενετικά αίτια της παχυσαρκία στην παιδική ηλικία</w:t>
      </w:r>
      <w:bookmarkEnd w:id="46"/>
    </w:p>
    <w:p>
      <w:pPr>
        <w:pStyle w:val="Heading3"/>
        <w:rPr/>
      </w:pPr>
      <w:bookmarkStart w:id="47" w:name="_Toc154923819"/>
      <w:r>
        <w:rPr/>
        <w:t xml:space="preserve">3.2.1 Το σύνδρομο </w:t>
      </w:r>
      <w:r>
        <w:rPr>
          <w:lang w:val="en-US"/>
        </w:rPr>
        <w:t>Prader</w:t>
      </w:r>
      <w:r>
        <w:rPr/>
        <w:t>-</w:t>
      </w:r>
      <w:r>
        <w:rPr>
          <w:lang w:val="en-US"/>
        </w:rPr>
        <w:t>Willi</w:t>
      </w:r>
      <w:bookmarkEnd w:id="47"/>
      <w:r>
        <w:rPr/>
        <w:t xml:space="preserve"> </w:t>
      </w:r>
    </w:p>
    <w:p>
      <w:pPr>
        <w:pStyle w:val="Normal"/>
        <w:spacing w:lineRule="auto" w:line="360"/>
        <w:ind w:firstLine="720"/>
        <w:jc w:val="both"/>
        <w:rPr>
          <w:rFonts w:ascii="Times-Roman" w:hAnsi="Times-Roman" w:eastAsia="Calibri" w:cs="Times-Roman"/>
          <w:color w:val="18191B"/>
          <w:sz w:val="56"/>
          <w:szCs w:val="56"/>
        </w:rPr>
      </w:pPr>
      <w:r>
        <w:rPr>
          <w:rFonts w:eastAsia="Calibri" w:cs="Times-Roman" w:ascii="Times-Roman" w:hAnsi="Times-Roman"/>
          <w:color w:val="18191B"/>
        </w:rPr>
        <w:t xml:space="preserve">Το σύνδρομο Prader-Willi (PWS) περιγράφεται καλύτερα ως συνεχές σύνδρομο γονιδίου </w:t>
      </w:r>
      <w:r>
        <w:fldChar w:fldCharType="begin"/>
      </w:r>
      <w:r>
        <w:rPr>
          <w:rFonts w:eastAsia="Calibri" w:cs="Times-Roman" w:ascii="Times-Roman" w:hAnsi="Times-Roman"/>
          <w:color w:val="18191B"/>
        </w:rPr>
        <w:instrText xml:space="preserve">ADDIN ZOTERO_ITEM CSL_CITATION {"citationID":"4j4FPa2y","properties":{"formattedCitation":"[60]","plainCitation":"[60]","noteIndex":0},"citationItems":[{"id":2417,"uris":["http://zotero.org/users/local/WDVvZTBM/items/2MUY9SGM"],"itemData":{"id":2417,"type":"article-journal","abstract":"Background: This Obesity Medicine Association (OMA) clinical practice statement (CPS) covers two topics: 1) genetics and 2) social consequences for the child with overweight and obesity. This CPS is intended to provide clinicians with an overview of clinical practices applicable to children and adolescents with body mass indices greater than or equal to the 85th percentile for their ages, particularly those with adverse consequences resulting from increased body mass. The information in this CPS is based on scientiﬁc evidence, supported by the medical literature, and derived from the clinical experiences of members of the OMA.\nMethods: The scientiﬁc information and clinical guidance in this CPS is based upon referenced evidence and derived from the clinical perspectives of the authors.\nResults: This OMA clinical practice statement details two topics: 1) genetics and 2) social consequences for the child with overweight and obesity.\nConclusions: This OMA clinical practice statement on genetics and social consequences for the child with overweight and obesity is an overview of current literature. The literature provides a roadmap to the improvement of the health of children and adolescents with obesity, especially those with metabolic, physiological, and psychological complications.","container-title":"Obesity Pillars","DOI":"10.1016/j.obpill.2022.100032","ISSN":"26673681","journalAbbreviation":"Obesity Pillars","language":"en","page":"100032","source":"DOI.org (Crossref)","title":"Social consequences and genetics for the child with overweight and obesity: An obesity medicine association (OMA) clinical practice statement 2022","title-short":"Social consequences and genetics for the child with overweight and obesity","volume":"3","author":[{"family":"Cuda","given":"Suzanne"},{"family":"Censani","given":"Marisa"},{"family":"Kharofa","given":"Roohi"},{"family":"Williams","given":"Dominique R."},{"family":"O'Hara","given":"Valerie"},{"family":"Karjoo","given":"Sara"},{"family":"Paisley","given":"Jennifer"},{"family":"Browne","given":"Nancy T."}],"issued":{"date-parts":[["2022",9]]}}}],"schema":"https://github.com/citation-style-language/schema/raw/master/csl-citation.json"}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[60]</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Μια πολυσυστημική διαταραχή, το PWS προκύπτει από την έλλειψη έκφρασης γονιδίων στο πατρικά κληρονομούμενο χρωμόσωμα r</w:t>
      </w:r>
      <w:r>
        <w:rPr>
          <w:rFonts w:eastAsia="Calibri" w:cs="Times-Roman" w:ascii="Times-Roman" w:hAnsi="Times-Roman"/>
          <w:color w:val="18191B"/>
          <w:lang w:val="en-US"/>
        </w:rPr>
        <w:t>egion</w:t>
      </w:r>
      <w:r>
        <w:rPr>
          <w:rFonts w:eastAsia="Calibri" w:cs="Times-Roman" w:ascii="Times-Roman" w:hAnsi="Times-Roman"/>
          <w:color w:val="18191B"/>
        </w:rPr>
        <w:t xml:space="preserve"> 15q11.2-q13 </w:t>
      </w:r>
      <w:r>
        <w:fldChar w:fldCharType="begin"/>
      </w:r>
      <w:r>
        <w:rPr>
          <w:rFonts w:eastAsia="Calibri" w:cs="Times-Roman" w:ascii="Times-Roman" w:hAnsi="Times-Roman"/>
          <w:color w:val="18191B"/>
        </w:rPr>
        <w:instrText xml:space="preserve">ADDIN ZOTERO_ITEM CSL_CITATION {"citationID":"QmXXJeQz","properties":{"formattedCitation":"[63]","plainCitation":"[63]","noteIndex":0},"citationItems":[{"id":2777,"uris":["http://zotero.org/users/local/WDVvZTBM/items/RITK38W3"],"itemData":{"id":2777,"type":"book","abstract":"This revised edition of Charles Brook's Handbook of Clinical Pediatric Endocrinology provides endocrinologists and pediatricians in training with a fully up-to-date clinical guide presenting evidence-based practice in the diagnosis, treatment, and management of pediatric endocrine disorders. New chapters include “Endocrine complications of chronic disease” and “Endocrine neoplasia.” In addition, the chapter structure has been revamped for easier access and now includes: a key points overview, multiple-choice questions for self-assessment, common errors/pitffalls (in treatment, diagnosis, etc.) boxes, a key weblinks box, a table comparing different society guidelines, diagnostic decision trees, therapeutics decision trees, and a summary.","source":"books.google.gr","title":"Handbook of Clinical Pediatric Endocrinology","URL":"https://books.google.com/books/about/Handbook_of_Clinical_Pediatric_Endocrino.html?hl=el&amp;id=G7dvgevvLVEC","accessed":{"date-parts":[["2023",11,18]]}}}],"schema":"https://github.com/citation-style-language/schema/raw/master/csl-citation.json"}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[63]</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Επίμονη και ακόρεστη όρεξη που οδηγεί σε αυξημένη παχυσαρκία είναι το βασικό του χαρακτηριστικό, που θεωρείται δευτερεύον στη διαταραχή των υποθαλαμικών οδών ελέγχου του κορεσμού. Οι ασθενείς με PWS έχουν υψηλότερα επίπεδα γκρελίνης, αδιπονεκτίνης και ρεζιστίνης. Η παχυσαρκία αναπτύσσεται γενικά ξεκινώντας από το δεύτερο έτος της ζωής των ασθενών με PWS και είναι εμφανής από 8 ετών </w:t>
      </w:r>
      <w:r>
        <w:fldChar w:fldCharType="begin"/>
      </w:r>
      <w:r>
        <w:rPr>
          <w:rFonts w:eastAsia="Calibri" w:cs="Times-Roman" w:ascii="Times-Roman" w:hAnsi="Times-Roman"/>
          <w:color w:val="18191B"/>
        </w:rPr>
        <w:instrText xml:space="preserve">ADDIN ZOTERO_ITEM CSL_CITATION {"citationID":"ZGNsG8ky","properties":{"formattedCitation":"[64]","plainCitation":"[64]","noteIndex":0},"citationItems":[{"id":2779,"uris":["http://zotero.org/users/local/WDVvZTBM/items/2JFJ7682"],"itemData":{"id":2779,"type":"article-journal","abstract":"Prader–Willi syndrome (PWS) is a genetic disorder caused by the lack of expression of genes on the paternally inherited chromosome 15q11.2-q13 region. The three main genetic subtypes are represented by paternal 15q11-q13 deletion, maternal uniparental disomy 15, and imprinting defect. Clinical picture of PWS changes across life stages. The main clinical characteristics are represented by short stature, developmental delay, cognitive disability and behavioral diseases. Hypotonia and poor suck resulting in failure to thrive are typical of infancy. As the subjects with PWS age, clinical manifestations such as hyperphagia, temperature instability, high pain threshold, hypersomnia and multiple endocrine abnormalities including growth hormone and thyroid-stimulating hormone deficiencies, hypogonadism and central adrenal insufficiency due to hypothalamic dysfunction occur. Obesity and its complications are the most common causes of morbidity and mortality in PWS. Several mechanisms for the aetiology of obesity in PWS have been hypothesized, which include aberration in hypothalamic pathways of satiety control resulting in hyperphagia, disruption in hormones regulating appetite and satiety and reduced energy expenditure. However, despite the advancement in the research field of the genetic basis of obesity in PWS, there are contradictory data on the management. Although it is mandatory to adopt obesity strategy prevention from infancy, there is promising evidence regarding the management of obesity in adulthood with current obesity drugs along with lifestyle interventions, although the data are limited. Therefore, the current manuscript provides a review of the current evidence on obesity and PWS, covering physiopathological aspects, obesity-related complications and conservative management.","container-title":"Journal of Endocrinological Investigation","DOI":"10.1007/s40618-021-01574-9","ISSN":"1720-8386","issue":"10","journalAbbreviation":"J Endocrinol Invest","language":"en","license":"2021 The Author(s)","note":"Company: Springer\nDistributor: Springer\nInstitution: Springer\nLabel: Springer\nnumber: 10\npublisher: Springer International Publishing","page":"2057-2070","source":"link.springer.com","title":"Obesity in Prader–Willi syndrome: physiopathological mechanisms, nutritional and pharmacological approaches","title-short":"Obesity in Prader–Willi syndrome","volume":"44","author":[{"family":"Muscogiuri","given":"G."},{"family":"Barrea","given":"L."},{"family":"Faggiano","given":"F."},{"family":"Maiorino","given":"M. I."},{"family":"Parrillo","given":"M."},{"family":"Pugliese","given":"G."},{"family":"Ruggeri","given":"R. M."},{"family":"Scarano","given":"E."},{"family":"Savastano","given":"S."},{"family":"Colao","given":"A."}],"issued":{"date-parts":[["2021",10,1]]}}}],"schema":"https://github.com/citation-style-language/schema/raw/master/csl-citation.json"}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[64]</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Οι ασθενείς μπορεί να προκαλέσουν επιθετικές και εμμονικές συμπεριφορές αναζήτησης τροφής, συμπεριλαμβανομένης κλοπής, απόκρυψης, και κρυφό φαγητό. Οι ασθενείς έχουν επίσης χαμηλή μυϊκή μάζα, η οποία συμβάλλει σε αυξημένο ποσοστό σωματικού λίπους. Η μείωση της μυϊκής μάζας είναι αποτέλεσμα ενδοκρινικών δυσλειτουργιών (δηλαδή, έλλειμμα αυξητικής ορμόνης και υπογοναδισμού) και χαμηλότερης φυσικής δραστηριότητας </w:t>
      </w:r>
      <w:r>
        <w:fldChar w:fldCharType="begin"/>
      </w:r>
      <w:r>
        <w:rPr>
          <w:rFonts w:eastAsia="Calibri" w:cs="Times-Roman" w:ascii="Times-Roman" w:hAnsi="Times-Roman"/>
          <w:color w:val="18191B"/>
          <w:lang w:val="en-US"/>
        </w:rPr>
        <w:instrText xml:space="preserve">ADDIN ZOTERO_ITEM CSL_CITATION {"citationID":"3Nq3UJRe","properties":{"formattedCitation":"[64]","plainCitation":"[64]","noteIndex":0},"citationItems":[{"id":2779,"uris":["http://zotero.org/users/local/WDVvZTBM/items/2JFJ7682"],"itemData":{"id":2779,"type":"article-journal","abstract":"Prader–Willi syndrome (PWS) is a genetic disorder caused by the lack of expression of genes on the paternally inherited chromosome 15q11.2-q13 region. The three main genetic subtypes are represented by paternal 15q11-q13 deletion, maternal uniparental disomy 15, and imprinting defect. Clinical picture of PWS changes across life stages. The main clinical characteristics are represented by short stature, developmental delay, cognitive disability and behavioral diseases. Hypotonia and poor suck resulting in failure to thrive are typical of infancy. As the subjects with PWS age, clinical manifestations such as hyperphagia, temperature instability, high pain threshold, hypersomnia and multiple endocrine abnormalities including growth hormone and thyroid-stimulating hormone deficiencies, hypogonadism and central adrenal insufficiency due to hypothalamic dysfunction occur. Obesity and its complications are the most common causes of morbidity and mortality in PWS. Several mechanisms for the aetiology of obesity in PWS have been hypothesized, which include aberration in hypothalamic pathways of satiety control resulting in hyperphagia, disruption in hormones regulating appetite and satiety and reduced energy expenditure. However, despite the advancement in the research field of the genetic basis of obesity in PWS, there are contradictory data on the management. Although it is mandatory to adopt obesity strategy prevention from infancy, there is promising evidence regarding the management of obesity in adulthood with current obesity drugs along with lifestyle interventions, although the data are limited. Therefore, the current manuscript provides a review of the current evidence on obesity and PWS, covering physiopathological aspects, obesity-related complications and conservative management.","container-title":"Journal of Endocrinological Investigation","DOI":"10.1007/s40618-021-01574-9","ISSN":"1720-8386","issue":"10","journalAbbreviation":"J Endocrinol Invest","language":"en","license":"2021 The Author(s)","note":"Company: Springer\nDistributor: Springer\nInstitution: Springer\nLabel: Springer\nnumber: 10\npublisher: Springer International Publishing","page":"2057-2070","source":"link.springer.com","title":"Obesity in Prader–Willi syndrome: physiopathological mechanisms, nutritional and pharmacological approaches","title-short":"Obesity in Prader–Willi syndrome","volume":"44","author":[{"family":"Muscogiuri","given":"G."},{"family":"Barrea","given":"L."},{"family":"Faggiano","given":"F."},{"family":"Maiorino","given":"M. I."},{"family":"Parrillo","given":"M."},{"family":"Pugliese","given":"G."},{"family":"Ruggeri","given":"R. M."},{"family":"Scarano","given":"E."},{"family":"Savastano","given":"S."},{"family":"Colao","given":"A."}],"issued":{"date-parts":[["2021",10,1]]}}}],"schema":"https://github.com/citation-style-language/schema/raw/master/csl-citation.json"}</w:instrText>
      </w:r>
      <w:r>
        <w:rPr>
          <w:rFonts w:eastAsia="Calibri" w:cs="Times-Roman" w:ascii="Times-Roman" w:hAnsi="Times-Roman"/>
          <w:color w:val="18191B"/>
          <w:lang w:val="en-US"/>
        </w:rPr>
      </w:r>
      <w:r>
        <w:rPr>
          <w:rFonts w:eastAsia="Calibri" w:cs="Times-Roman" w:ascii="Times-Roman" w:hAnsi="Times-Roman"/>
          <w:color w:val="18191B"/>
          <w:lang w:val="en-US"/>
        </w:rPr>
        <w:fldChar w:fldCharType="separate"/>
      </w:r>
      <w:r>
        <w:rPr>
          <w:rFonts w:eastAsia="Calibri" w:cs="Times-Roman" w:ascii="Times-Roman" w:hAnsi="Times-Roman"/>
          <w:color w:val="18191B"/>
          <w:lang w:val="en-US"/>
        </w:rPr>
      </w:r>
      <w:r>
        <w:rPr>
          <w:rFonts w:eastAsia="Calibri" w:cs="Times-Roman" w:ascii="Times-Roman" w:hAnsi="Times-Roman"/>
          <w:color w:val="18191B"/>
        </w:rPr>
        <w:t>[64]</w:t>
      </w:r>
      <w:r>
        <w:rPr>
          <w:rFonts w:eastAsia="Calibri" w:cs="Times-Roman" w:ascii="Times-Roman" w:hAnsi="Times-Roman"/>
          <w:color w:val="18191B"/>
          <w:lang w:val="en-US"/>
        </w:rPr>
      </w:r>
      <w:r>
        <w:rPr>
          <w:rFonts w:eastAsia="Calibri" w:cs="Times-Roman" w:ascii="Times-Roman" w:hAnsi="Times-Roman"/>
          <w:color w:val="18191B"/>
          <w:lang w:val="en-US"/>
        </w:rPr>
        <w:fldChar w:fldCharType="end"/>
      </w:r>
      <w:r>
        <w:rPr>
          <w:rFonts w:eastAsia="Calibri" w:cs="Times-Roman" w:ascii="Times-Roman" w:hAnsi="Times-Roman"/>
          <w:color w:val="18191B"/>
        </w:rPr>
        <w:t>. Συννοσηρότητες που σχετίζονται με την παχυσαρκία είναι εμφανείς σε ασθενείς με PWS και περιλαμβάνουν σακχαρώδη διαβήτη τύπου 2, υπέρταση και αποφρακτική άπνοια ύπνου.</w:t>
      </w:r>
    </w:p>
    <w:p>
      <w:pPr>
        <w:pStyle w:val="Normal"/>
        <w:spacing w:lineRule="auto" w:line="360"/>
        <w:ind w:firstLine="720"/>
        <w:jc w:val="both"/>
        <w:rPr>
          <w:rFonts w:eastAsia="Calibri"/>
        </w:rPr>
      </w:pPr>
      <w:r>
        <w:rPr>
          <w:rFonts w:eastAsia="Calibri" w:cs="Times-Roman" w:ascii="Times-Roman" w:hAnsi="Times-Roman"/>
          <w:color w:val="18191B"/>
        </w:rPr>
        <w:t xml:space="preserve">Πρόσθετα εξέχοντα χαρακτηριστικά του PWS που σχετίζονται με τη διάγνωση περιλαμβάνουν υποτονία κατά τη γέννηση, αμυγδαλωτά μάτια, μικρό ανάστημα και αναπτυξιακή καθυστέρηση (κινητική, ομιλία και πνευματική). Οι ασθενείς παραδοσιακά παρουσιάζουν σημαντικά προβλήματα συμπεριφοράς. Μέτρα έγκαιρης πρόληψης για την παχυσαρκία είναι καίριας σημασίας για τα παιδιά με PWS, συμπεριλαμβανομένης της δημιουργίας ενός βασισμένου σε θερμίδες προγράμματος διατροφής σε βρέφη, σχεδιάζοντας ένα πλάνο κίνησης και εκγύμνασης, μόλις το παιδί περπατά και συναντιέται με έναν συμπεριφορικό θεραπευτή για την υποστήριξη των επιθυμητών στόχων. Η αυξητική ορμόνη έχει επίσης αποδειχθεί ότι έχει ευεργετικά αποτελέσματα σχετικά με τη σύσταση του σώματος </w:t>
      </w:r>
      <w:r>
        <w:fldChar w:fldCharType="begin"/>
      </w:r>
      <w:r>
        <w:rPr>
          <w:rFonts w:eastAsia="Calibri" w:cs="Times-Roman" w:ascii="Times-Roman" w:hAnsi="Times-Roman"/>
          <w:color w:val="18191B"/>
        </w:rPr>
        <w:instrText xml:space="preserve">ADDIN ZOTERO_ITEM CSL_CITATION {"citationID":"SxqVijeo","properties":{"formattedCitation":"[64]","plainCitation":"[64]","noteIndex":0},"citationItems":[{"id":2779,"uris":["http://zotero.org/users/local/WDVvZTBM/items/2JFJ7682"],"itemData":{"id":2779,"type":"article-journal","abstract":"Prader–Willi syndrome (PWS) is a genetic disorder caused by the lack of expression of genes on the paternally inherited chromosome 15q11.2-q13 region. The three main genetic subtypes are represented by paternal 15q11-q13 deletion, maternal uniparental disomy 15, and imprinting defect. Clinical picture of PWS changes across life stages. The main clinical characteristics are represented by short stature, developmental delay, cognitive disability and behavioral diseases. Hypotonia and poor suck resulting in failure to thrive are typical of infancy. As the subjects with PWS age, clinical manifestations such as hyperphagia, temperature instability, high pain threshold, hypersomnia and multiple endocrine abnormalities including growth hormone and thyroid-stimulating hormone deficiencies, hypogonadism and central adrenal insufficiency due to hypothalamic dysfunction occur. Obesity and its complications are the most common causes of morbidity and mortality in PWS. Several mechanisms for the aetiology of obesity in PWS have been hypothesized, which include aberration in hypothalamic pathways of satiety control resulting in hyperphagia, disruption in hormones regulating appetite and satiety and reduced energy expenditure. However, despite the advancement in the research field of the genetic basis of obesity in PWS, there are contradictory data on the management. Although it is mandatory to adopt obesity strategy prevention from infancy, there is promising evidence regarding the management of obesity in adulthood with current obesity drugs along with lifestyle interventions, although the data are limited. Therefore, the current manuscript provides a review of the current evidence on obesity and PWS, covering physiopathological aspects, obesity-related complications and conservative management.","container-title":"Journal of Endocrinological Investigation","DOI":"10.1007/s40618-021-01574-9","ISSN":"1720-8386","issue":"10","journalAbbreviation":"J Endocrinol Invest","language":"en","license":"2021 The Author(s)","note":"Company: Springer\nDistributor: Springer\nInstitution: Springer\nLabel: Springer\nnumber: 10\npublisher: Springer International Publishing","page":"2057-2070","source":"link.springer.com","title":"Obesity in Prader–Willi syndrome: physiopathological mechanisms, nutritional and pharmacological approaches","title-short":"Obesity in Prader–Willi syndrome","volume":"44","author":[{"family":"Muscogiuri","given":"G."},{"family":"Barrea","given":"L."},{"family":"Faggiano","given":"F."},{"family":"Maiorino","given":"M. I."},{"family":"Parrillo","given":"M."},{"family":"Pugliese","given":"G."},{"family":"Ruggeri","given":"R. M."},{"family":"Scarano","given":"E."},{"family":"Savastano","given":"S."},{"family":"Colao","given":"A."}],"issued":{"date-parts":[["2021",10,1]]}}}],"schema":"https://github.com/citation-style-language/schema/raw/master/csl-citation.json"}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[64]</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Η GLP-1 λιραγλουτίδη είναι επί του παρόντος επι δοκιμής στο PWS από πολλές ερευνητικές ομάδες γύρω στο κόσμο, με σημαντική απώλεια βάρους που παρατηρήθηκε σε παιδιατρικούς ασθενείς </w:t>
      </w:r>
      <w:r>
        <w:fldChar w:fldCharType="begin"/>
      </w:r>
      <w:r>
        <w:rPr>
          <w:rFonts w:eastAsia="Calibri" w:cs="Times-Roman" w:ascii="Times-Roman" w:hAnsi="Times-Roman"/>
          <w:color w:val="18191B"/>
        </w:rPr>
        <w:instrText xml:space="preserve">ADDIN ZOTERO_ITEM CSL_CITATION {"citationID":"h788rlXk","properties":{"formattedCitation":"[65]","plainCitation":"[65]","noteIndex":0},"citationItems":[{"id":2781,"uris":["http://zotero.org/users/local/WDVvZTBM/items/2SPJWS2W"],"itemData":{"id":2781,"type":"article-journal","abstract":"In early childhood, individuals with Prader-Willi syndrome (PWS) experience excess weight gain and severe hyperphagia with food compulsivity, which often leads to early onset morbid obesity. Effective treatments for appetite suppression and weight control are currently unavailable for PWS. Our aim t …","container-title":"Obesity reviews : an official journal of the International Association for the Study of Obesity","DOI":"10.1111/obr.12992","ISSN":"1467-789X","issue":"5","language":"en","note":"publisher: Obes Rev\nPMID: 31889409","source":"pubmed.ncbi.nlm.nih.gov","title":"Current and emerging therapies for managing hyperphagia and obesity in Prader-Willi syndrome: A narrative review","title-short":"Current and emerging therapies for managing hyperphagia and obesity in Prader-Willi syndrome","URL":"https://pubmed.ncbi.nlm.nih.gov/31889409/","volume":"21","author":[{"family":"Q","given":"Tan"},{"family":"Ce","given":"Orsso"},{"family":"Ec","given":"Deehan"},{"family":"L","given":"Triador"},{"family":"Cj","given":"Field"},{"family":"Hm","given":"Tun"},{"family":"Jc","given":"Han"},{"family":"Td","given":"Müller"},{"family":"Am","given":"Haqq"}],"accessed":{"date-parts":[["2023",11,18]]},"issued":{"date-parts":[["2020",12]]}}}],"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[65]</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Η βαριατρική χειρουργική έχει μελετηθεί σε αυτόν τον πληθυσμό ασθενών με τη λαπαροσκοπική γαστρεκτομή </w:t>
      </w:r>
      <w:r>
        <w:rPr>
          <w:rFonts w:eastAsia="Calibri" w:cs="Times-Roman" w:ascii="Times-Roman" w:hAnsi="Times-Roman"/>
          <w:color w:val="18191B"/>
          <w:lang w:val="en-US"/>
        </w:rPr>
        <w:t>sleeve</w:t>
      </w:r>
      <w:r>
        <w:rPr>
          <w:rFonts w:eastAsia="Calibri" w:cs="Times-Roman" w:ascii="Times-Roman" w:hAnsi="Times-Roman"/>
          <w:color w:val="18191B"/>
        </w:rPr>
        <w:t xml:space="preserve"> να βρέθηκε ότι επιτυγχάνει καλύτερα αποτελέσματα από άλλες χειρουργικές επεμβάσεις σε ασθενείς με PWS </w:t>
      </w:r>
      <w:r>
        <w:fldChar w:fldCharType="begin"/>
      </w:r>
      <w:r>
        <w:rPr>
          <w:rFonts w:eastAsia="Calibri" w:cs="Times-Roman" w:ascii="Times-Roman" w:hAnsi="Times-Roman"/>
          <w:color w:val="18191B"/>
        </w:rPr>
        <w:instrText xml:space="preserve">ADDIN ZOTERO_ITEM CSL_CITATION {"citationID":"s3tEkRtt","properties":{"formattedCitation":"[65]","plainCitation":"[65]","noteIndex":0},"citationItems":[{"id":2781,"uris":["http://zotero.org/users/local/WDVvZTBM/items/2SPJWS2W"],"itemData":{"id":2781,"type":"article-journal","abstract":"In early childhood, individuals with Prader-Willi syndrome (PWS) experience excess weight gain and severe hyperphagia with food compulsivity, which often leads to early onset morbid obesity. Effective treatments for appetite suppression and weight control are currently unavailable for PWS. Our aim t …","container-title":"Obesity reviews : an official journal of the International Association for the Study of Obesity","DOI":"10.1111/obr.12992","ISSN":"1467-789X","issue":"5","language":"en","note":"publisher: Obes Rev\nPMID: 31889409","source":"pubmed.ncbi.nlm.nih.gov","title":"Current and emerging therapies for managing hyperphagia and obesity in Prader-Willi syndrome: A narrative review","title-short":"Current and emerging therapies for managing hyperphagia and obesity in Prader-Willi syndrome","URL":"https://pubmed.ncbi.nlm.nih.gov/31889409/","volume":"21","author":[{"family":"Q","given":"Tan"},{"family":"Ce","given":"Orsso"},{"family":"Ec","given":"Deehan"},{"family":"L","given":"Triador"},{"family":"Cj","given":"Field"},{"family":"Hm","given":"Tun"},{"family":"Jc","given":"Han"},{"family":"Td","given":"Müller"},{"family":"Am","given":"Haqq"}],"accessed":{"date-parts":[["2023",11,18]]},"issued":{"date-parts":[["2020",12]]}}}],"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[65]</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Δεδομένης της έλλειψης επιλογών σε παιδιά με PWS, άλλη συνδρομική παχυσαρκία ή με υποθαλαμική παχυσαρκία, οι πιο πρόσφατες οδηγίες της ASMBS παιδιατρικής μεταβολικής και βαριατρικής χειρουργικής συνιστούν ότι η μεταβολική βαριατρική χειρουργική πρέπει να ληφθεί υπόψη, ειδικά όταν υπάρχουν συννοσηρότητες </w:t>
      </w:r>
      <w:r>
        <w:fldChar w:fldCharType="begin"/>
      </w:r>
      <w:r>
        <w:rPr>
          <w:rFonts w:eastAsia="Calibri" w:cs="Times-Roman" w:ascii="Times-Roman" w:hAnsi="Times-Roman"/>
          <w:color w:val="18191B"/>
        </w:rPr>
        <w:instrText xml:space="preserve">ADDIN ZOTERO_ITEM CSL_CITATION {"citationID":"shJCI6uu","properties":{"formattedCitation":"[66]","plainCitation":"[66]","noteIndex":0},"citationItems":[{"id":2783,"uris":["http://zotero.org/users/local/WDVvZTBM/items/SNHKHRNK"],"itemData":{"id":2783,"type":"article-journal","abstract":"The American Society for Metabolic and Bariatric Surgery Pediatric Committee updated their evidence-based guidelines published in 2012, performing a comprehensive literature search (2009-2017) with 1387 articles and other supporting evidence through February 2018. The significant increase in data su …","container-title":"Surgery for obesity and related diseases : official journal of the American Society for Bariatric Surgery","DOI":"10.1016/j.soard.2018.03.019","ISSN":"1878-7533","issue":"7","language":"en","note":"publisher: Surg Obes Relat Dis\nPMID: 30077361","source":"pubmed.ncbi.nlm.nih.gov","title":"ASMBS pediatric metabolic and bariatric surgery guidelines, 2018","URL":"https://pubmed.ncbi.nlm.nih.gov/30077361/","volume":"14","author":[{"family":"Jsa","given":"Pratt"},{"family":"A","given":"Browne"},{"family":"Nt","given":"Browne"},{"family":"M","given":"Bruzoni"},{"family":"M","given":"Cohen"},{"family":"A","given":"Desai"},{"family":"T","given":"Inge"},{"family":"Bc","given":"Linden"},{"family":"Sg","given":"Mattar"},{"family":"M","given":"Michalsky"},{"family":"D","given":"Podkameni"},{"family":"Kw","given":"Reichard"},{"family":"Fc","given":"Stanford"},{"family":"Mh","given":"Zeller"},{"family":"J","given":"Zitsman"}],"accessed":{"date-parts":[["2023",11,18]]},"issued":{"date-parts":[["2018",7]]}}}],"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[66]</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w:t>
      </w:r>
    </w:p>
    <w:p>
      <w:pPr>
        <w:pStyle w:val="Normal"/>
        <w:rPr>
          <w:rFonts w:eastAsia="Calibri"/>
        </w:rPr>
      </w:pPr>
      <w:r>
        <w:rPr>
          <w:rFonts w:eastAsia="Calibri"/>
        </w:rPr>
      </w:r>
    </w:p>
    <w:p>
      <w:pPr>
        <w:pStyle w:val="Heading3"/>
        <w:rPr/>
      </w:pPr>
      <w:bookmarkStart w:id="48" w:name="_Toc154923820"/>
      <w:r>
        <w:rPr/>
        <w:t xml:space="preserve">3.2.2 Το σύνδρομο </w:t>
      </w:r>
      <w:r>
        <w:rPr>
          <w:lang w:val="en-US"/>
        </w:rPr>
        <w:t>Bardet</w:t>
      </w:r>
      <w:r>
        <w:rPr/>
        <w:t>-</w:t>
      </w:r>
      <w:r>
        <w:rPr>
          <w:lang w:val="en-US"/>
        </w:rPr>
        <w:t>Biedl</w:t>
      </w:r>
      <w:r>
        <w:rPr/>
        <w:t xml:space="preserve"> (</w:t>
      </w:r>
      <w:r>
        <w:rPr>
          <w:lang w:val="en-US"/>
        </w:rPr>
        <w:t>BBS</w:t>
      </w:r>
      <w:r>
        <w:rPr/>
        <w:t>)</w:t>
      </w:r>
      <w:bookmarkEnd w:id="48"/>
      <w:r>
        <w:rPr/>
        <w:t xml:space="preserve"> </w:t>
      </w:r>
    </w:p>
    <w:p>
      <w:pPr>
        <w:pStyle w:val="Normal"/>
        <w:spacing w:lineRule="auto" w:line="360"/>
        <w:ind w:firstLine="720"/>
        <w:jc w:val="both"/>
        <w:rPr>
          <w:rFonts w:eastAsia="Calibri"/>
        </w:rPr>
      </w:pPr>
      <w:r>
        <w:rPr>
          <w:rFonts w:eastAsia="Calibri" w:cs="Times-Roman" w:ascii="Times-Roman" w:hAnsi="Times-Roman"/>
          <w:color w:val="18191B"/>
        </w:rPr>
        <w:t xml:space="preserve">Το σύνδρομο Bardet-Biedl (BBS) είναι μια αυτοσωμική υπολειπόμενη βλεφαρική γενετική διαταραχή </w:t>
      </w:r>
      <w:r>
        <w:fldChar w:fldCharType="begin"/>
      </w:r>
      <w:r>
        <w:rPr>
          <w:rFonts w:eastAsia="Calibri" w:cs="Times-Roman" w:ascii="Times-Roman" w:hAnsi="Times-Roman"/>
          <w:color w:val="18191B"/>
        </w:rPr>
        <w:instrText xml:space="preserve">ADDIN ZOTERO_ITEM CSL_CITATION {"citationID":"ptjMdYxw","properties":{"formattedCitation":"[67]","plainCitation":"[67]","noteIndex":0},"citationItems":[{"id":2785,"uris":["http://zotero.org/users/local/WDVvZTBM/items/7BRQSQSI"],"itemData":{"id":2785,"type":"article-journal","abstract":"Obesity is increasing in prevalence in the United States with over 65% of adults considered overweight and 16% of children with BMI &gt; 95 percentile. The heritability of obesity is estimated between 40 and 70%, but the genetics of obesity for most ...","container-title":"Pediatric blood &amp; cancer","DOI":"10.1002/pbc.23372","issue":"1","language":"en","note":"publisher: NIH Public Access\nPMID: 21994130","page":"122","source":"www.ncbi.nlm.nih.gov","title":"An Overview of Mongenic and Syndromic Obesities in Humans","volume":"58","author":[{"family":"Chung","given":"Wendy K."}],"issued":{"date-parts":[["2012",1]]}}}],"schema":"https://github.com/citation-style-language/schema/raw/master/csl-citation.json"}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[67]</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Μπορεί να οδηγήσει σε παχυσαρκία, προβλήματα όρασης (συμπεριλαμβανομένων μελαγχρωστικής αμφιβληστροειδίτιδας και απώλειας όρασης), πολυδακτυλία και υπογοναδισμό. Επιπλέον, συχνά οδηγεί σε νοητική υστέρηση (MR) και νεφρική ανεπάρκεια. Το BBS ήταν κλινική διάγνωση μέχρι τα τελευταία χρόνια οι γενετικές δοκιμές που εντοπίζουν διαφορετικές μεταλλάξεις να έχουν γίνει ευρύτερα διαθέσιμες. Μερικά από τα παθογνωμονικά χαρακτηριστικά του BBS δεν αναπτύσσονται μέχρι τη δεύτερη δεκαετία της ζωής, καθιστώντας την κλινική διάγνωση πιο δύσκολη. Η διάγνωση του συνδρόμου Bardet-Biedl επιβεβαιώνεται με γενετική δοκιμές που αποδεικνύουν μεταλλάξεις σε πολλαπλά γονίδια γνωστά ως γονίδια BBS. Έχουν ταυτοποιηθεί πάνω από 20 γονίδια BBS τις τελευταίες 2 δεκαετίες με μεταλλάξεις που αντιπροσωπεύουν το 80% των περιπτώσεων με κλινική διάγνωση BBS </w:t>
      </w:r>
      <w:r>
        <w:fldChar w:fldCharType="begin"/>
      </w:r>
      <w:r>
        <w:rPr>
          <w:rFonts w:eastAsia="Calibri" w:cs="Times-Roman" w:ascii="Times-Roman" w:hAnsi="Times-Roman"/>
          <w:color w:val="18191B"/>
        </w:rPr>
        <w:instrText xml:space="preserve">ADDIN ZOTERO_ITEM CSL_CITATION {"citationID":"b2upmaod","properties":{"formattedCitation":"[68], [69]","plainCitation":"[68], [69]","noteIndex":0},"citationItems":[{"id":2788,"uris":["http://zotero.org/users/local/WDVvZTBM/items/TIF9FF94"],"itemData":{"id":2788,"type":"article-journal","abstract":"Bardet-Biedl syndrome is a rare autosomal recessive multisystem disorder caused by defects in genes encoding for proteins that localise to the primary cilium. Twenty one disease-causing genes have been identified to date. It is one of the most well studied conditions in the family of diseases caused by defective cilia collectively known as ciliopathies. In this review we provide an update on diagnostic developments, clinical features and progress in the management of Bardet-Biedl syndrome. Advances in diagnostic technologies including exome and whole genome sequencing are expanding the spectrum of patients who are diagnosed with Bardet-Biedl syndrome as well as increasing the number of cases with diagnostic uncertainty. As a result of the diagnostic developments a small number of patients with only one or two clinical features of Bardet-Biedl syndrome are being diagnosed. Our understanding of the syndrome-associated renal disease has evolved and is reviewed here. Novel interventions are developing at a rapid pace and are explored in this review including genetic therapeutics such as gene therapy, exon skipping therapy, nonsense suppression therapy and gene editing. Other non-genetic therapies such as gene repurposing, targeted therapies and non-pharmacological interventions are also discussed.","container-title":"Frontiers in Pediatrics","DOI":"10.3389/fped.2018.00023","ISSN":"2296-2360","journalAbbreviation":"Front. Pediatr.","language":"English","note":"publisher: Frontiers","page":"341380","source":"www.frontiersin.org","title":"Managing Bardet–Biedl Syndrome—Now and in the Future","volume":"6","author":[{"family":"Forsythe","given":"Elizabeth"},{"family":"Kenny","given":"Joanna"},{"family":"Bacchelli","given":"Chiara"},{"family":"Beales","given":"Philip L."}],"issued":{"date-parts":[["2018",2,13]]}}},{"id":2790,"uris":["http://zotero.org/users/local/WDVvZTBM/items/SX6N5VJK"],"itemData":{"id":2790,"type":"article-journal","abstract":"Study Design, Statistical Design, Study Protocols.","container-title":"Contemporary clinical trials communications","DOI":"10.1016/j.conctc.2021.100780","ISSN":"2451-8654","language":"en","note":"publisher: Contemp Clin Trials Commun\nPMID: 34013094","source":"pubmed.ncbi.nlm.nih.gov","title":"The efficacy and safety of setmelanotide in individuals with Bardet-Biedl syndrome or Alström syndrome: Phase 3 trial design","title-short":"The efficacy and safety of setmelanotide in individuals with Bardet-Biedl syndrome or Alström syndrome","URL":"https://pubmed.ncbi.nlm.nih.gov/34013094/","volume":"22","author":[{"family":"Rm","given":"Haws"},{"family":"G","given":"Gordon"},{"family":"Jc","given":"Han"},{"family":"Ja","given":"Yanovski"},{"family":"G","given":"Yuan"},{"family":"Mw","given":"Stewart"}],"accessed":{"date-parts":[["2023",11,18]]},"issued":{"date-parts":[["2021",3,5]]}}}],"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[68], [69]</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Αναπτύχθηκε η σετμελανοτίδη, ένας αγωνιστής υποδοχέας (r</w:t>
      </w:r>
      <w:r>
        <w:rPr>
          <w:rFonts w:eastAsia="Calibri" w:cs="Times-Roman" w:ascii="Times-Roman" w:hAnsi="Times-Roman"/>
          <w:color w:val="18191B"/>
          <w:lang w:val="en-US"/>
        </w:rPr>
        <w:t>eceptor</w:t>
      </w:r>
      <w:r>
        <w:rPr>
          <w:rFonts w:eastAsia="Calibri" w:cs="Times-Roman" w:ascii="Times-Roman" w:hAnsi="Times-Roman"/>
          <w:color w:val="18191B"/>
        </w:rPr>
        <w:t xml:space="preserve"> </w:t>
      </w:r>
      <w:r>
        <w:rPr>
          <w:rFonts w:eastAsia="Calibri" w:cs="Times-Roman" w:ascii="Times-Roman" w:hAnsi="Times-Roman"/>
          <w:color w:val="18191B"/>
          <w:lang w:val="en-US"/>
        </w:rPr>
        <w:t>agonist</w:t>
      </w:r>
      <w:r>
        <w:rPr>
          <w:rFonts w:eastAsia="Calibri" w:cs="Times-Roman" w:ascii="Times-Roman" w:hAnsi="Times-Roman"/>
          <w:color w:val="18191B"/>
        </w:rPr>
        <w:t xml:space="preserve">) μελανοκορτίνης-4 (MC4R) για τη θεραπεία της παχυσαρκίας, εγκρίθηκε </w:t>
      </w:r>
      <w:r>
        <w:rPr>
          <w:rFonts w:eastAsia="Calibri" w:cs="Times-Roman" w:ascii="Times-Roman" w:hAnsi="Times-Roman"/>
          <w:color w:val="18191B"/>
          <w:lang w:val="en-US"/>
        </w:rPr>
        <w:t>pa</w:t>
      </w:r>
      <w:r>
        <w:rPr>
          <w:rFonts w:eastAsia="Calibri" w:cs="Times-Roman" w:ascii="Times-Roman" w:hAnsi="Times-Roman"/>
          <w:color w:val="18191B"/>
        </w:rPr>
        <w:t xml:space="preserve">ό τον FDA το 2022 για χρόνια διαχείριση βάρους σε ασθενείς ηλικίας 6 ετών και άνω  λόγω παχυσαρκίας από BBS </w:t>
      </w:r>
      <w:r>
        <w:fldChar w:fldCharType="begin"/>
      </w:r>
      <w:r>
        <w:rPr>
          <w:rFonts w:eastAsia="Calibri" w:cs="Times-Roman" w:ascii="Times-Roman" w:hAnsi="Times-Roman"/>
          <w:color w:val="18191B"/>
        </w:rPr>
        <w:instrText xml:space="preserve">ADDIN ZOTERO_ITEM CSL_CITATION {"citationID":"r3YzwqgR","properties":{"formattedCitation":"[69]","plainCitation":"[69]","noteIndex":0},"citationItems":[{"id":2790,"uris":["http://zotero.org/users/local/WDVvZTBM/items/SX6N5VJK"],"itemData":{"id":2790,"type":"article-journal","abstract":"Study Design, Statistical Design, Study Protocols.","container-title":"Contemporary clinical trials communications","DOI":"10.1016/j.conctc.2021.100780","ISSN":"2451-8654","language":"en","note":"publisher: Contemp Clin Trials Commun\nPMID: 34013094","source":"pubmed.ncbi.nlm.nih.gov","title":"The efficacy and safety of setmelanotide in individuals with Bardet-Biedl syndrome or Alström syndrome: Phase 3 trial design","title-short":"The efficacy and safety of setmelanotide in individuals with Bardet-Biedl syndrome or Alström syndrome","URL":"https://pubmed.ncbi.nlm.nih.gov/34013094/","volume":"22","author":[{"family":"Rm","given":"Haws"},{"family":"G","given":"Gordon"},{"family":"Jc","given":"Han"},{"family":"Ja","given":"Yanovski"},{"family":"G","given":"Yuan"},{"family":"Mw","given":"Stewart"}],"accessed":{"date-parts":[["2023",11,18]]},"issued":{"date-parts":[["2021",3,5]]}}}],"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[69]</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w:t>
      </w:r>
      <w:bookmarkEnd w:id="24"/>
    </w:p>
    <w:p>
      <w:pPr>
        <w:pStyle w:val="Normal"/>
        <w:rPr>
          <w:rFonts w:eastAsia="Calibri"/>
        </w:rPr>
      </w:pPr>
      <w:r>
        <w:rPr>
          <w:rFonts w:eastAsia="Calibri"/>
        </w:rPr>
      </w:r>
    </w:p>
    <w:p>
      <w:pPr>
        <w:pStyle w:val="Heading3"/>
        <w:rPr/>
      </w:pPr>
      <w:bookmarkStart w:id="49" w:name="_Toc154923821"/>
      <w:r>
        <w:rPr/>
        <w:t>3.2.3 Το σύνδρομο C</w:t>
      </w:r>
      <w:r>
        <w:rPr>
          <w:lang w:val="en-US"/>
        </w:rPr>
        <w:t>ohen</w:t>
      </w:r>
      <w:bookmarkEnd w:id="49"/>
      <w:r>
        <w:rPr/>
        <w:t xml:space="preserve"> </w:t>
      </w:r>
    </w:p>
    <w:p>
      <w:pPr>
        <w:pStyle w:val="Normal"/>
        <w:spacing w:lineRule="auto" w:line="360"/>
        <w:ind w:firstLine="720"/>
        <w:jc w:val="both"/>
        <w:rPr/>
      </w:pPr>
      <w:r>
        <w:rPr>
          <w:rFonts w:eastAsia="Calibri" w:cs="Times-Roman" w:ascii="Times-Roman" w:hAnsi="Times-Roman"/>
          <w:color w:val="18191B"/>
        </w:rPr>
        <w:t xml:space="preserve">Το σύνδρομο Cohen προκύπτει από μεταλλάξεις του χρωμοσώματος 8q22 </w:t>
      </w:r>
      <w:r>
        <w:fldChar w:fldCharType="begin"/>
      </w:r>
      <w:r>
        <w:rPr>
          <w:rFonts w:eastAsia="Calibri" w:cs="Times-Roman" w:ascii="Times-Roman" w:hAnsi="Times-Roman"/>
          <w:color w:val="18191B"/>
        </w:rPr>
        <w:instrText xml:space="preserve">ADDIN ZOTERO_ITEM CSL_CITATION {"citationID":"yJd6ZQOu","properties":{"formattedCitation":"[70]","plainCitation":"[70]","noteIndex":0},"citationItems":[{"id":2793,"uris":["http://zotero.org/users/local/WDVvZTBM/items/XMPA9WYD"],"itemData":{"id":2793,"type":"book","abstract":"Long known as the go-to resource for superbly illustrated, up-to-date coverage in this complex field, Smith's Recognizable Patterns of Human Malformation, 8th Edition, provides a wealth of information on malformation syndromes of environmental and genetic etiology, recognizable disorders of unknown cause, clinical approaches to specific diagnoses, and normal standards of measurement for the entire spectrum of disorders. This award-winning reference is indispensable for clinicians in pediatrics, neonatology, family medicine, and genetics, as well as nurse practitioners and physician assistants—anyone who needs a complete, authoritative, and easy-to-read guide to help accurately diagnose human disorders, establish prognoses, and provide appropriate management and genetic counseling. Includes an easy-to-read description of each condition: Common and occasional abnormalities, natural history, etiology, and references. Opposing pages contain descriptive photographs and line drawings of either an individual with the abnormality or specific features of the abnormality. Contains new coverage of Hennekam Syndrome, Parkes Weber Syndrome, KBG Syndrome, Kosaki Overgrowth, Malan Syndrome, and much more. Arranges disorders based on similarity in overall features, so you can easily navigate to the correct section and compare/contrast similar disorders. Features more than 1,500 full-color photographs and illustrations, many from the personal collections of Drs. Smith and Jones, and others from multiple international collaborators. Provides summarized information in order to understand basic mechanisms of morphogenesis and birth defects and key concepts in genetics and genetic testing—necessary information for counseling patients and parents.","source":"books.google.gr","title":"Smith's Recognizable Patterns of Human Malformation - E-Book","URL":"https://books.google.com/books/about/Smith_s_Recognizable_Patterns_of_Human_M.html?hl=el&amp;id=5wEhEAAAQBAJ","accessed":{"date-parts":[["2023",11,18]]}}}],"schema":"https://github.com/citation-style-language/schema/raw/master/csl-citation.json"}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[70]</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w:t>
      </w:r>
      <w:r>
        <w:rPr>
          <w:rFonts w:eastAsia="Calibri" w:cs="Times-Roman" w:ascii="Times-Roman" w:hAnsi="Times-Roman"/>
          <w:color w:val="18191B"/>
          <w:lang w:val="en-US"/>
        </w:rPr>
        <w:t>M</w:t>
      </w:r>
      <w:r>
        <w:rPr>
          <w:rFonts w:eastAsia="Calibri" w:cs="Times-Roman" w:ascii="Times-Roman" w:hAnsi="Times-Roman"/>
          <w:color w:val="18191B"/>
        </w:rPr>
        <w:t xml:space="preserve">πορεί να οδηγήσει σε παχυσαρκία (μόνο κεντρική παχυσαρκία· άτομα με σύνδρομο Cohen έχουν λεπτά χέρια και πόδια), και παραμορφώσεις κεφαλιού/προσώπου (μικρή γνάθο, κοντή περιοχή μεταξύ της μύτης και του άνω χείλους, ψηλά ανυψωμένος ουρανίσκος). Μερικοί παιδιά με σύνδρομο Cohen παρουσιάζουν επιληπτικές κρίσεις και κώφωση </w:t>
      </w:r>
      <w:r>
        <w:fldChar w:fldCharType="begin"/>
      </w:r>
      <w:r>
        <w:rPr>
          <w:rFonts w:eastAsia="Calibri" w:cs="Times-Roman" w:ascii="Times-Roman" w:hAnsi="Times-Roman"/>
          <w:color w:val="18191B"/>
        </w:rPr>
        <w:instrText xml:space="preserve">ADDIN ZOTERO_ITEM CSL_CITATION {"citationID":"UHgp8RaE","properties":{"formattedCitation":"[70]","plainCitation":"[70]","noteIndex":0},"citationItems":[{"id":2793,"uris":["http://zotero.org/users/local/WDVvZTBM/items/XMPA9WYD"],"itemData":{"id":2793,"type":"book","abstract":"Long known as the go-to resource for superbly illustrated, up-to-date coverage in this complex field, Smith's Recognizable Patterns of Human Malformation, 8th Edition, provides a wealth of information on malformation syndromes of environmental and genetic etiology, recognizable disorders of unknown cause, clinical approaches to specific diagnoses, and normal standards of measurement for the entire spectrum of disorders. This award-winning reference is indispensable for clinicians in pediatrics, neonatology, family medicine, and genetics, as well as nurse practitioners and physician assistants—anyone who needs a complete, authoritative, and easy-to-read guide to help accurately diagnose human disorders, establish prognoses, and provide appropriate management and genetic counseling. Includes an easy-to-read description of each condition: Common and occasional abnormalities, natural history, etiology, and references. Opposing pages contain descriptive photographs and line drawings of either an individual with the abnormality or specific features of the abnormality. Contains new coverage of Hennekam Syndrome, Parkes Weber Syndrome, KBG Syndrome, Kosaki Overgrowth, Malan Syndrome, and much more. Arranges disorders based on similarity in overall features, so you can easily navigate to the correct section and compare/contrast similar disorders. Features more than 1,500 full-color photographs and illustrations, many from the personal collections of Drs. Smith and Jones, and others from multiple international collaborators. Provides summarized information in order to understand basic mechanisms of morphogenesis and birth defects and key concepts in genetics and genetic testing—necessary information for counseling patients and parents.","source":"books.google.gr","title":"Smith's Recognizable Patterns of Human Malformation - E-Book","URL":"https://books.google.com/books/about/Smith_s_Recognizable_Patterns_of_Human_M.html?hl=el&amp;id=5wEhEAAAQBAJ","accessed":{"date-parts":[["2023",11,18]]}}}],"schema":"https://github.com/citation-style-language/schema/raw/master/csl-citation.json"}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[70]</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w:t>
      </w:r>
    </w:p>
    <w:p>
      <w:pPr>
        <w:pStyle w:val="Heading3"/>
        <w:rPr/>
      </w:pPr>
      <w:bookmarkStart w:id="50" w:name="_Toc154923822"/>
      <w:r>
        <w:rPr/>
        <w:t xml:space="preserve">3.2.4 Το σύνδρομο </w:t>
      </w:r>
      <w:r>
        <w:rPr>
          <w:lang w:val="en-US"/>
        </w:rPr>
        <w:t>Beckwith</w:t>
      </w:r>
      <w:r>
        <w:rPr/>
        <w:t>-</w:t>
      </w:r>
      <w:r>
        <w:rPr>
          <w:lang w:val="en-US"/>
        </w:rPr>
        <w:t>Wiedemann</w:t>
      </w:r>
      <w:bookmarkEnd w:id="50"/>
      <w:r>
        <w:rPr/>
        <w:t xml:space="preserve"> </w:t>
      </w:r>
    </w:p>
    <w:p>
      <w:pPr>
        <w:pStyle w:val="Normal"/>
        <w:spacing w:lineRule="auto" w:line="360"/>
        <w:ind w:firstLine="720"/>
        <w:jc w:val="both"/>
        <w:rPr>
          <w:rFonts w:ascii="Times-Roman" w:hAnsi="Times-Roman" w:eastAsia="Calibri" w:cs="Times-Roman"/>
          <w:color w:val="18191B"/>
        </w:rPr>
      </w:pPr>
      <w:r>
        <w:rPr>
          <w:rFonts w:eastAsia="Calibri" w:cs="Times-Roman" w:ascii="Times-Roman" w:hAnsi="Times-Roman"/>
          <w:color w:val="18191B"/>
        </w:rPr>
        <w:t xml:space="preserve">Το σύνδρομο Beckwith-Wiedemann είναι ένας τύπος συνδρόμου εμβρυϊκής υπερανάπτυξης που προκαλείται από μια μετάλλαξη στο χρωμόσωμα 11p15.5 </w:t>
      </w:r>
      <w:r>
        <w:fldChar w:fldCharType="begin"/>
      </w:r>
      <w:r>
        <w:rPr>
          <w:rFonts w:eastAsia="Calibri" w:cs="Times-Roman" w:ascii="Times-Roman" w:hAnsi="Times-Roman"/>
          <w:color w:val="18191B"/>
        </w:rPr>
        <w:instrText xml:space="preserve">ADDIN ZOTERO_ITEM CSL_CITATION {"citationID":"6Uh5oqnB","properties":{"formattedCitation":"[70]","plainCitation":"[70]","noteIndex":0},"citationItems":[{"id":2793,"uris":["http://zotero.org/users/local/WDVvZTBM/items/XMPA9WYD"],"itemData":{"id":2793,"type":"book","abstract":"Long known as the go-to resource for superbly illustrated, up-to-date coverage in this complex field, Smith's Recognizable Patterns of Human Malformation, 8th Edition, provides a wealth of information on malformation syndromes of environmental and genetic etiology, recognizable disorders of unknown cause, clinical approaches to specific diagnoses, and normal standards of measurement for the entire spectrum of disorders. This award-winning reference is indispensable for clinicians in pediatrics, neonatology, family medicine, and genetics, as well as nurse practitioners and physician assistants—anyone who needs a complete, authoritative, and easy-to-read guide to help accurately diagnose human disorders, establish prognoses, and provide appropriate management and genetic counseling. Includes an easy-to-read description of each condition: Common and occasional abnormalities, natural history, etiology, and references. Opposing pages contain descriptive photographs and line drawings of either an individual with the abnormality or specific features of the abnormality. Contains new coverage of Hennekam Syndrome, Parkes Weber Syndrome, KBG Syndrome, Kosaki Overgrowth, Malan Syndrome, and much more. Arranges disorders based on similarity in overall features, so you can easily navigate to the correct section and compare/contrast similar disorders. Features more than 1,500 full-color photographs and illustrations, many from the personal collections of Drs. Smith and Jones, and others from multiple international collaborators. Provides summarized information in order to understand basic mechanisms of morphogenesis and birth defects and key concepts in genetics and genetic testing—necessary information for counseling patients and parents.","source":"books.google.gr","title":"Smith's Recognizable Patterns of Human Malformation - E-Book","URL":"https://books.google.com/books/about/Smith_s_Recognizable_Patterns_of_Human_M.html?hl=el&amp;id=5wEhEAAAQBAJ","accessed":{"date-parts":[["2023",11,18]]}}}],"schema":"https://github.com/citation-style-language/schema/raw/master/csl-citation.json"}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[70]</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Μπορεί να προκαλέσει μακρογλωσσία, ηπατοσπληνομεγαλία και/ή νεφρομεγαλία. Παράμετροι ανάπτυξης συνήθως δείχνουν ύψος και βάρος πάνω από το 95ο εκατοστημόριο και η υπογλυκαιμία είναι παρούσα στο 30-50% των μωρών με Beckwith-Wiedemann </w:t>
      </w:r>
      <w:r>
        <w:fldChar w:fldCharType="begin"/>
      </w:r>
      <w:r>
        <w:rPr>
          <w:rFonts w:eastAsia="Calibri" w:cs="Times-Roman" w:ascii="Times-Roman" w:hAnsi="Times-Roman"/>
          <w:color w:val="18191B"/>
        </w:rPr>
        <w:instrText xml:space="preserve">ADDIN ZOTERO_ITEM CSL_CITATION {"citationID":"FWUvL343","properties":{"formattedCitation":"[70]","plainCitation":"[70]","noteIndex":0},"citationItems":[{"id":2793,"uris":["http://zotero.org/users/local/WDVvZTBM/items/XMPA9WYD"],"itemData":{"id":2793,"type":"book","abstract":"Long known as the go-to resource for superbly illustrated, up-to-date coverage in this complex field, Smith's Recognizable Patterns of Human Malformation, 8th Edition, provides a wealth of information on malformation syndromes of environmental and genetic etiology, recognizable disorders of unknown cause, clinical approaches to specific diagnoses, and normal standards of measurement for the entire spectrum of disorders. This award-winning reference is indispensable for clinicians in pediatrics, neonatology, family medicine, and genetics, as well as nurse practitioners and physician assistants—anyone who needs a complete, authoritative, and easy-to-read guide to help accurately diagnose human disorders, establish prognoses, and provide appropriate management and genetic counseling. Includes an easy-to-read description of each condition: Common and occasional abnormalities, natural history, etiology, and references. Opposing pages contain descriptive photographs and line drawings of either an individual with the abnormality or specific features of the abnormality. Contains new coverage of Hennekam Syndrome, Parkes Weber Syndrome, KBG Syndrome, Kosaki Overgrowth, Malan Syndrome, and much more. Arranges disorders based on similarity in overall features, so you can easily navigate to the correct section and compare/contrast similar disorders. Features more than 1,500 full-color photographs and illustrations, many from the personal collections of Drs. Smith and Jones, and others from multiple international collaborators. Provides summarized information in order to understand basic mechanisms of morphogenesis and birth defects and key concepts in genetics and genetic testing—necessary information for counseling patients and parents.","source":"books.google.gr","title":"Smith's Recognizable Patterns of Human Malformation - E-Book","URL":"https://books.google.com/books/about/Smith_s_Recognizable_Patterns_of_Human_M.html?hl=el&amp;id=5wEhEAAAQBAJ","accessed":{"date-parts":[["2023",11,18]]}}}],"schema":"https://github.com/citation-style-language/schema/raw/master/csl-citation.json"}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[70]</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Άτομα με σύνδρομο Beckwith-Wiedemann επίσης έχουν προδιάθεση για ανάπτυξη όγκου. Η επιτήρηση των νοσούντων από το σύνδρομ παιδιών θα πρέπει να περιλαμβάνει υπερηχογράφημα κοιλίας και παρακολούθηση των επιπέδων άλφα-εμβρυοπρωτεΐνης (AFP) </w:t>
      </w:r>
      <w:r>
        <w:fldChar w:fldCharType="begin"/>
      </w:r>
      <w:r>
        <w:rPr>
          <w:rFonts w:eastAsia="Calibri" w:cs="Times-Roman" w:ascii="Times-Roman" w:hAnsi="Times-Roman"/>
          <w:color w:val="18191B"/>
        </w:rPr>
        <w:instrText xml:space="preserve">ADDIN ZOTERO_ITEM CSL_CITATION {"citationID":"Pmxpo19d","properties":{"formattedCitation":"[70]","plainCitation":"[70]","noteIndex":0},"citationItems":[{"id":2793,"uris":["http://zotero.org/users/local/WDVvZTBM/items/XMPA9WYD"],"itemData":{"id":2793,"type":"book","abstract":"Long known as the go-to resource for superbly illustrated, up-to-date coverage in this complex field, Smith's Recognizable Patterns of Human Malformation, 8th Edition, provides a wealth of information on malformation syndromes of environmental and genetic etiology, recognizable disorders of unknown cause, clinical approaches to specific diagnoses, and normal standards of measurement for the entire spectrum of disorders. This award-winning reference is indispensable for clinicians in pediatrics, neonatology, family medicine, and genetics, as well as nurse practitioners and physician assistants—anyone who needs a complete, authoritative, and easy-to-read guide to help accurately diagnose human disorders, establish prognoses, and provide appropriate management and genetic counseling. Includes an easy-to-read description of each condition: Common and occasional abnormalities, natural history, etiology, and references. Opposing pages contain descriptive photographs and line drawings of either an individual with the abnormality or specific features of the abnormality. Contains new coverage of Hennekam Syndrome, Parkes Weber Syndrome, KBG Syndrome, Kosaki Overgrowth, Malan Syndrome, and much more. Arranges disorders based on similarity in overall features, so you can easily navigate to the correct section and compare/contrast similar disorders. Features more than 1,500 full-color photographs and illustrations, many from the personal collections of Drs. Smith and Jones, and others from multiple international collaborators. Provides summarized information in order to understand basic mechanisms of morphogenesis and birth defects and key concepts in genetics and genetic testing—necessary information for counseling patients and parents.","source":"books.google.gr","title":"Smith's Recognizable Patterns of Human Malformation - E-Book","URL":"https://books.google.com/books/about/Smith_s_Recognizable_Patterns_of_Human_M.html?hl=el&amp;id=5wEhEAAAQBAJ","accessed":{"date-parts":[["2023",11,18]]}}}],"schema":"https://github.com/citation-style-language/schema/raw/master/csl-citation.json"}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[70]</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w:t>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Heading3"/>
        <w:rPr/>
      </w:pPr>
      <w:bookmarkStart w:id="51" w:name="_Toc154923823"/>
      <w:r>
        <w:rPr/>
        <w:t xml:space="preserve">3.2.5 Κληρονομική οστεοδυστροφία </w:t>
      </w:r>
      <w:r>
        <w:rPr>
          <w:lang w:val="en-US"/>
        </w:rPr>
        <w:t>Albright</w:t>
      </w:r>
      <w:bookmarkEnd w:id="51"/>
      <w:r>
        <w:rPr/>
        <w:t xml:space="preserve"> </w:t>
      </w:r>
    </w:p>
    <w:p>
      <w:pPr>
        <w:pStyle w:val="Normal"/>
        <w:spacing w:lineRule="auto" w:line="360"/>
        <w:ind w:firstLine="720"/>
        <w:jc w:val="both"/>
        <w:rPr>
          <w:rFonts w:ascii="Times-Roman" w:hAnsi="Times-Roman" w:eastAsia="Calibri" w:cs="Times-Roman"/>
          <w:color w:val="18191B"/>
        </w:rPr>
      </w:pPr>
      <w:r>
        <w:rPr>
          <w:rFonts w:eastAsia="Calibri" w:cs="Times-Roman" w:ascii="Times-Roman" w:hAnsi="Times-Roman"/>
          <w:color w:val="18191B"/>
        </w:rPr>
        <w:t xml:space="preserve">Η κληρονομική οστεοδυστροφία του Albright είναι μια αυτοσωματική επικρατούσα διαταραχή που προκαλείται από μεταλλάξεις στο γονίδιο GNAS που οδηγοεί σε κοντό ανάστημα, σκελετικά ελαττώματα και βραχύτητα στο 4ο και 5ο μετακάρπιο </w:t>
      </w:r>
      <w:r>
        <w:fldChar w:fldCharType="begin"/>
      </w:r>
      <w:r>
        <w:rPr>
          <w:rFonts w:eastAsia="Calibri" w:cs="Times-Roman" w:ascii="Times-Roman" w:hAnsi="Times-Roman"/>
          <w:color w:val="18191B"/>
        </w:rPr>
        <w:instrText xml:space="preserve">ADDIN ZOTERO_ITEM CSL_CITATION {"citationID":"gTBImLw2","properties":{"formattedCitation":"[70]","plainCitation":"[70]","noteIndex":0},"citationItems":[{"id":2793,"uris":["http://zotero.org/users/local/WDVvZTBM/items/XMPA9WYD"],"itemData":{"id":2793,"type":"book","abstract":"Long known as the go-to resource for superbly illustrated, up-to-date coverage in this complex field, Smith's Recognizable Patterns of Human Malformation, 8th Edition, provides a wealth of information on malformation syndromes of environmental and genetic etiology, recognizable disorders of unknown cause, clinical approaches to specific diagnoses, and normal standards of measurement for the entire spectrum of disorders. This award-winning reference is indispensable for clinicians in pediatrics, neonatology, family medicine, and genetics, as well as nurse practitioners and physician assistants—anyone who needs a complete, authoritative, and easy-to-read guide to help accurately diagnose human disorders, establish prognoses, and provide appropriate management and genetic counseling. Includes an easy-to-read description of each condition: Common and occasional abnormalities, natural history, etiology, and references. Opposing pages contain descriptive photographs and line drawings of either an individual with the abnormality or specific features of the abnormality. Contains new coverage of Hennekam Syndrome, Parkes Weber Syndrome, KBG Syndrome, Kosaki Overgrowth, Malan Syndrome, and much more. Arranges disorders based on similarity in overall features, so you can easily navigate to the correct section and compare/contrast similar disorders. Features more than 1,500 full-color photographs and illustrations, many from the personal collections of Drs. Smith and Jones, and others from multiple international collaborators. Provides summarized information in order to understand basic mechanisms of morphogenesis and birth defects and key concepts in genetics and genetic testing—necessary information for counseling patients and parents.","source":"books.google.gr","title":"Smith's Recognizable Patterns of Human Malformation - E-Book","URL":"https://books.google.com/books/about/Smith_s_Recognizable_Patterns_of_Human_M.html?hl=el&amp;id=5wEhEAAAQBAJ","accessed":{"date-parts":[["2023",11,18]]}}}],"schema":"https://github.com/citation-style-language/schema/raw/master/csl-citation.json"}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[70]</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Ασθενείς με την κληρονομική οστεοδυστροφία του Albright μπορεί επίσης να έχουν μιεωμένη όσφρηση, αναπτυξιακές καθυστερήσεις και αντίσταση σε αρκετές ορμόνες που ενεργοποιούν πρωτεΐνες σε ιστούς όπως η παραθυρεοειδική ορμόνη </w:t>
      </w:r>
      <w:r>
        <w:fldChar w:fldCharType="begin"/>
      </w:r>
      <w:r>
        <w:rPr>
          <w:rFonts w:eastAsia="Calibri" w:cs="Times-Roman" w:ascii="Times-Roman" w:hAnsi="Times-Roman"/>
          <w:color w:val="18191B"/>
        </w:rPr>
        <w:instrText xml:space="preserve">ADDIN ZOTERO_ITEM CSL_CITATION {"citationID":"8UWI1zzX","properties":{"formattedCitation":"[63], [70]","plainCitation":"[63], [70]","noteIndex":0},"citationItems":[{"id":2777,"uris":["http://zotero.org/users/local/WDVvZTBM/items/RITK38W3"],"itemData":{"id":2777,"type":"book","abstract":"This revised edition of Charles Brook's Handbook of Clinical Pediatric Endocrinology provides endocrinologists and pediatricians in training with a fully up-to-date clinical guide presenting evidence-based practice in the diagnosis, treatment, and management of pediatric endocrine disorders. New chapters include “Endocrine complications of chronic disease” and “Endocrine neoplasia.” In addition, the chapter structure has been revamped for easier access and now includes: a key points overview, multiple-choice questions for self-assessment, common errors/pitffalls (in treatment, diagnosis, etc.) boxes, a key weblinks box, a table comparing different society guidelines, diagnostic decision trees, therapeutics decision trees, and a summary.","source":"books.google.gr","title":"Handbook of Clinical Pediatric Endocrinology","URL":"https://books.google.com/books/about/Handbook_of_Clinical_Pediatric_Endocrino.html?hl=el&amp;id=G7dvgevvLVEC","accessed":{"date-parts":[["2023",11,18]]}}},{"id":2793,"uris":["http://zotero.org/users/local/WDVvZTBM/items/XMPA9WYD"],"itemData":{"id":2793,"type":"book","abstract":"Long known as the go-to resource for superbly illustrated, up-to-date coverage in this complex field, Smith's Recognizable Patterns of Human Malformation, 8th Edition, provides a wealth of information on malformation syndromes of environmental and genetic etiology, recognizable disorders of unknown cause, clinical approaches to specific diagnoses, and normal standards of measurement for the entire spectrum of disorders. This award-winning reference is indispensable for clinicians in pediatrics, neonatology, family medicine, and genetics, as well as nurse practitioners and physician assistants—anyone who needs a complete, authoritative, and easy-to-read guide to help accurately diagnose human disorders, establish prognoses, and provide appropriate management and genetic counseling. Includes an easy-to-read description of each condition: Common and occasional abnormalities, natural history, etiology, and references. Opposing pages contain descriptive photographs and line drawings of either an individual with the abnormality or specific features of the abnormality. Contains new coverage of Hennekam Syndrome, Parkes Weber Syndrome, KBG Syndrome, Kosaki Overgrowth, Malan Syndrome, and much more. Arranges disorders based on similarity in overall features, so you can easily navigate to the correct section and compare/contrast similar disorders. Features more than 1,500 full-color photographs and illustrations, many from the personal collections of Drs. Smith and Jones, and others from multiple international collaborators. Provides summarized information in order to understand basic mechanisms of morphogenesis and birth defects and key concepts in genetics and genetic testing—necessary information for counseling patients and parents.","source":"books.google.gr","title":"Smith's Recognizable Patterns of Human Malformation - E-Book","URL":"https://books.google.com/books/about/Smith_s_Recognizable_Patterns_of_Human_M.html?hl=el&amp;id=5wEhEAAAQBAJ","accessed":{"date-parts":[["2023",11,18]]}}}],"schema":"https://github.com/citation-style-language/schema/raw/master/csl-citation.json"}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[63], [70]</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w:t>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Heading3"/>
        <w:rPr/>
      </w:pPr>
      <w:bookmarkStart w:id="52" w:name="_Toc154923824"/>
      <w:r>
        <w:rPr/>
        <w:t xml:space="preserve">3.2.6 Το σύνδρομο </w:t>
      </w:r>
      <w:r>
        <w:rPr>
          <w:lang w:val="en-US"/>
        </w:rPr>
        <w:t>Alstrom</w:t>
      </w:r>
      <w:bookmarkEnd w:id="52"/>
    </w:p>
    <w:p>
      <w:pPr>
        <w:pStyle w:val="Normal"/>
        <w:spacing w:lineRule="auto" w:line="360"/>
        <w:ind w:firstLine="720"/>
        <w:jc w:val="both"/>
        <w:rPr>
          <w:rFonts w:ascii="Times-Roman" w:hAnsi="Times-Roman" w:eastAsia="Calibri" w:cs="Times-Roman"/>
          <w:color w:val="18191B"/>
        </w:rPr>
      </w:pPr>
      <w:r>
        <w:rPr>
          <w:rFonts w:eastAsia="Calibri" w:cs="Times-Roman" w:ascii="Times-Roman" w:hAnsi="Times-Roman"/>
          <w:color w:val="18191B"/>
        </w:rPr>
        <w:t xml:space="preserve">Το σύνδρομο Alstrom είναι μια πολύ σπάνια γενετική διαταραχή που προκύπτει από μια γονιδιακή μετάλλαξη ALMS1 </w:t>
      </w:r>
      <w:r>
        <w:fldChar w:fldCharType="begin"/>
      </w:r>
      <w:r>
        <w:rPr>
          <w:rFonts w:eastAsia="Calibri" w:cs="Times-Roman" w:ascii="Times-Roman" w:hAnsi="Times-Roman"/>
          <w:color w:val="18191B"/>
        </w:rPr>
        <w:instrText xml:space="preserve">ADDIN ZOTERO_ITEM CSL_CITATION {"citationID":"fG8nfvsg","properties":{"formattedCitation":"[67]","plainCitation":"[67]","noteIndex":0},"citationItems":[{"id":2785,"uris":["http://zotero.org/users/local/WDVvZTBM/items/7BRQSQSI"],"itemData":{"id":2785,"type":"article-journal","abstract":"Obesity is increasing in prevalence in the United States with over 65% of adults considered overweight and 16% of children with BMI &gt; 95 percentile. The heritability of obesity is estimated between 40 and 70%, but the genetics of obesity for most ...","container-title":"Pediatric blood &amp; cancer","DOI":"10.1002/pbc.23372","issue":"1","language":"en","note":"publisher: NIH Public Access\nPMID: 21994130","page":"122","source":"www.ncbi.nlm.nih.gov","title":"An Overview of Mongenic and Syndromic Obesities in Humans","volume":"58","author":[{"family":"Chung","given":"Wendy K."}],"issued":{"date-parts":[["2012",1]]}}}],"schema":"https://github.com/citation-style-language/schema/raw/master/csl-citation.json"}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[67]</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Μπορεί να οδηγήσει σε παιδική παχυσαρκία, τύφλωση, και απώλεια ακοής. Επιπλέον, κοινά συμπτώματα περιλαμβάνουν φωτοφοβία, νυσταγμό και κώφωση. Τα παιδιά με αυτή τη διαταραχή μπορεί να έχουν ενδοκρινικά θέματα όπως ο διαβήτης τύπου II, η υψηλή ινσουλίνη και τα υψηλά τριγλυκερίδια </w:t>
      </w:r>
      <w:r>
        <w:fldChar w:fldCharType="begin"/>
      </w:r>
      <w:r>
        <w:rPr>
          <w:rFonts w:eastAsia="Calibri" w:cs="Times-Roman" w:ascii="Times-Roman" w:hAnsi="Times-Roman"/>
          <w:color w:val="18191B"/>
        </w:rPr>
        <w:instrText xml:space="preserve">ADDIN ZOTERO_ITEM CSL_CITATION {"citationID":"VSJgu1RM","properties":{"formattedCitation":"[67]","plainCitation":"[67]","noteIndex":0},"citationItems":[{"id":2785,"uris":["http://zotero.org/users/local/WDVvZTBM/items/7BRQSQSI"],"itemData":{"id":2785,"type":"article-journal","abstract":"Obesity is increasing in prevalence in the United States with over 65% of adults considered overweight and 16% of children with BMI &gt; 95 percentile. The heritability of obesity is estimated between 40 and 70%, but the genetics of obesity for most ...","container-title":"Pediatric blood &amp; cancer","DOI":"10.1002/pbc.23372","issue":"1","language":"en","note":"publisher: NIH Public Access\nPMID: 21994130","page":"122","source":"www.ncbi.nlm.nih.gov","title":"An Overview of Mongenic and Syndromic Obesities in Humans","volume":"58","author":[{"family":"Chung","given":"Wendy K."}],"issued":{"date-parts":[["2012",1]]}}}],"schema":"https://github.com/citation-style-language/schema/raw/master/csl-citation.json"}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[67]</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w:t>
      </w:r>
    </w:p>
    <w:p>
      <w:pPr>
        <w:pStyle w:val="Caption1"/>
        <w:keepNext w:val="true"/>
        <w:jc w:val="center"/>
        <w:rPr/>
      </w:pPr>
      <w:bookmarkStart w:id="53" w:name="_Toc151291300"/>
      <w:r>
        <w:rPr/>
        <w:t xml:space="preserve">Πίνακας </w:t>
      </w:r>
      <w:r>
        <w:rPr/>
        <w:fldChar w:fldCharType="begin"/>
      </w:r>
      <w:r>
        <w:rPr/>
        <w:instrText xml:space="preserve"> SEQ Πίνακας \* ARABIC </w:instrText>
      </w:r>
      <w:r>
        <w:rPr/>
        <w:fldChar w:fldCharType="separate"/>
      </w:r>
      <w:r>
        <w:rPr/>
        <w:t>1</w:t>
      </w:r>
      <w:r>
        <w:rPr/>
        <w:fldChar w:fldCharType="end"/>
      </w:r>
      <w:r>
        <w:rPr/>
        <w:t xml:space="preserve">: </w:t>
      </w:r>
      <w:r>
        <w:rPr>
          <w:b w:val="false"/>
          <w:bCs w:val="false"/>
          <w:i/>
          <w:iCs/>
        </w:rPr>
        <w:t>Οι πιο κοινές μορφές συνδρομικής παχυσαρκίας</w:t>
      </w:r>
      <w:r>
        <w:fldChar w:fldCharType="begin"/>
      </w:r>
      <w:r>
        <w:rPr>
          <w:i/>
          <w:b w:val="false"/>
          <w:iCs/>
          <w:bCs w:val="false"/>
        </w:rPr>
        <w:instrText xml:space="preserve">ADDIN ZOTERO_ITEM CSL_CITATION {"citationID":"BgmQTCzQ","properties":{"formattedCitation":"[71]","plainCitation":"[71]","noteIndex":0},"citationItems":[{"id":2420,"uris":["http://zotero.org/users/local/WDVvZTBM/items/TZVACEE6"],"itemData":{"id":2420,"type":"article-journal","abstract":"Obesity represents a major health burden to both developed and developing countries. Furthermore, the incidence of obesity is increasing in children. Obesity contributes substantially to mortality in the United States by increasing the risk for type 2 diabetes, cardiovascular-related diseases, and other comorbidities. Despite environmental changes over past decades, including increases in high-calorie foods and sedentary lifestyles, there is very clear evidence of a genetic predisposition to obesity risk. Childhood obesity cases can be categorized in one of two ways: syndromic or non-syndromic. Syndromic obesity includes disorders such as PraderWilli syndrome, Bardet-Biedl syndrome, and Alström syndrome. Non-syndromic cases of obesity can be further separated into rarer instances of monogenic obesity and much more common forms of polygenic obesity. The advent of genome-wide association studies (GWAS) and next-generation sequencing has driven significant advances in our understanding of the genetic contribution to childhood obesity. Many rare and common genetic variants have been shown to contribute to the heritability in obesity, although the molecular mechanisms underlying most of these variants remain unclear. An important caveat of GWAS efforts is that they do not strictly represent gene target discoveries, rather simply the uncovering of robust genetic signals. One clear example of this is with progress in understanding the key obesity signal harbored within an intronic region of the FTO gene. It has been shown that the non-coding region in which the variant actually resides in fact influences the expression of genes distal to FTO instead, specifically IRX3 and IRX5. Such discoveries suggest that associated non-coding variants can be embedded within or next to one gene, but commonly influence the expression of other, more distal effector genes. Advances in genetics and genomics are therefore contributing to a deeper understanding of childhood obesity, allowing for development of clinical tools and therapeutic agents.","container-title":"Molecular Diagnosis &amp; Therapy","DOI":"10.1007/s40291-020-00496-1","ISSN":"1177-1062, 1179-2000","issue":"6","journalAbbreviation":"Mol Diagn Ther","language":"en","page":"653-663","source":"DOI.org (Crossref)","title":"Genetic Determinants of Childhood Obesity","volume":"24","author":[{"family":"Littleton","given":"Sheridan H."},{"family":"Berkowitz","given":"Robert I."},{"family":"Grant","given":"Struan F. A."}],"issued":{"date-parts":[["2020",12]]}}}],"schema":"https://github.com/citation-style-language/schema/raw/master/csl-citation.json"}</w:instrText>
      </w:r>
      <w:r>
        <w:rPr>
          <w:b w:val="false"/>
          <w:bCs w:val="false"/>
          <w:i/>
          <w:iCs/>
        </w:rPr>
      </w:r>
      <w:r>
        <w:rPr>
          <w:i/>
          <w:b w:val="false"/>
          <w:iCs/>
          <w:bCs w:val="false"/>
        </w:rPr>
        <w:fldChar w:fldCharType="separate"/>
      </w:r>
      <w:r>
        <w:rPr>
          <w:b w:val="false"/>
          <w:bCs w:val="false"/>
          <w:i/>
          <w:iCs/>
        </w:rPr>
        <w:t>[71]</w:t>
      </w:r>
      <w:r>
        <w:rPr>
          <w:b w:val="false"/>
          <w:bCs w:val="false"/>
          <w:i/>
          <w:iCs/>
        </w:rPr>
      </w:r>
      <w:r>
        <w:rPr>
          <w:i/>
          <w:b w:val="false"/>
          <w:iCs/>
          <w:bCs w:val="false"/>
        </w:rPr>
        <w:fldChar w:fldCharType="end"/>
      </w:r>
      <w:r>
        <w:rPr>
          <w:b w:val="false"/>
          <w:bCs w:val="false"/>
          <w:i/>
          <w:iCs/>
        </w:rPr>
        <w:t>.</w:t>
      </w:r>
      <w:bookmarkEnd w:id="53"/>
    </w:p>
    <w:tbl>
      <w:tblPr>
        <w:tblStyle w:val="ae"/>
        <w:tblW w:w="8303"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257"/>
        <w:gridCol w:w="1614"/>
        <w:gridCol w:w="1406"/>
        <w:gridCol w:w="1524"/>
        <w:gridCol w:w="1430"/>
        <w:gridCol w:w="1071"/>
      </w:tblGrid>
      <w:tr>
        <w:trPr/>
        <w:tc>
          <w:tcPr>
            <w:tcW w:w="1257" w:type="dxa"/>
            <w:tcBorders/>
            <w:shd w:color="auto" w:fill="BFBFBF" w:themeFill="background1" w:themeFillShade="bf" w:val="clear"/>
            <w:vAlign w:val="center"/>
          </w:tcPr>
          <w:p>
            <w:pPr>
              <w:pStyle w:val="Normal"/>
              <w:widowControl/>
              <w:spacing w:before="0" w:after="0"/>
              <w:jc w:val="center"/>
              <w:rPr>
                <w:b/>
                <w:bCs/>
                <w:sz w:val="20"/>
                <w:szCs w:val="20"/>
              </w:rPr>
            </w:pPr>
            <w:r>
              <w:rPr>
                <w:rFonts w:eastAsia="Calibri" w:cs="Times New Roman"/>
                <w:b/>
                <w:bCs/>
                <w:kern w:val="0"/>
                <w:sz w:val="20"/>
                <w:szCs w:val="20"/>
                <w:lang w:val="el-GR" w:eastAsia="el-GR" w:bidi="ar-SA"/>
              </w:rPr>
              <w:t>Syndrome</w:t>
            </w:r>
          </w:p>
        </w:tc>
        <w:tc>
          <w:tcPr>
            <w:tcW w:w="1614" w:type="dxa"/>
            <w:tcBorders/>
            <w:shd w:color="auto" w:fill="BFBFBF" w:themeFill="background1" w:themeFillShade="bf" w:val="clear"/>
            <w:vAlign w:val="center"/>
          </w:tcPr>
          <w:p>
            <w:pPr>
              <w:pStyle w:val="Normal"/>
              <w:widowControl/>
              <w:spacing w:before="0" w:after="0"/>
              <w:jc w:val="center"/>
              <w:rPr>
                <w:b/>
                <w:bCs/>
                <w:sz w:val="20"/>
                <w:szCs w:val="20"/>
              </w:rPr>
            </w:pPr>
            <w:r>
              <w:rPr>
                <w:rFonts w:eastAsia="Calibri" w:cs="Times New Roman"/>
                <w:b/>
                <w:bCs/>
                <w:kern w:val="0"/>
                <w:sz w:val="20"/>
                <w:szCs w:val="20"/>
                <w:lang w:val="el-GR" w:eastAsia="el-GR" w:bidi="ar-SA"/>
              </w:rPr>
              <w:t>Prevalence</w:t>
            </w:r>
          </w:p>
        </w:tc>
        <w:tc>
          <w:tcPr>
            <w:tcW w:w="1406" w:type="dxa"/>
            <w:tcBorders/>
            <w:shd w:color="auto" w:fill="BFBFBF" w:themeFill="background1" w:themeFillShade="bf" w:val="clear"/>
            <w:vAlign w:val="center"/>
          </w:tcPr>
          <w:p>
            <w:pPr>
              <w:pStyle w:val="Normal"/>
              <w:widowControl/>
              <w:spacing w:before="0" w:after="0"/>
              <w:jc w:val="center"/>
              <w:rPr>
                <w:b/>
                <w:bCs/>
                <w:sz w:val="20"/>
                <w:szCs w:val="20"/>
              </w:rPr>
            </w:pPr>
            <w:r>
              <w:rPr>
                <w:rFonts w:eastAsia="Calibri" w:cs="Times New Roman"/>
                <w:b/>
                <w:bCs/>
                <w:kern w:val="0"/>
                <w:sz w:val="20"/>
                <w:szCs w:val="20"/>
                <w:lang w:val="el-GR" w:eastAsia="el-GR" w:bidi="ar-SA"/>
              </w:rPr>
              <w:t>Implicated gene(s)</w:t>
            </w:r>
          </w:p>
        </w:tc>
        <w:tc>
          <w:tcPr>
            <w:tcW w:w="1524" w:type="dxa"/>
            <w:tcBorders/>
            <w:shd w:color="auto" w:fill="BFBFBF" w:themeFill="background1" w:themeFillShade="bf" w:val="clear"/>
            <w:vAlign w:val="center"/>
          </w:tcPr>
          <w:p>
            <w:pPr>
              <w:pStyle w:val="Normal"/>
              <w:widowControl/>
              <w:spacing w:before="0" w:after="0"/>
              <w:jc w:val="center"/>
              <w:rPr>
                <w:b/>
                <w:bCs/>
                <w:sz w:val="20"/>
                <w:szCs w:val="20"/>
              </w:rPr>
            </w:pPr>
            <w:r>
              <w:rPr>
                <w:rFonts w:eastAsia="Calibri" w:cs="Times New Roman"/>
                <w:b/>
                <w:bCs/>
                <w:kern w:val="0"/>
                <w:sz w:val="20"/>
                <w:szCs w:val="20"/>
                <w:lang w:val="el-GR" w:eastAsia="el-GR" w:bidi="ar-SA"/>
              </w:rPr>
              <w:t>Phenotypes</w:t>
            </w:r>
          </w:p>
        </w:tc>
        <w:tc>
          <w:tcPr>
            <w:tcW w:w="1430" w:type="dxa"/>
            <w:tcBorders/>
            <w:shd w:color="auto" w:fill="BFBFBF" w:themeFill="background1" w:themeFillShade="bf" w:val="clear"/>
            <w:vAlign w:val="center"/>
          </w:tcPr>
          <w:p>
            <w:pPr>
              <w:pStyle w:val="Normal"/>
              <w:widowControl/>
              <w:spacing w:before="0" w:after="0"/>
              <w:jc w:val="center"/>
              <w:rPr>
                <w:b/>
                <w:bCs/>
                <w:sz w:val="20"/>
                <w:szCs w:val="20"/>
              </w:rPr>
            </w:pPr>
            <w:r>
              <w:rPr>
                <w:rFonts w:eastAsia="Calibri" w:cs="Times New Roman"/>
                <w:b/>
                <w:bCs/>
                <w:kern w:val="0"/>
                <w:sz w:val="20"/>
                <w:szCs w:val="20"/>
                <w:lang w:val="el-GR" w:eastAsia="el-GR" w:bidi="ar-SA"/>
              </w:rPr>
              <w:t>Genetic testing for diagnosis</w:t>
            </w:r>
          </w:p>
        </w:tc>
        <w:tc>
          <w:tcPr>
            <w:tcW w:w="1071" w:type="dxa"/>
            <w:tcBorders/>
            <w:shd w:color="auto" w:fill="BFBFBF" w:themeFill="background1" w:themeFillShade="bf" w:val="clear"/>
            <w:vAlign w:val="center"/>
          </w:tcPr>
          <w:p>
            <w:pPr>
              <w:pStyle w:val="Normal"/>
              <w:widowControl/>
              <w:spacing w:before="0" w:after="0"/>
              <w:jc w:val="center"/>
              <w:rPr>
                <w:rFonts w:eastAsia="Calibri"/>
                <w:b/>
                <w:bCs/>
                <w:sz w:val="20"/>
                <w:szCs w:val="20"/>
                <w:lang w:val="en-US"/>
              </w:rPr>
            </w:pPr>
            <w:r>
              <w:rPr>
                <w:rFonts w:eastAsia="Calibri" w:cs="Times New Roman"/>
                <w:b/>
                <w:bCs/>
                <w:kern w:val="0"/>
                <w:sz w:val="20"/>
                <w:szCs w:val="20"/>
                <w:lang w:val="en-US" w:eastAsia="el-GR" w:bidi="ar-SA"/>
              </w:rPr>
              <w:t>Reference</w:t>
            </w:r>
          </w:p>
        </w:tc>
      </w:tr>
      <w:tr>
        <w:trPr/>
        <w:tc>
          <w:tcPr>
            <w:tcW w:w="1257" w:type="dxa"/>
            <w:tcBorders/>
            <w:vAlign w:val="center"/>
          </w:tcPr>
          <w:p>
            <w:pPr>
              <w:pStyle w:val="Normal"/>
              <w:widowControl/>
              <w:spacing w:before="0" w:after="0"/>
              <w:jc w:val="center"/>
              <w:rPr>
                <w:b/>
                <w:bCs/>
                <w:sz w:val="20"/>
                <w:szCs w:val="20"/>
              </w:rPr>
            </w:pPr>
            <w:r>
              <w:rPr>
                <w:rFonts w:eastAsia="Calibri" w:cs="Times New Roman"/>
                <w:b/>
                <w:bCs/>
                <w:kern w:val="0"/>
                <w:sz w:val="20"/>
                <w:szCs w:val="20"/>
                <w:lang w:val="el-GR" w:eastAsia="el-GR" w:bidi="ar-SA"/>
              </w:rPr>
              <w:t>Prader-Willi</w:t>
            </w:r>
          </w:p>
        </w:tc>
        <w:tc>
          <w:tcPr>
            <w:tcW w:w="1614" w:type="dxa"/>
            <w:tcBorders/>
            <w:vAlign w:val="center"/>
          </w:tcPr>
          <w:p>
            <w:pPr>
              <w:pStyle w:val="Normal"/>
              <w:widowControl/>
              <w:spacing w:before="0" w:after="0"/>
              <w:jc w:val="center"/>
              <w:rPr>
                <w:sz w:val="20"/>
                <w:szCs w:val="20"/>
              </w:rPr>
            </w:pPr>
            <w:r>
              <w:rPr>
                <w:rFonts w:eastAsia="Calibri" w:cs="Times New Roman"/>
                <w:kern w:val="0"/>
                <w:sz w:val="20"/>
                <w:szCs w:val="20"/>
                <w:lang w:val="el-GR" w:eastAsia="el-GR" w:bidi="ar-SA"/>
              </w:rPr>
              <w:t>1 in 10,000–30,000</w:t>
            </w:r>
          </w:p>
        </w:tc>
        <w:tc>
          <w:tcPr>
            <w:tcW w:w="1406" w:type="dxa"/>
            <w:tcBorders/>
            <w:vAlign w:val="center"/>
          </w:tcPr>
          <w:p>
            <w:pPr>
              <w:pStyle w:val="Normal"/>
              <w:widowControl/>
              <w:spacing w:before="0" w:after="0"/>
              <w:jc w:val="left"/>
              <w:rPr>
                <w:rFonts w:eastAsia="Calibri"/>
                <w:i/>
                <w:i/>
                <w:iCs/>
                <w:sz w:val="20"/>
                <w:szCs w:val="20"/>
                <w:lang w:val="en-US"/>
              </w:rPr>
            </w:pPr>
            <w:r>
              <w:rPr>
                <w:rFonts w:eastAsia="Calibri" w:cs="Times New Roman"/>
                <w:i/>
                <w:iCs/>
                <w:kern w:val="0"/>
                <w:sz w:val="20"/>
                <w:szCs w:val="20"/>
                <w:lang w:val="en-US" w:eastAsia="el-GR" w:bidi="ar-SA"/>
              </w:rPr>
              <w:t>SNURF-SNRPN,</w:t>
            </w:r>
          </w:p>
          <w:p>
            <w:pPr>
              <w:pStyle w:val="Normal"/>
              <w:widowControl/>
              <w:spacing w:before="0" w:after="0"/>
              <w:jc w:val="left"/>
              <w:rPr>
                <w:rFonts w:eastAsia="Calibri"/>
                <w:i/>
                <w:i/>
                <w:iCs/>
                <w:sz w:val="20"/>
                <w:szCs w:val="20"/>
                <w:lang w:val="en-US"/>
              </w:rPr>
            </w:pPr>
            <w:r>
              <w:rPr>
                <w:rFonts w:eastAsia="Calibri" w:cs="Times New Roman"/>
                <w:i/>
                <w:iCs/>
                <w:kern w:val="0"/>
                <w:sz w:val="20"/>
                <w:szCs w:val="20"/>
                <w:lang w:val="en-US" w:eastAsia="el-GR" w:bidi="ar-SA"/>
              </w:rPr>
              <w:t>MKRN3, NECDIN,</w:t>
            </w:r>
          </w:p>
          <w:p>
            <w:pPr>
              <w:pStyle w:val="Normal"/>
              <w:widowControl/>
              <w:spacing w:before="0" w:after="0"/>
              <w:jc w:val="left"/>
              <w:rPr>
                <w:sz w:val="20"/>
                <w:szCs w:val="20"/>
                <w:lang w:val="en-US"/>
              </w:rPr>
            </w:pPr>
            <w:r>
              <w:rPr>
                <w:rFonts w:eastAsia="Calibri" w:cs="Times New Roman"/>
                <w:i/>
                <w:iCs/>
                <w:kern w:val="0"/>
                <w:sz w:val="20"/>
                <w:szCs w:val="20"/>
                <w:lang w:val="en-US" w:eastAsia="el-GR" w:bidi="ar-SA"/>
              </w:rPr>
              <w:t>MAGEL2</w:t>
            </w:r>
          </w:p>
        </w:tc>
        <w:tc>
          <w:tcPr>
            <w:tcW w:w="1524" w:type="dxa"/>
            <w:tcBorders/>
          </w:tcPr>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Severe neonatal hypotonia;</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feeding difficulties followed</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by hyperphagia and excessive</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weight gain; developmental</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delay; hypogonadism; intellectual</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disability; characteristic facial</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features (almond-shaped eyes,</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thin upper lip, downturned</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corners of the mouth, narrow</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face); behavioral problems; small</w:t>
            </w:r>
          </w:p>
          <w:p>
            <w:pPr>
              <w:pStyle w:val="Normal"/>
              <w:widowControl/>
              <w:spacing w:before="0" w:after="0"/>
              <w:jc w:val="left"/>
              <w:rPr>
                <w:lang w:val="en-US"/>
              </w:rPr>
            </w:pPr>
            <w:r>
              <w:rPr>
                <w:rFonts w:eastAsia="Calibri" w:cs="Times New Roman"/>
                <w:i/>
                <w:iCs/>
                <w:kern w:val="0"/>
                <w:sz w:val="17"/>
                <w:szCs w:val="17"/>
                <w:lang w:val="en-US" w:eastAsia="el-GR" w:bidi="ar-SA"/>
              </w:rPr>
              <w:t>hands and feet; short stature</w:t>
            </w:r>
          </w:p>
        </w:tc>
        <w:tc>
          <w:tcPr>
            <w:tcW w:w="1430" w:type="dxa"/>
            <w:tcBorders/>
            <w:vAlign w:val="center"/>
          </w:tcPr>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DNA methylation testing,</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fluorescence in situ</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hybridization, microarray, DNA</w:t>
            </w:r>
          </w:p>
          <w:p>
            <w:pPr>
              <w:pStyle w:val="Normal"/>
              <w:widowControl/>
              <w:spacing w:before="0" w:after="0"/>
              <w:jc w:val="left"/>
              <w:rPr>
                <w:lang w:val="en-US"/>
              </w:rPr>
            </w:pPr>
            <w:r>
              <w:rPr>
                <w:rFonts w:eastAsia="Calibri" w:cs="Times New Roman"/>
                <w:i/>
                <w:iCs/>
                <w:kern w:val="0"/>
                <w:sz w:val="17"/>
                <w:szCs w:val="17"/>
                <w:lang w:val="en-US" w:eastAsia="el-GR" w:bidi="ar-SA"/>
              </w:rPr>
              <w:t>polymorphism analysis</w:t>
            </w:r>
          </w:p>
        </w:tc>
        <w:tc>
          <w:tcPr>
            <w:tcW w:w="1071" w:type="dxa"/>
            <w:tcBorders/>
            <w:vAlign w:val="center"/>
          </w:tcPr>
          <w:p>
            <w:pPr>
              <w:pStyle w:val="Normal"/>
              <w:widowControl/>
              <w:spacing w:before="0" w:after="0"/>
              <w:jc w:val="center"/>
              <w:rPr>
                <w:rFonts w:eastAsia="Calibri"/>
                <w:sz w:val="17"/>
                <w:szCs w:val="17"/>
                <w:lang w:val="en-US"/>
              </w:rPr>
            </w:pPr>
            <w:r>
              <w:rPr>
                <w:rFonts w:eastAsia="Calibri" w:cs="Times New Roman"/>
                <w:kern w:val="0"/>
                <w:sz w:val="17"/>
                <w:szCs w:val="17"/>
                <w:lang w:val="en-US" w:eastAsia="el-GR" w:bidi="ar-SA"/>
              </w:rPr>
              <w:t xml:space="preserve">Butler (2018) </w:t>
            </w:r>
          </w:p>
          <w:p>
            <w:pPr>
              <w:pStyle w:val="Normal"/>
              <w:widowControl/>
              <w:spacing w:before="0" w:after="0"/>
              <w:jc w:val="center"/>
              <w:rPr>
                <w:rFonts w:eastAsia="Calibri"/>
                <w:sz w:val="17"/>
                <w:szCs w:val="17"/>
                <w:lang w:val="en-US"/>
              </w:rPr>
            </w:pPr>
            <w:r>
              <w:fldChar w:fldCharType="begin"/>
            </w:r>
            <w:r>
              <w:rPr>
                <w:sz w:val="17"/>
                <w:kern w:val="0"/>
                <w:szCs w:val="17"/>
                <w:rFonts w:eastAsia="Calibri" w:cs="Times New Roman"/>
                <w:lang w:val="en-US" w:eastAsia="el-GR" w:bidi="ar-SA"/>
              </w:rPr>
              <w:instrText xml:space="preserve">ADDIN ZOTERO_ITEM CSL_CITATION {"citationID":"Owzswi8R","properties":{"formattedCitation":"[72], [73]","plainCitation":"[72], [73]","dontUpdate":true,"noteIndex":0},"citationItems":[{"id":3509,"uris":["http://zotero.org/users/local/WDVvZTBM/items/KAGW93S8"],"itemData":{"id":3509,"type":"article-journal","abstract":"We describe the National Institutes of Health rare disease consortium for Prader–Willi syndrome (PWS) developed to address concerns regarding medical care, diagnosis, growth and development, awareness, and natural history. PWS results from errors in genomic imprinting leading to loss of paternally expressed genes due to 15q11‐q13 deletion, maternal disomy 15 or imprinting defects. The 8 year study was conducted at four national sites on individuals with genetically confirmed PWS and early‐onset morbid obesity (EMO) with data accumulated to gain a better understanding of the natural history, cause and treatment of PWS. Enrollment of 355 subjects with PWS and 36 subjects with EMO began in September 2006 with study completion in July 2014. Clinical, genetic, cognitive, behavior, and natural history data were systematically collected along with PWS genetic subtypes, pregnancy and birth history, mortality, obesity, and cognitive status with study details as important endpoints in both subject groups. Of the 355 individuals with PWS, 217 (61%) had the 15q11‐q13 deletion, 127 (36%) had maternal disomy 15, and 11 (3%) had imprinting defects. Six deaths were reported in our PWS cohort with 598 cumulative years of study exposure and one death in the EMO group with 42 years of exposure. To our knowledge, this description of a longitudinal study in PWS represents the largest and most comprehensive cohort useful for investigators in planning comparable studies in other rare disorders. Ongoing studies utilizing this database should have a direct impact on care and services, diagnosis, treatment, genotype–phenotype correlations, and clinical outcomes in PWS.","container-title":"American Journal of Medical Genetics Part A","DOI":"10.1002/ajmg.a.38582","ISSN":"1552-4825, 1552-4833","issue":"2","journalAbbreviation":"American J of Med Genetics Pt A","language":"en","page":"368-375","source":"DOI.org (Crossref)","title":"Prader–Willi syndrome and early‐onset morbid obesity NIH rare disease consortium: A review of natural history study","title-short":"Prader–Willi syndrome and early‐onset morbid obesity NIH rare disease consortium","volume":"176","author":[{"family":"Butler","given":"Merlin G."},{"family":"Kimonis","given":"Virginia"},{"family":"Dykens","given":"Elisabeth"},{"family":"Gold","given":"June A."},{"family":"Miller","given":"Jennifer"},{"family":"Tamura","given":"Roy"},{"family":"Driscoll","given":"Daniel J."}],"issued":{"date-parts":[["2018",2]]}}},{"id":3510,"uris":["http://zotero.org/users/local/WDVvZTBM/items/M88KR8FL"],"itemData":{"id":3510,"type":"article-journal","container-title":"Genetics in Medicine","DOI":"10.1038/gim.0b013e31822bead0","ISSN":"10983600","issue":"1","journalAbbreviation":"Genetics in Medicine","language":"en","page":"10-26","source":"DOI.org (Crossref)","title":"Prader-Willi syndrome","volume":"14","author":[{"family":"Cassidy","given":"Suzanne B."},{"family":"Schwartz","given":"Stuart"},{"family":"Miller","given":"Jennifer L."},{"family":"Driscoll","given":"Daniel J."}],"issued":{"date-parts":[["2012",1]]}}}],"schema":"https://github.com/citation-style-language/schema/raw/master/csl-citation.json"}</w:instrText>
            </w:r>
            <w:r>
              <w:rPr>
                <w:rFonts w:eastAsia="Calibri" w:cs="Times New Roman"/>
                <w:kern w:val="0"/>
                <w:sz w:val="17"/>
                <w:szCs w:val="17"/>
                <w:lang w:val="en-US" w:eastAsia="el-GR" w:bidi="ar-SA"/>
              </w:rPr>
            </w:r>
            <w:r>
              <w:rPr>
                <w:sz w:val="17"/>
                <w:kern w:val="0"/>
                <w:szCs w:val="17"/>
                <w:rFonts w:eastAsia="Calibri" w:cs="Times New Roman"/>
                <w:lang w:val="en-US" w:eastAsia="el-GR" w:bidi="ar-SA"/>
              </w:rPr>
              <w:fldChar w:fldCharType="separate"/>
            </w:r>
            <w:r>
              <w:rPr>
                <w:rFonts w:eastAsia="Calibri" w:cs="Times New Roman"/>
                <w:kern w:val="0"/>
                <w:sz w:val="17"/>
                <w:szCs w:val="17"/>
                <w:lang w:val="en-US" w:eastAsia="el-GR" w:bidi="ar-SA"/>
              </w:rPr>
              <w:t>[72], Cassidy (2012) [73]</w:t>
            </w:r>
            <w:r/>
            <w:r>
              <w:rPr>
                <w:sz w:val="17"/>
                <w:kern w:val="0"/>
                <w:szCs w:val="17"/>
                <w:rFonts w:eastAsia="Calibri" w:cs="Times New Roman"/>
                <w:lang w:val="en-US" w:eastAsia="el-GR" w:bidi="ar-SA"/>
              </w:rPr>
              <w:fldChar w:fldCharType="end"/>
            </w:r>
            <w:r>
              <w:rPr>
                <w:rFonts w:eastAsia="Calibri" w:cs="Times New Roman"/>
                <w:kern w:val="0"/>
                <w:sz w:val="17"/>
                <w:szCs w:val="17"/>
                <w:lang w:val="en-US" w:eastAsia="el-GR" w:bidi="ar-SA"/>
              </w:rPr>
            </w:r>
          </w:p>
        </w:tc>
      </w:tr>
      <w:tr>
        <w:trPr/>
        <w:tc>
          <w:tcPr>
            <w:tcW w:w="1257" w:type="dxa"/>
            <w:tcBorders/>
            <w:vAlign w:val="center"/>
          </w:tcPr>
          <w:p>
            <w:pPr>
              <w:pStyle w:val="Normal"/>
              <w:widowControl/>
              <w:spacing w:before="0" w:after="0"/>
              <w:jc w:val="center"/>
              <w:rPr>
                <w:b/>
                <w:bCs/>
                <w:sz w:val="20"/>
                <w:szCs w:val="20"/>
                <w:lang w:val="en-US"/>
              </w:rPr>
            </w:pPr>
            <w:r>
              <w:rPr>
                <w:rFonts w:eastAsia="Calibri" w:cs="Times New Roman"/>
                <w:b/>
                <w:bCs/>
                <w:kern w:val="0"/>
                <w:sz w:val="20"/>
                <w:szCs w:val="20"/>
                <w:lang w:val="en-US" w:eastAsia="el-GR" w:bidi="ar-SA"/>
              </w:rPr>
              <w:t>Bardet-Biedl</w:t>
            </w:r>
          </w:p>
        </w:tc>
        <w:tc>
          <w:tcPr>
            <w:tcW w:w="1614" w:type="dxa"/>
            <w:tcBorders/>
            <w:vAlign w:val="center"/>
          </w:tcPr>
          <w:p>
            <w:pPr>
              <w:pStyle w:val="Normal"/>
              <w:widowControl/>
              <w:spacing w:before="0" w:after="0"/>
              <w:jc w:val="center"/>
              <w:rPr>
                <w:rFonts w:eastAsia="Calibri"/>
                <w:sz w:val="20"/>
                <w:szCs w:val="20"/>
                <w:lang w:val="en-US"/>
              </w:rPr>
            </w:pPr>
            <w:r>
              <w:rPr>
                <w:rFonts w:eastAsia="Calibri" w:cs="Times New Roman"/>
                <w:kern w:val="0"/>
                <w:sz w:val="20"/>
                <w:szCs w:val="20"/>
                <w:lang w:val="en-US" w:eastAsia="el-GR" w:bidi="ar-SA"/>
              </w:rPr>
              <w:t>1 in 13,500 (Israel and Arab</w:t>
            </w:r>
          </w:p>
          <w:p>
            <w:pPr>
              <w:pStyle w:val="Normal"/>
              <w:widowControl/>
              <w:spacing w:before="0" w:after="0"/>
              <w:jc w:val="center"/>
              <w:rPr>
                <w:rFonts w:eastAsia="Calibri"/>
                <w:sz w:val="20"/>
                <w:szCs w:val="20"/>
                <w:lang w:val="en-US"/>
              </w:rPr>
            </w:pPr>
            <w:r>
              <w:rPr>
                <w:rFonts w:eastAsia="Calibri" w:cs="Times New Roman"/>
                <w:kern w:val="0"/>
                <w:sz w:val="20"/>
                <w:szCs w:val="20"/>
                <w:lang w:val="en-US" w:eastAsia="el-GR" w:bidi="ar-SA"/>
              </w:rPr>
              <w:t>countries), 1 in 160,000</w:t>
            </w:r>
          </w:p>
          <w:p>
            <w:pPr>
              <w:pStyle w:val="Normal"/>
              <w:widowControl/>
              <w:spacing w:before="0" w:after="0"/>
              <w:jc w:val="center"/>
              <w:rPr>
                <w:sz w:val="20"/>
                <w:szCs w:val="20"/>
                <w:lang w:val="en-US"/>
              </w:rPr>
            </w:pPr>
            <w:r>
              <w:rPr>
                <w:rFonts w:eastAsia="Calibri" w:cs="Times New Roman"/>
                <w:kern w:val="0"/>
                <w:sz w:val="20"/>
                <w:szCs w:val="20"/>
                <w:lang w:val="en-US" w:eastAsia="el-GR" w:bidi="ar-SA"/>
              </w:rPr>
              <w:t>(Switzerland)</w:t>
            </w:r>
          </w:p>
        </w:tc>
        <w:tc>
          <w:tcPr>
            <w:tcW w:w="1406" w:type="dxa"/>
            <w:tcBorders/>
            <w:vAlign w:val="center"/>
          </w:tcPr>
          <w:p>
            <w:pPr>
              <w:pStyle w:val="Normal"/>
              <w:widowControl/>
              <w:spacing w:before="0" w:after="0"/>
              <w:jc w:val="left"/>
              <w:rPr>
                <w:rFonts w:eastAsia="Calibri"/>
                <w:i/>
                <w:i/>
                <w:iCs/>
                <w:sz w:val="20"/>
                <w:szCs w:val="20"/>
                <w:lang w:val="en-US"/>
              </w:rPr>
            </w:pPr>
            <w:r>
              <w:rPr>
                <w:rFonts w:eastAsia="Calibri" w:cs="Times New Roman"/>
                <w:i/>
                <w:iCs/>
                <w:kern w:val="0"/>
                <w:sz w:val="20"/>
                <w:szCs w:val="20"/>
                <w:lang w:val="en-US" w:eastAsia="el-GR" w:bidi="ar-SA"/>
              </w:rPr>
              <w:t>BBS1-BBS20,</w:t>
            </w:r>
          </w:p>
          <w:p>
            <w:pPr>
              <w:pStyle w:val="Normal"/>
              <w:widowControl/>
              <w:spacing w:before="0" w:after="0"/>
              <w:jc w:val="left"/>
              <w:rPr>
                <w:rFonts w:eastAsia="Calibri"/>
                <w:i/>
                <w:i/>
                <w:iCs/>
                <w:sz w:val="20"/>
                <w:szCs w:val="20"/>
                <w:lang w:val="en-US"/>
              </w:rPr>
            </w:pPr>
            <w:r>
              <w:rPr>
                <w:rFonts w:eastAsia="Calibri" w:cs="Times New Roman"/>
                <w:i/>
                <w:iCs/>
                <w:kern w:val="0"/>
                <w:sz w:val="20"/>
                <w:szCs w:val="20"/>
                <w:lang w:val="en-US" w:eastAsia="el-GR" w:bidi="ar-SA"/>
              </w:rPr>
              <w:t>NPHP1, FBN3,</w:t>
            </w:r>
          </w:p>
          <w:p>
            <w:pPr>
              <w:pStyle w:val="Normal"/>
              <w:widowControl/>
              <w:spacing w:before="0" w:after="0"/>
              <w:jc w:val="left"/>
              <w:rPr>
                <w:sz w:val="20"/>
                <w:szCs w:val="20"/>
                <w:lang w:val="en-US"/>
              </w:rPr>
            </w:pPr>
            <w:r>
              <w:rPr>
                <w:rFonts w:eastAsia="Calibri" w:cs="Times New Roman"/>
                <w:i/>
                <w:iCs/>
                <w:kern w:val="0"/>
                <w:sz w:val="20"/>
                <w:szCs w:val="20"/>
                <w:lang w:val="en-US" w:eastAsia="el-GR" w:bidi="ar-SA"/>
              </w:rPr>
              <w:t>CEP19</w:t>
            </w:r>
          </w:p>
        </w:tc>
        <w:tc>
          <w:tcPr>
            <w:tcW w:w="1524" w:type="dxa"/>
            <w:tcBorders/>
          </w:tcPr>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Obesity; cone–rod dystrophy;</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post-axial polydactyly; cognitive</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impairment; hypogenitalism;</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renal abnormalities; shortened life</w:t>
            </w:r>
          </w:p>
          <w:p>
            <w:pPr>
              <w:pStyle w:val="Normal"/>
              <w:widowControl/>
              <w:spacing w:before="0" w:after="0"/>
              <w:jc w:val="left"/>
              <w:rPr>
                <w:lang w:val="en-US"/>
              </w:rPr>
            </w:pPr>
            <w:r>
              <w:rPr>
                <w:rFonts w:eastAsia="Calibri" w:cs="Times New Roman"/>
                <w:i/>
                <w:iCs/>
                <w:kern w:val="0"/>
                <w:sz w:val="17"/>
                <w:szCs w:val="17"/>
                <w:lang w:val="en-US" w:eastAsia="el-GR" w:bidi="ar-SA"/>
              </w:rPr>
              <w:t>expectancy</w:t>
            </w:r>
          </w:p>
        </w:tc>
        <w:tc>
          <w:tcPr>
            <w:tcW w:w="1430" w:type="dxa"/>
            <w:tcBorders/>
            <w:vAlign w:val="center"/>
          </w:tcPr>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Targeted high-throughput</w:t>
            </w:r>
          </w:p>
          <w:p>
            <w:pPr>
              <w:pStyle w:val="Normal"/>
              <w:widowControl/>
              <w:spacing w:before="0" w:after="0"/>
              <w:jc w:val="left"/>
              <w:rPr>
                <w:lang w:val="en-US"/>
              </w:rPr>
            </w:pPr>
            <w:r>
              <w:rPr>
                <w:rFonts w:eastAsia="Calibri" w:cs="Times New Roman"/>
                <w:i/>
                <w:iCs/>
                <w:kern w:val="0"/>
                <w:sz w:val="17"/>
                <w:szCs w:val="17"/>
                <w:lang w:val="en-US" w:eastAsia="el-GR" w:bidi="ar-SA"/>
              </w:rPr>
              <w:t>sequencing</w:t>
            </w:r>
          </w:p>
        </w:tc>
        <w:tc>
          <w:tcPr>
            <w:tcW w:w="1071" w:type="dxa"/>
            <w:tcBorders/>
            <w:vAlign w:val="center"/>
          </w:tcPr>
          <w:p>
            <w:pPr>
              <w:pStyle w:val="Normal"/>
              <w:widowControl/>
              <w:spacing w:before="0" w:after="0"/>
              <w:jc w:val="center"/>
              <w:rPr>
                <w:rFonts w:eastAsia="Calibri"/>
                <w:sz w:val="17"/>
                <w:szCs w:val="17"/>
                <w:lang w:val="en-US"/>
              </w:rPr>
            </w:pPr>
            <w:r>
              <w:rPr>
                <w:rFonts w:eastAsia="Calibri" w:cs="Times New Roman"/>
                <w:kern w:val="0"/>
                <w:sz w:val="17"/>
                <w:szCs w:val="17"/>
                <w:lang w:val="en-US" w:eastAsia="el-GR" w:bidi="ar-SA"/>
              </w:rPr>
              <w:t xml:space="preserve">Forsythe &amp; Beales (2013) </w:t>
            </w:r>
            <w:r>
              <w:fldChar w:fldCharType="begin"/>
            </w:r>
            <w:r>
              <w:rPr>
                <w:sz w:val="17"/>
                <w:kern w:val="0"/>
                <w:szCs w:val="17"/>
                <w:rFonts w:eastAsia="Calibri" w:cs="Times New Roman"/>
                <w:lang w:val="en-US" w:eastAsia="el-GR" w:bidi="ar-SA"/>
              </w:rPr>
              <w:instrText xml:space="preserve">ADDIN ZOTERO_ITEM CSL_CITATION {"citationID":"DMRZbFqA","properties":{"formattedCitation":"[74]","plainCitation":"[74]","noteIndex":0},"citationItems":[{"id":3518,"uris":["http://zotero.org/users/local/WDVvZTBM/items/BUTW5W4B"],"itemData":{"id":3518,"type":"article-journal","abstract":"Bardet-Biedl syndrome (BBS) is a rare autosomal recessive genetic disorder. It is characterized by heterogeneous clinical manifestations including primary features of the disease (rod-cone dystrophy, polydactyly, obesity, genital abnormalities, renal defects, and learning difficulties) and secondary BBS characteristics (developmental delay, speech deficit, brachydactyly or syndactyly, dental defects, ataxia or poor coordination, olfactory deficit, diabetes mellitus, congenital heart disease, etc.); most of these symptoms may not be present at birth but appear and progressively worsen during the first and second decades of life. At least 20 BBS genes have already been identified, and all of them are involved in primary cilia functioning. Genetic diagnosis of BBS is complicated due to lack of gene-specific disease symptoms; however, it is gradually becoming more accessible with the invention of multigene sequencing technologies. Clinical management of BBS is largely limited to a symptomatic treatment. Mouse experiments demonstrate that the most debilitating complication of BBS, blindness, can be rescued by topical gene therapy. There is a published case report describing the delay of BBS symptoms by nutritional compensation of the disease-related biochemical deficiencies. Progress in DNA testing technologies is likely to rapidly resolve all limitations in BBS diagnosis; however, much slower improvement is expected with regard to BBS treatment.","container-title":"Molecular Syndromology","DOI":"10.1159/000445491","ISSN":"1661-8769, 1661-8777","issue":"2","journalAbbreviation":"Mol Syndromol","language":"en","page":"62-71","source":"DOI.org (Crossref)","title":"Bardet-Biedl Syndrome","volume":"7","author":[{"family":"Suspitsin","given":"Evgeny N."},{"family":"Imyanitov","given":"Evgeny N."}],"issued":{"date-parts":[["2016"]]}}}],"schema":"https://github.com/citation-style-language/schema/raw/master/csl-citation.json"}</w:instrText>
            </w:r>
            <w:r>
              <w:rPr>
                <w:rFonts w:eastAsia="Calibri" w:cs="Times New Roman"/>
                <w:kern w:val="0"/>
                <w:sz w:val="17"/>
                <w:szCs w:val="17"/>
                <w:lang w:val="en-US" w:eastAsia="el-GR" w:bidi="ar-SA"/>
              </w:rPr>
            </w:r>
            <w:r>
              <w:rPr>
                <w:sz w:val="17"/>
                <w:kern w:val="0"/>
                <w:szCs w:val="17"/>
                <w:rFonts w:eastAsia="Calibri" w:cs="Times New Roman"/>
                <w:lang w:val="en-US" w:eastAsia="el-GR" w:bidi="ar-SA"/>
              </w:rPr>
              <w:fldChar w:fldCharType="separate"/>
            </w:r>
            <w:r>
              <w:rPr>
                <w:rFonts w:eastAsia="Calibri" w:cs="Times New Roman"/>
                <w:kern w:val="0"/>
                <w:sz w:val="17"/>
                <w:szCs w:val="17"/>
                <w:lang w:val="en-US" w:eastAsia="el-GR" w:bidi="ar-SA"/>
              </w:rPr>
              <w:t>[74]</w:t>
            </w:r>
            <w:r>
              <w:rPr>
                <w:rFonts w:eastAsia="Calibri" w:cs="Times New Roman"/>
                <w:kern w:val="0"/>
                <w:sz w:val="17"/>
                <w:szCs w:val="17"/>
                <w:lang w:val="en-US" w:eastAsia="el-GR" w:bidi="ar-SA"/>
              </w:rPr>
            </w:r>
            <w:r>
              <w:rPr>
                <w:sz w:val="17"/>
                <w:kern w:val="0"/>
                <w:szCs w:val="17"/>
                <w:rFonts w:eastAsia="Calibri" w:cs="Times New Roman"/>
                <w:lang w:val="en-US" w:eastAsia="el-GR" w:bidi="ar-SA"/>
              </w:rPr>
              <w:fldChar w:fldCharType="end"/>
            </w:r>
            <w:r>
              <w:rPr>
                <w:rFonts w:eastAsia="Calibri" w:cs="Times New Roman"/>
                <w:kern w:val="0"/>
                <w:sz w:val="17"/>
                <w:szCs w:val="17"/>
                <w:lang w:val="en-US" w:eastAsia="el-GR" w:bidi="ar-SA"/>
              </w:rPr>
              <w:t xml:space="preserve">, Geets (2019) </w:t>
            </w:r>
            <w:r>
              <w:fldChar w:fldCharType="begin"/>
            </w:r>
            <w:r>
              <w:rPr>
                <w:sz w:val="17"/>
                <w:kern w:val="0"/>
                <w:szCs w:val="17"/>
                <w:rFonts w:eastAsia="Calibri" w:cs="Times New Roman"/>
                <w:lang w:val="en-US" w:eastAsia="el-GR" w:bidi="ar-SA"/>
              </w:rPr>
              <w:instrText xml:space="preserve">ADDIN ZOTERO_ITEM CSL_CITATION {"citationID":"FzpSnaIj","properties":{"formattedCitation":"[75]","plainCitation":"[75]","noteIndex":0},"citationItems":[{"id":3517,"uris":["http://zotero.org/users/local/WDVvZTBM/items/JIRK626X"],"itemData":{"id":3517,"type":"article-journal","abstract":"Obesity has become a major health problem worldwide. To date, more than 25 different syndromic forms of obesity are known in which one (monogenic) or multiple (polygenic) genes are involved. This review gives an overview of these forms and focuses more in detail on 6 syndromes: Prader Willi Syndrome and Prader Willi\n              like\n              phenotype, Bardet Biedl Syndrome, Alström Syndrome, Wilms tumor, Aniridia, Genitourinary malformations and mental Retardation syndrome and 16p11.2 (micro)deletions. Years of research provided plenty of information on the molecular genetics of these disorders and the obesity phenotype leading to a more individualized treatment of the symptoms, however, many questions still remain unanswered. As these obesity syndromes have different signs and symptoms in common, it makes it difficult to accurately diagnose patients which may result in inappropriate treatment of the disease. Therefore, the big challenge for clinicians and scientists is to more clearly differentiate all syndromic forms of obesity to provide conclusive genetic explanations and eventually deliver accurate genetic counseling and treatment. In addition, further delineation of the (functions of the) underlying genes with the use of array‐ or next‐generation sequencing‐based technology will be helpful to unravel the mechanisms of energy metabolism in the general population.","container-title":"Clinical Genetics","DOI":"10.1111/cge.13367","ISSN":"0009-9163, 1399-0004","issue":"1","journalAbbreviation":"Clinical Genetics","language":"en","page":"23-40","source":"DOI.org (Crossref)","title":"Clinical, molecular genetics and therapeutic aspects of syndromic obesity","volume":"95","author":[{"family":"Geets","given":"E."},{"family":"Meuwissen","given":"M.E.C."},{"family":"Van Hul","given":"W."}],"issued":{"date-parts":[["2019",1]]}}}],"schema":"https://github.com/citation-style-language/schema/raw/master/csl-citation.json"}</w:instrText>
            </w:r>
            <w:r>
              <w:rPr>
                <w:rFonts w:eastAsia="Calibri" w:cs="Times New Roman"/>
                <w:kern w:val="0"/>
                <w:sz w:val="17"/>
                <w:szCs w:val="17"/>
                <w:lang w:val="en-US" w:eastAsia="el-GR" w:bidi="ar-SA"/>
              </w:rPr>
            </w:r>
            <w:r>
              <w:rPr>
                <w:sz w:val="17"/>
                <w:kern w:val="0"/>
                <w:szCs w:val="17"/>
                <w:rFonts w:eastAsia="Calibri" w:cs="Times New Roman"/>
                <w:lang w:val="en-US" w:eastAsia="el-GR" w:bidi="ar-SA"/>
              </w:rPr>
              <w:fldChar w:fldCharType="separate"/>
            </w:r>
            <w:r>
              <w:rPr>
                <w:rFonts w:eastAsia="Calibri" w:cs="Times New Roman"/>
                <w:kern w:val="0"/>
                <w:sz w:val="17"/>
                <w:szCs w:val="17"/>
                <w:lang w:val="en-US" w:eastAsia="el-GR" w:bidi="ar-SA"/>
              </w:rPr>
              <w:t>[75]</w:t>
            </w:r>
            <w:r>
              <w:rPr>
                <w:rFonts w:eastAsia="Calibri" w:cs="Times New Roman"/>
                <w:kern w:val="0"/>
                <w:sz w:val="17"/>
                <w:szCs w:val="17"/>
                <w:lang w:val="en-US" w:eastAsia="el-GR" w:bidi="ar-SA"/>
              </w:rPr>
            </w:r>
            <w:r>
              <w:rPr>
                <w:sz w:val="17"/>
                <w:kern w:val="0"/>
                <w:szCs w:val="17"/>
                <w:rFonts w:eastAsia="Calibri" w:cs="Times New Roman"/>
                <w:lang w:val="en-US" w:eastAsia="el-GR" w:bidi="ar-SA"/>
              </w:rPr>
              <w:fldChar w:fldCharType="end"/>
            </w:r>
            <w:r>
              <w:rPr>
                <w:rFonts w:eastAsia="Calibri" w:cs="Times New Roman"/>
                <w:kern w:val="0"/>
                <w:sz w:val="17"/>
                <w:szCs w:val="17"/>
                <w:lang w:val="en-US" w:eastAsia="el-GR" w:bidi="ar-SA"/>
              </w:rPr>
              <w:t xml:space="preserve">, Suspitin &amp; Imyanitov (2016) </w:t>
            </w:r>
            <w:r>
              <w:fldChar w:fldCharType="begin"/>
            </w:r>
            <w:r>
              <w:rPr>
                <w:sz w:val="17"/>
                <w:kern w:val="0"/>
                <w:szCs w:val="17"/>
                <w:rFonts w:eastAsia="Calibri" w:cs="Times New Roman"/>
                <w:lang w:val="en-US" w:eastAsia="el-GR" w:bidi="ar-SA"/>
              </w:rPr>
              <w:instrText xml:space="preserve">ADDIN ZOTERO_ITEM CSL_CITATION {"citationID":"WtAfF8Md","properties":{"formattedCitation":"[74]","plainCitation":"[74]","noteIndex":0},"citationItems":[{"id":3518,"uris":["http://zotero.org/users/local/WDVvZTBM/items/BUTW5W4B"],"itemData":{"id":3518,"type":"article-journal","abstract":"Bardet-Biedl syndrome (BBS) is a rare autosomal recessive genetic disorder. It is characterized by heterogeneous clinical manifestations including primary features of the disease (rod-cone dystrophy, polydactyly, obesity, genital abnormalities, renal defects, and learning difficulties) and secondary BBS characteristics (developmental delay, speech deficit, brachydactyly or syndactyly, dental defects, ataxia or poor coordination, olfactory deficit, diabetes mellitus, congenital heart disease, etc.); most of these symptoms may not be present at birth but appear and progressively worsen during the first and second decades of life. At least 20 BBS genes have already been identified, and all of them are involved in primary cilia functioning. Genetic diagnosis of BBS is complicated due to lack of gene-specific disease symptoms; however, it is gradually becoming more accessible with the invention of multigene sequencing technologies. Clinical management of BBS is largely limited to a symptomatic treatment. Mouse experiments demonstrate that the most debilitating complication of BBS, blindness, can be rescued by topical gene therapy. There is a published case report describing the delay of BBS symptoms by nutritional compensation of the disease-related biochemical deficiencies. Progress in DNA testing technologies is likely to rapidly resolve all limitations in BBS diagnosis; however, much slower improvement is expected with regard to BBS treatment.","container-title":"Molecular Syndromology","DOI":"10.1159/000445491","ISSN":"1661-8769, 1661-8777","issue":"2","journalAbbreviation":"Mol Syndromol","language":"en","page":"62-71","source":"DOI.org (Crossref)","title":"Bardet-Biedl Syndrome","volume":"7","author":[{"family":"Suspitsin","given":"Evgeny N."},{"family":"Imyanitov","given":"Evgeny N."}],"issued":{"date-parts":[["2016"]]}}}],"schema":"https://github.com/citation-style-language/schema/raw/master/csl-citation.json"}</w:instrText>
            </w:r>
            <w:r>
              <w:rPr>
                <w:rFonts w:eastAsia="Calibri" w:cs="Times New Roman"/>
                <w:kern w:val="0"/>
                <w:sz w:val="17"/>
                <w:szCs w:val="17"/>
                <w:lang w:val="en-US" w:eastAsia="el-GR" w:bidi="ar-SA"/>
              </w:rPr>
            </w:r>
            <w:r>
              <w:rPr>
                <w:sz w:val="17"/>
                <w:kern w:val="0"/>
                <w:szCs w:val="17"/>
                <w:rFonts w:eastAsia="Calibri" w:cs="Times New Roman"/>
                <w:lang w:val="en-US" w:eastAsia="el-GR" w:bidi="ar-SA"/>
              </w:rPr>
              <w:fldChar w:fldCharType="separate"/>
            </w:r>
            <w:r>
              <w:rPr>
                <w:rFonts w:eastAsia="Calibri" w:cs="Times New Roman"/>
                <w:kern w:val="0"/>
                <w:sz w:val="17"/>
                <w:szCs w:val="17"/>
                <w:lang w:val="en-US" w:eastAsia="el-GR" w:bidi="ar-SA"/>
              </w:rPr>
              <w:t>[74]</w:t>
            </w:r>
            <w:r>
              <w:rPr>
                <w:rFonts w:eastAsia="Calibri" w:cs="Times New Roman"/>
                <w:kern w:val="0"/>
                <w:sz w:val="17"/>
                <w:szCs w:val="17"/>
                <w:lang w:val="en-US" w:eastAsia="el-GR" w:bidi="ar-SA"/>
              </w:rPr>
            </w:r>
            <w:r>
              <w:rPr>
                <w:sz w:val="17"/>
                <w:kern w:val="0"/>
                <w:szCs w:val="17"/>
                <w:rFonts w:eastAsia="Calibri" w:cs="Times New Roman"/>
                <w:lang w:val="en-US" w:eastAsia="el-GR" w:bidi="ar-SA"/>
              </w:rPr>
              <w:fldChar w:fldCharType="end"/>
            </w:r>
            <w:r>
              <w:rPr>
                <w:rFonts w:eastAsia="Calibri" w:cs="Times New Roman"/>
                <w:kern w:val="0"/>
                <w:sz w:val="17"/>
                <w:szCs w:val="17"/>
                <w:lang w:val="en-US" w:eastAsia="el-GR" w:bidi="ar-SA"/>
              </w:rPr>
              <w:fldChar w:fldCharType="begin"/>
            </w:r>
            <w:r>
              <w:rPr>
                <w:sz w:val="17"/>
                <w:kern w:val="0"/>
                <w:szCs w:val="17"/>
                <w:rFonts w:eastAsia="Calibri" w:cs="Times New Roman"/>
                <w:lang w:val="en-US" w:eastAsia="el-GR" w:bidi="ar-SA"/>
              </w:rPr>
              <w:instrText xml:space="preserve"> PRINTDATE \@"M\/d\/yyyy\ H:mm:ss\ AM/PM" </w:instrText>
            </w:r>
            <w:r>
              <w:rPr>
                <w:sz w:val="17"/>
                <w:kern w:val="0"/>
                <w:szCs w:val="17"/>
                <w:rFonts w:eastAsia="Calibri" w:cs="Times New Roman"/>
                <w:lang w:val="en-US" w:eastAsia="el-GR" w:bidi="ar-SA"/>
              </w:rPr>
              <w:fldChar w:fldCharType="separate"/>
            </w:r>
            <w:r>
              <w:rPr>
                <w:sz w:val="17"/>
                <w:kern w:val="0"/>
                <w:szCs w:val="17"/>
                <w:rFonts w:eastAsia="Calibri" w:cs="Times New Roman"/>
                <w:lang w:val="en-US" w:eastAsia="el-GR" w:bidi="ar-SA"/>
              </w:rPr>
              <w:t>11/18/2023 5:52:00 PM</w:t>
            </w:r>
            <w:r>
              <w:rPr>
                <w:sz w:val="17"/>
                <w:kern w:val="0"/>
                <w:szCs w:val="17"/>
                <w:rFonts w:eastAsia="Calibri" w:cs="Times New Roman"/>
                <w:lang w:val="en-US" w:eastAsia="el-GR" w:bidi="ar-SA"/>
              </w:rPr>
              <w:fldChar w:fldCharType="end"/>
            </w:r>
          </w:p>
        </w:tc>
      </w:tr>
      <w:tr>
        <w:trPr/>
        <w:tc>
          <w:tcPr>
            <w:tcW w:w="1257" w:type="dxa"/>
            <w:tcBorders/>
            <w:vAlign w:val="center"/>
          </w:tcPr>
          <w:p>
            <w:pPr>
              <w:pStyle w:val="Normal"/>
              <w:widowControl/>
              <w:spacing w:before="0" w:after="0"/>
              <w:jc w:val="center"/>
              <w:rPr>
                <w:b/>
                <w:bCs/>
                <w:sz w:val="20"/>
                <w:szCs w:val="20"/>
                <w:lang w:val="en-US"/>
              </w:rPr>
            </w:pPr>
            <w:r>
              <w:rPr>
                <w:rFonts w:eastAsia="Calibri" w:cs="Times New Roman"/>
                <w:b/>
                <w:bCs/>
                <w:kern w:val="0"/>
                <w:sz w:val="20"/>
                <w:szCs w:val="20"/>
                <w:lang w:val="en-US" w:eastAsia="el-GR" w:bidi="ar-SA"/>
              </w:rPr>
              <w:t>Alström</w:t>
            </w:r>
          </w:p>
        </w:tc>
        <w:tc>
          <w:tcPr>
            <w:tcW w:w="1614" w:type="dxa"/>
            <w:tcBorders/>
            <w:vAlign w:val="center"/>
          </w:tcPr>
          <w:p>
            <w:pPr>
              <w:pStyle w:val="Normal"/>
              <w:widowControl/>
              <w:spacing w:before="0" w:after="0"/>
              <w:jc w:val="center"/>
              <w:rPr>
                <w:sz w:val="20"/>
                <w:szCs w:val="20"/>
                <w:lang w:val="en-US"/>
              </w:rPr>
            </w:pPr>
            <w:r>
              <w:rPr>
                <w:rFonts w:eastAsia="Calibri" w:cs="Times New Roman"/>
                <w:kern w:val="0"/>
                <w:sz w:val="20"/>
                <w:szCs w:val="20"/>
                <w:lang w:val="en-US" w:eastAsia="el-GR" w:bidi="ar-SA"/>
              </w:rPr>
              <w:t>1–9 in 1,000,000</w:t>
            </w:r>
          </w:p>
        </w:tc>
        <w:tc>
          <w:tcPr>
            <w:tcW w:w="1406" w:type="dxa"/>
            <w:tcBorders/>
            <w:vAlign w:val="center"/>
          </w:tcPr>
          <w:p>
            <w:pPr>
              <w:pStyle w:val="Normal"/>
              <w:widowControl/>
              <w:spacing w:before="0" w:after="0"/>
              <w:jc w:val="left"/>
              <w:rPr>
                <w:sz w:val="20"/>
                <w:szCs w:val="20"/>
                <w:lang w:val="en-US"/>
              </w:rPr>
            </w:pPr>
            <w:r>
              <w:rPr>
                <w:rFonts w:eastAsia="Calibri" w:cs="Times New Roman"/>
                <w:i/>
                <w:iCs/>
                <w:kern w:val="0"/>
                <w:sz w:val="20"/>
                <w:szCs w:val="20"/>
                <w:lang w:val="en-US" w:eastAsia="el-GR" w:bidi="ar-SA"/>
              </w:rPr>
              <w:t>ALMS1</w:t>
            </w:r>
          </w:p>
        </w:tc>
        <w:tc>
          <w:tcPr>
            <w:tcW w:w="1524" w:type="dxa"/>
            <w:tcBorders/>
          </w:tcPr>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Obesity; cone–rod dystrophy;</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renal anomalies; progressive</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sensorineural hearing impairment;</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hypogonadism; reduced adult</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height; type 2 diabetes; dilated</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or restrictive cardiomyopathy;</w:t>
            </w:r>
          </w:p>
          <w:p>
            <w:pPr>
              <w:pStyle w:val="Normal"/>
              <w:widowControl/>
              <w:spacing w:before="0" w:after="0"/>
              <w:jc w:val="left"/>
              <w:rPr>
                <w:lang w:val="en-US"/>
              </w:rPr>
            </w:pPr>
            <w:r>
              <w:rPr>
                <w:rFonts w:eastAsia="Calibri" w:cs="Times New Roman"/>
                <w:i/>
                <w:iCs/>
                <w:kern w:val="0"/>
                <w:sz w:val="17"/>
                <w:szCs w:val="17"/>
                <w:lang w:val="en-US" w:eastAsia="el-GR" w:bidi="ar-SA"/>
              </w:rPr>
              <w:t>shortened life expectancy</w:t>
            </w:r>
          </w:p>
        </w:tc>
        <w:tc>
          <w:tcPr>
            <w:tcW w:w="1430" w:type="dxa"/>
            <w:tcBorders/>
            <w:vAlign w:val="center"/>
          </w:tcPr>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Targeted high-throughput</w:t>
            </w:r>
          </w:p>
          <w:p>
            <w:pPr>
              <w:pStyle w:val="Normal"/>
              <w:widowControl/>
              <w:spacing w:before="0" w:after="0"/>
              <w:jc w:val="left"/>
              <w:rPr>
                <w:lang w:val="en-US"/>
              </w:rPr>
            </w:pPr>
            <w:r>
              <w:rPr>
                <w:rFonts w:eastAsia="Calibri" w:cs="Times New Roman"/>
                <w:i/>
                <w:iCs/>
                <w:kern w:val="0"/>
                <w:sz w:val="17"/>
                <w:szCs w:val="17"/>
                <w:lang w:val="en-US" w:eastAsia="el-GR" w:bidi="ar-SA"/>
              </w:rPr>
              <w:t>sequencing</w:t>
            </w:r>
          </w:p>
        </w:tc>
        <w:tc>
          <w:tcPr>
            <w:tcW w:w="1071" w:type="dxa"/>
            <w:tcBorders/>
            <w:vAlign w:val="center"/>
          </w:tcPr>
          <w:p>
            <w:pPr>
              <w:pStyle w:val="Normal"/>
              <w:widowControl/>
              <w:spacing w:before="0" w:after="0"/>
              <w:jc w:val="center"/>
              <w:rPr>
                <w:rFonts w:eastAsia="Calibri"/>
                <w:sz w:val="17"/>
                <w:szCs w:val="17"/>
                <w:lang w:val="en-US"/>
              </w:rPr>
            </w:pPr>
            <w:r>
              <w:rPr>
                <w:rFonts w:eastAsia="Calibri" w:cs="Times New Roman"/>
                <w:kern w:val="0"/>
                <w:sz w:val="17"/>
                <w:szCs w:val="17"/>
                <w:lang w:val="en-US" w:eastAsia="el-GR" w:bidi="ar-SA"/>
              </w:rPr>
              <w:t xml:space="preserve">Geets (2019) [75], Valvedre (2015) </w:t>
            </w:r>
            <w:r>
              <w:fldChar w:fldCharType="begin"/>
            </w:r>
            <w:r>
              <w:rPr>
                <w:sz w:val="17"/>
                <w:kern w:val="0"/>
                <w:szCs w:val="17"/>
                <w:rFonts w:eastAsia="Calibri" w:cs="Times New Roman"/>
                <w:lang w:val="en-US" w:eastAsia="el-GR" w:bidi="ar-SA"/>
              </w:rPr>
              <w:instrText xml:space="preserve">ADDIN ZOTERO_ITEM CSL_CITATION {"citationID":"LF8Fr177","properties":{"formattedCitation":"[76]","plainCitation":"[76]","noteIndex":0},"citationItems":[{"id":3521,"uris":["http://zotero.org/users/local/WDVvZTBM/items/AQK89M65"],"itemData":{"id":3521,"type":"article-journal","abstract":"Alström syndrome (ALMS) is a rare genetic disorder that has been included in the ciliopathies group, in the last few years. Ciliopathies are a growing group of diseases associated with defects in ciliary structure and function. The development of more powerful genetic approaches has been replaced the strategies to follow for getting a successful molecular diagnosis for these patients, especially for those without the typical ALMS phenotype. In an effort to deepen the understanding of the pathogenesis of ALMS disease, much work has been done, in order to establish the biological implication of ALMS1 protein, which is still being elucidated. In addition to its role in ciliary function and structure maintenance, this protein has been implicated in intracellular trafficking, regulation of cilia signaling pathways, and cellular differentiation, among others. All these progresses will lead to identifying therapeutic targets, thus opening the way to future personalized therapies for human ciliopathies.","container-title":"The Application of Clinical Genetics","DOI":"10.2147/TACG.S56612","ISSN":"1178-704X","journalAbbreviation":"TACG","language":"en","page":"171","source":"DOI.org (Crossref)","title":"Alstr&amp;ouml;m syndrome: current perspectives","title-short":"Alstr&amp;ouml;m syndrome","author":[{"family":"Valverde","given":"Diana"},{"family":"Alvarez-Satta","given":"Maria"},{"family":"Castro-Sánchez","given":"Sheila"}],"issued":{"date-parts":[["2015",7]]}}}],"schema":"https://github.com/citation-style-language/schema/raw/master/csl-citation.json"}</w:instrText>
            </w:r>
            <w:r>
              <w:rPr>
                <w:rFonts w:eastAsia="Calibri" w:cs="Times New Roman"/>
                <w:kern w:val="0"/>
                <w:sz w:val="17"/>
                <w:szCs w:val="17"/>
                <w:lang w:val="en-US" w:eastAsia="el-GR" w:bidi="ar-SA"/>
              </w:rPr>
            </w:r>
            <w:r>
              <w:rPr>
                <w:sz w:val="17"/>
                <w:kern w:val="0"/>
                <w:szCs w:val="17"/>
                <w:rFonts w:eastAsia="Calibri" w:cs="Times New Roman"/>
                <w:lang w:val="en-US" w:eastAsia="el-GR" w:bidi="ar-SA"/>
              </w:rPr>
              <w:fldChar w:fldCharType="separate"/>
            </w:r>
            <w:r>
              <w:rPr>
                <w:rFonts w:eastAsia="Calibri" w:cs="Times New Roman"/>
                <w:kern w:val="0"/>
                <w:sz w:val="17"/>
                <w:szCs w:val="17"/>
                <w:lang w:val="en-US" w:eastAsia="el-GR" w:bidi="ar-SA"/>
              </w:rPr>
              <w:t>[76]</w:t>
            </w:r>
            <w:r>
              <w:rPr>
                <w:rFonts w:eastAsia="Calibri" w:cs="Times New Roman"/>
                <w:kern w:val="0"/>
                <w:sz w:val="17"/>
                <w:szCs w:val="17"/>
                <w:lang w:val="en-US" w:eastAsia="el-GR" w:bidi="ar-SA"/>
              </w:rPr>
            </w:r>
            <w:r>
              <w:rPr>
                <w:sz w:val="17"/>
                <w:kern w:val="0"/>
                <w:szCs w:val="17"/>
                <w:rFonts w:eastAsia="Calibri" w:cs="Times New Roman"/>
                <w:lang w:val="en-US" w:eastAsia="el-GR" w:bidi="ar-SA"/>
              </w:rPr>
              <w:fldChar w:fldCharType="end"/>
            </w:r>
            <w:r>
              <w:rPr>
                <w:rFonts w:eastAsia="Calibri" w:cs="Times New Roman"/>
                <w:kern w:val="0"/>
                <w:sz w:val="17"/>
                <w:szCs w:val="17"/>
                <w:lang w:val="en-US" w:eastAsia="el-GR" w:bidi="ar-SA"/>
              </w:rPr>
              <w:t xml:space="preserve"> , Marshall (2015)</w:t>
            </w:r>
            <w:r>
              <w:fldChar w:fldCharType="begin"/>
            </w:r>
            <w:r>
              <w:rPr>
                <w:sz w:val="17"/>
                <w:kern w:val="0"/>
                <w:szCs w:val="17"/>
                <w:rFonts w:eastAsia="Calibri" w:cs="Times New Roman"/>
                <w:lang w:val="en-US" w:eastAsia="el-GR" w:bidi="ar-SA"/>
              </w:rPr>
              <w:instrText xml:space="preserve">ADDIN ZOTERO_ITEM CSL_CITATION {"citationID":"Y4R4YINW","properties":{"formattedCitation":"[77]","plainCitation":"[77]","noteIndex":0},"citationItems":[{"id":3522,"uris":["http://zotero.org/users/local/WDVvZTBM/items/MU8JRX2K"],"itemData":{"id":3522,"type":"article-journal","abstract":"Alstro¨m Syndrome (ALMS), a recessive, monogenic ciliopathy caused by mutations in ALMS1, is typically characterized by multisystem involvement including early cone-rod retinal dystrophy and blindness, hearing loss, childhood obesity, type 2 diabetes mellitus, cardiomyopathy, ﬁbrosis, and multiple organ failure. The precise function of ALMS1 remains elusive, but roles in endosomal and ciliary transport and cell cycle regulation have been shown. The aim of our study was to further deﬁne the spectrum of ALMS1 mutations in patients with clinical features of ALMS. Mutational analysis in a worldwide cohort of 204 families identiﬁed 109 novel mutations, extending the number of known ALMS1 mutations to 239 and highlighting the allelic heterogeneity of this disorder. This study represents the most comprehensive mutation analysis in patients with ALMS, identifying the largest number of novel mutations in a single study worldwide. Here, we also provide an overview of all ALMS1 mutations identiﬁed to date.","container-title":"Human Mutation","DOI":"10.1002/humu.22796","ISSN":"10597794","issue":"7","journalAbbreviation":"Human Mutation","language":"en","page":"660-668","source":"DOI.org (Crossref)","title":"Alström Syndrome: Mutation Spectrum of &lt;i&gt;ALMS1&lt;/i&gt;","title-short":"Alström Syndrome","volume":"36","author":[{"family":"Marshall","given":"Jan D."},{"family":"Muller","given":"Jean"},{"family":"Collin","given":"Gayle B."},{"family":"Milan","given":"Gabriella"},{"family":"Kingsmore","given":"Stephen F."},{"family":"Dinwiddie","given":"Darrell"},{"family":"Farrow","given":"Emily G."},{"family":"Miller","given":"Neil A."},{"family":"Favaretto","given":"Francesca"},{"family":"Maffei","given":"Pietro"},{"family":"Dollfus","given":"Hélène"},{"family":"Vettor","given":"Roberto"},{"family":"Naggert","given":"Jürgen K."}],"issued":{"date-parts":[["2015",7]]}}}],"schema":"https://github.com/citation-style-language/schema/raw/master/csl-citation.json"}</w:instrText>
            </w:r>
            <w:r>
              <w:rPr>
                <w:rFonts w:eastAsia="Calibri" w:cs="Times New Roman"/>
                <w:kern w:val="0"/>
                <w:sz w:val="17"/>
                <w:szCs w:val="17"/>
                <w:lang w:val="en-US" w:eastAsia="el-GR" w:bidi="ar-SA"/>
              </w:rPr>
            </w:r>
            <w:r>
              <w:rPr>
                <w:sz w:val="17"/>
                <w:kern w:val="0"/>
                <w:szCs w:val="17"/>
                <w:rFonts w:eastAsia="Calibri" w:cs="Times New Roman"/>
                <w:lang w:val="en-US" w:eastAsia="el-GR" w:bidi="ar-SA"/>
              </w:rPr>
              <w:fldChar w:fldCharType="separate"/>
            </w:r>
            <w:r>
              <w:rPr>
                <w:rFonts w:eastAsia="Calibri" w:cs="Times New Roman"/>
                <w:kern w:val="0"/>
                <w:sz w:val="17"/>
                <w:szCs w:val="17"/>
                <w:lang w:val="en-US" w:eastAsia="el-GR" w:bidi="ar-SA"/>
              </w:rPr>
              <w:t>[77]</w:t>
            </w:r>
            <w:r>
              <w:rPr>
                <w:rFonts w:eastAsia="Calibri" w:cs="Times New Roman"/>
                <w:kern w:val="0"/>
                <w:sz w:val="17"/>
                <w:szCs w:val="17"/>
                <w:lang w:val="en-US" w:eastAsia="el-GR" w:bidi="ar-SA"/>
              </w:rPr>
            </w:r>
            <w:r>
              <w:rPr>
                <w:sz w:val="17"/>
                <w:kern w:val="0"/>
                <w:szCs w:val="17"/>
                <w:rFonts w:eastAsia="Calibri" w:cs="Times New Roman"/>
                <w:lang w:val="en-US" w:eastAsia="el-GR" w:bidi="ar-SA"/>
              </w:rPr>
              <w:fldChar w:fldCharType="end"/>
            </w:r>
            <w:r>
              <w:rPr>
                <w:rFonts w:eastAsia="Calibri" w:cs="Times New Roman"/>
                <w:kern w:val="0"/>
                <w:sz w:val="17"/>
                <w:szCs w:val="17"/>
                <w:lang w:val="en-US" w:eastAsia="el-GR" w:bidi="ar-SA"/>
              </w:rPr>
              <w:t xml:space="preserve"> </w:t>
            </w:r>
          </w:p>
        </w:tc>
      </w:tr>
    </w:tbl>
    <w:p>
      <w:pPr>
        <w:pStyle w:val="Normal"/>
        <w:rPr>
          <w:lang w:val="en-US"/>
        </w:rPr>
      </w:pPr>
      <w:r>
        <w:rPr>
          <w:lang w:val="en-US"/>
        </w:rPr>
      </w:r>
    </w:p>
    <w:p>
      <w:pPr>
        <w:pStyle w:val="Heading2"/>
        <w:rPr>
          <w:lang w:val="en-US"/>
        </w:rPr>
      </w:pPr>
      <w:bookmarkStart w:id="54" w:name="_Toc154923825"/>
      <w:r>
        <w:rPr>
          <w:lang w:val="en-US"/>
        </w:rPr>
        <w:t xml:space="preserve">3.3 </w:t>
      </w:r>
      <w:r>
        <w:rPr/>
        <w:t>Μονογενείς</w:t>
      </w:r>
      <w:r>
        <w:rPr>
          <w:lang w:val="en-US"/>
        </w:rPr>
        <w:t xml:space="preserve"> </w:t>
      </w:r>
      <w:r>
        <w:rPr/>
        <w:t>γενετικές</w:t>
      </w:r>
      <w:r>
        <w:rPr>
          <w:lang w:val="en-US"/>
        </w:rPr>
        <w:t xml:space="preserve"> </w:t>
      </w:r>
      <w:r>
        <w:rPr/>
        <w:t>μεταβλητές</w:t>
      </w:r>
      <w:r>
        <w:rPr>
          <w:lang w:val="en-US"/>
        </w:rPr>
        <w:t xml:space="preserve"> </w:t>
      </w:r>
      <w:r>
        <w:rPr/>
        <w:t>της</w:t>
      </w:r>
      <w:r>
        <w:rPr>
          <w:lang w:val="en-US"/>
        </w:rPr>
        <w:t xml:space="preserve"> </w:t>
      </w:r>
      <w:r>
        <w:rPr/>
        <w:t>παχυσαρκίας</w:t>
      </w:r>
      <w:bookmarkEnd w:id="54"/>
    </w:p>
    <w:p>
      <w:pPr>
        <w:pStyle w:val="Normal"/>
        <w:spacing w:lineRule="auto" w:line="360"/>
        <w:ind w:firstLine="720"/>
        <w:jc w:val="both"/>
        <w:rPr>
          <w:lang w:eastAsia="en-US"/>
        </w:rPr>
      </w:pPr>
      <w:r>
        <w:rPr>
          <w:rFonts w:eastAsia="Calibri" w:cs="Times-Roman" w:ascii="Times-Roman" w:hAnsi="Times-Roman"/>
          <w:color w:val="18191B"/>
        </w:rPr>
        <w:t xml:space="preserve">Το 40-70% των ατόμων με παχυσαρκία μπορεί να έχουν κάποιο γενετικό συστατικό που τους προδιαθέτει για παχυσαρκία, αλλά μόνο το 5-7% των ακόμη πιο  σοβαρών περιπτώσεων παχυσαρκίας έχουν αναγνωρίσιμα μονογενετικά αίτια </w:t>
      </w:r>
      <w:r>
        <w:fldChar w:fldCharType="begin"/>
      </w:r>
      <w:r>
        <w:rPr>
          <w:rFonts w:eastAsia="Calibri" w:cs="Times-Roman" w:ascii="Times-Roman" w:hAnsi="Times-Roman"/>
          <w:color w:val="18191B"/>
        </w:rPr>
        <w:instrText xml:space="preserve">ADDIN ZOTERO_ITEM CSL_CITATION {"citationID":"EFK29xy4","properties":{"formattedCitation":"[78], [79]","plainCitation":"[78], [79]","noteIndex":0},"citationItems":[{"id":2798,"uris":["http://zotero.org/users/local/WDVvZTBM/items/VDAX8CAH"],"itemData":{"id":2798,"type":"article-journal","abstract":"Purpose: The hypothalamic melanocortin-4 receptor (MC4R) pathway, a component of the central melanocortin pathway, regulates energy balance and satiety. Rare genetic disorders of obesity may be characterized by impaired MC4R pathway signaling, which results ...","container-title":"The Application of Clinical Genetics","DOI":"10.2147/TACG.S199092","language":"en","note":"publisher: Dove Press\nPMID: 31239751","page":"87","source":"www.ncbi.nlm.nih.gov","title":"Tracing the effect of the melanocortin-4 receptor pathway in obesity: study design and methodology of the TEMPO registry","title-short":"Tracing the effect of the melanocortin-4 receptor pathway in obesity","volume":"12","author":[{"family":"Eneli","given":"Ihuoma"},{"family":"Xu","given":"Jinyu"},{"family":"Webster","given":"Matthew"},{"family":"McCagg","given":"Amy"},{"family":"Ploeg","given":"Lex Van Der"},{"family":"Garfield","given":"Alastair S."},{"family":"Estrada","given":"Elizabeth"}],"issued":{"date-parts":[["2019"]]}}},{"id":2422,"uris":["http://zotero.org/users/local/WDVvZTBM/items/C6N2NYQI"],"itemData":{"id":2422,"type":"article-journal","abstract":"Childhood obesity is becoming a global epidemic. Twin studies suggest a heritability of fat mass, and disorders of energy balance that arise from genetic defects have been identiﬁed. In the past three years, ﬁve single gene disorders resulting in early onset obesity have been characterised. The discovery of these genetic defects has biological and clinical implications which are greater than the rarity of the individual diseases might suggest.","container-title":"Archives of Disease in Childhood","DOI":"10.1136/adc.83.1.31","ISSN":"00039888","issue":"1","language":"en","page":"31-34","source":"DOI.org (Crossref)","title":"Recent advances: Recent advances in the genetics of severe childhood obesity","title-short":"Recent advances","volume":"83","author":[{"family":"Farooqi","given":"I S."}],"issued":{"date-parts":[["2000",7,1]]}}}],"schema":"https://github.com/citation-style-language/schema/raw/master/csl-citation.json"}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[78], [79]</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Μια πρόσφατη μελέτη 282 παιδιών με παχυσαρκία ανέφερε το 13% είχε γενετικά αιτία παχυσαρκίας </w:t>
      </w:r>
      <w:r>
        <w:fldChar w:fldCharType="begin"/>
      </w:r>
      <w:r>
        <w:rPr>
          <w:rFonts w:eastAsia="Calibri" w:cs="Times-Roman" w:ascii="Times-Roman" w:hAnsi="Times-Roman"/>
          <w:color w:val="18191B"/>
        </w:rPr>
        <w:instrText xml:space="preserve">ADDIN ZOTERO_ITEM CSL_CITATION {"citationID":"Iwr71UoT","properties":{"formattedCitation":"[80]","plainCitation":"[80]","noteIndex":0},"citationItems":[{"id":2430,"uris":["http://zotero.org/users/local/WDVvZTBM/items/XMYKQI2Y"],"itemData":{"id":2430,"type":"article-journal","abstract":"Background  Obesity is a global and severe health problem. Due to genetic heterogeneity, the identification of genetic defects in patients with obesity can be time consuming and costly. Therefore, we developed a custom For numbered affiliations see end of article. diagnostic targeted next-generation sequencing (NGS)based analysis to simultaneously identify mutations in 52 Correspondence to Dr Mieke M van Haelst, Department of Clinical Genetics VU Medical Center Amsterdam The Netherlands ; m.vanhaelst@ vumc.nl obesity-related genes. The aim of this study was to assess the diagnostic yield of this approach in patients with suspected genetic obesity.\nMethods  DNA of 1230 patients with obesity (median BMI adults 43.6 kg/m2; median body mass indexSD children +3.4 SD) was analysed in the genome Received 6 February 2018 Revised 21 May 2018 diagnostics section of the Department of Genetics of the UMC Utrecht (The Netherlands) by targeted analysis of Accepted 10 June 2018 52 obesity-related genes.\nResults In 48 patients pathogenic mutations confirming the clinical diagnosis were detected. The majority of these were observed in the MC4R gene (18/48). In an additional 67 patients a probable pathogenic mutation was identified, necessitating further analysis to confirm the clinical relevance.\nConclusions NGS-based gene panel analysis in patients with obesity led to a definitive diagnosis of a genetic obesity disorder in 3.9% of obese probands, and a possible diagnosis in an additional 5.4% of obese probands. The highest yield was achieved in a selected paediatric subgroup, establishing a definitive diagnosis in 12 out of 164 children with severe early onset obesity (7.3%). These findings give a realistic insight in the diagnostic yield of genetic testing for patients with obesity and could help these patients to receive (future) personalised treatment.","container-title":"Journal of Medical Genetics","DOI":"10.1136/jmedgenet-2018-105315","ISSN":"0022-2593, 1468-6244","issue":"9","journalAbbreviation":"J Med Genet","language":"en","page":"578-586","source":"DOI.org (Crossref)","title":"Genetic obesity: next-generation sequencing results of 1230 patients with obesity","title-short":"Genetic obesity","volume":"55","author":[{"family":"Kleinendorst","given":"Lotte"},{"family":"Massink","given":"Maarten P G"},{"family":"Cooiman","given":"Mellody I"},{"family":"Savas","given":"Mesut"},{"family":"Baan-Slootweg","given":"Olga H","non-dropping-particle":"van der"},{"family":"Roelants","given":"Roosje J"},{"family":"Janssen","given":"Ignace C M"},{"family":"Meijers-Heijboer","given":"Hanne J"},{"family":"Knoers","given":"Nine V A M"},{"family":"Ploos van Amstel","given":"Hans Kristian"},{"family":"Rossum","given":"Elisabeth F C","non-dropping-particle":"van"},{"family":"Akker","given":"Erica L T","non-dropping-particle":"van den"},{"family":"Haaften","given":"Gijs","non-dropping-particle":"van"},{"family":"Zwaag","given":"Bert","non-dropping-particle":"van der"},{"family":"Haelst","given":"Mieke M","non-dropping-particle":"van"}],"issued":{"date-parts":[["2018",9]]}}}],"schema":"https://github.com/citation-style-language/schema/raw/master/csl-citation.json"}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[80]</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Αν και συνεχίζουν να ανακαλύπτονται γενετικές παραλλαγές που σχετίζονται με την παχυσαρκία, τα περισσότερα άτομα με παχυσαρκία και γενετικές παραλλαγές συνεχίζουν χωρίς να έχουν διαγνωσθεί.</w:t>
      </w:r>
      <w:r>
        <w:fldChar w:fldCharType="begin"/>
      </w:r>
      <w:r>
        <w:rPr>
          <w:rFonts w:eastAsia="Calibri" w:cs="Times-Roman" w:ascii="Times-Roman" w:hAnsi="Times-Roman"/>
          <w:color w:val="18191B"/>
        </w:rPr>
        <w:instrText xml:space="preserve">ADDIN ZOTERO_ITEM CSL_CITATION {"citationID":"4QUvz0wl","properties":{"formattedCitation":"[81]","plainCitation":"[81]","noteIndex":0},"citationItems":[{"id":2396,"uris":["http://zotero.org/users/local/WDVvZTBM/items/3D97LWZP"],"itemData":{"id":2396,"type":"article-journal","abstract":"Based on the genetic contribution, childhood obesity can be classified into 3 groups: common polygenic obesity, syndromic obesity, and monogenic obesity. More genetic causes of obesity are being identified along with the advances in the genetic testing. Genetic obesities including syndromic and monogenic obesity should be suspected and evaluated in children with early-onset morbid obesity and hyperphagia under 5 years of age. Patients with syndromic obesity have early-onset severe obesity associated specific genetic syndromes including Prader-Willi syndrome, Bardet-Biedle syndrome, and Alstrom syndrome. Syndromic obesity is often accompanied with neurodevelopmental delay or dysmorphic features. Nonsyndromic monogenic obesity is caused by variants in single gene which are usually involved in the regulation of hunger and satiety associated with the hypothalamic leptin-melanocortin pathway in central nervous system. Unlike syndromic obesity, patients with monogenic obesity usually show normal neurodevelopment. They would be presented with hyperphagia and early-onset severe obesity with additional clinical symptoms including short stature, red hair, adrenal insufficiency, hypothyroidism, hypogonadism, pituitary insufficiencies, diabetes insipidus, increased predisposition to infection or intractable recurrent diarrhea. Identifying patients with genetic obesity is critical as new innovative therapies including melanocortin 4 receptor agonist have become available. Early genetic evaluation enables to identify treatable obesity and provide timely intervention which may eventually achieve favorable outcome by establishing personalized management.","container-title":"Annals of Pediatric Endocrinology &amp; Metabolism","DOI":"10.6065/apem.2244188.094","ISSN":"2287-1012, 2287-1292","issue":"3","journalAbbreviation":"Ann Pediatr Endocrinol Metab","language":"en","page":"169-175","source":"DOI.org (Crossref)","title":"Genetic obesity: an update with emerging therapeutic approaches","title-short":"Genetic obesity","volume":"27","author":[{"family":"Sohn","given":"Young Bae"}],"issued":{"date-parts":[["2022",9,30]]}}}],"schema":"https://github.com/citation-style-language/schema/raw/master/csl-citation.json"}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[81]</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Υπάρχουν σπάνιες μονογονικές παραλλαγές που επηρεάζουν πολλά γονίδια όπως η λεπτίνη (LEP), ο υποδοχέας της λεπτίνης (</w:t>
      </w:r>
      <w:r>
        <w:rPr>
          <w:rFonts w:eastAsia="Calibri" w:cs="Times-Roman" w:ascii="Times-Roman" w:hAnsi="Times-Roman"/>
          <w:color w:val="18191B"/>
          <w:lang w:val="en-US"/>
        </w:rPr>
        <w:t>Leptin</w:t>
      </w:r>
      <w:r>
        <w:rPr>
          <w:rFonts w:eastAsia="Calibri" w:cs="Times-Roman" w:ascii="Times-Roman" w:hAnsi="Times-Roman"/>
          <w:color w:val="18191B"/>
        </w:rPr>
        <w:t xml:space="preserve"> </w:t>
      </w:r>
      <w:r>
        <w:rPr>
          <w:rFonts w:eastAsia="Calibri" w:cs="Times-Roman" w:ascii="Times-Roman" w:hAnsi="Times-Roman"/>
          <w:color w:val="18191B"/>
          <w:lang w:val="en-US"/>
        </w:rPr>
        <w:t>Receptor</w:t>
      </w:r>
      <w:r>
        <w:rPr>
          <w:rFonts w:eastAsia="Calibri" w:cs="Times-Roman" w:ascii="Times-Roman" w:hAnsi="Times-Roman"/>
          <w:color w:val="18191B"/>
        </w:rPr>
        <w:t>-LEPR), υποδοχέας μελανοκορτίνης 4 (</w:t>
      </w:r>
      <w:r>
        <w:rPr>
          <w:rFonts w:eastAsia="Calibri" w:cs="Times-Roman" w:ascii="Times-Roman" w:hAnsi="Times-Roman"/>
          <w:color w:val="18191B"/>
          <w:lang w:val="en-US"/>
        </w:rPr>
        <w:t>Melanocortin</w:t>
      </w:r>
      <w:r>
        <w:rPr>
          <w:rFonts w:eastAsia="Calibri" w:cs="Times-Roman" w:ascii="Times-Roman" w:hAnsi="Times-Roman"/>
          <w:color w:val="18191B"/>
        </w:rPr>
        <w:t xml:space="preserve"> 4 </w:t>
      </w:r>
      <w:r>
        <w:rPr>
          <w:rFonts w:eastAsia="Calibri" w:cs="Times-Roman" w:ascii="Times-Roman" w:hAnsi="Times-Roman"/>
          <w:color w:val="18191B"/>
          <w:lang w:val="en-US"/>
        </w:rPr>
        <w:t>Receptor</w:t>
      </w:r>
      <w:r>
        <w:rPr>
          <w:rFonts w:eastAsia="Calibri" w:cs="Times-Roman" w:ascii="Times-Roman" w:hAnsi="Times-Roman"/>
          <w:color w:val="18191B"/>
        </w:rPr>
        <w:t>-MC4R), προπρωτεΐνη κονβερτάση σουμπτιλισίνη/κεξίνη τύπου 1 (P</w:t>
      </w:r>
      <w:r>
        <w:rPr>
          <w:rFonts w:eastAsia="Calibri" w:cs="Times-Roman" w:ascii="Times-Roman" w:hAnsi="Times-Roman"/>
          <w:color w:val="18191B"/>
          <w:lang w:val="en-US"/>
        </w:rPr>
        <w:t>roprotein</w:t>
      </w:r>
      <w:r>
        <w:rPr>
          <w:rFonts w:eastAsia="Calibri" w:cs="Times-Roman" w:ascii="Times-Roman" w:hAnsi="Times-Roman"/>
          <w:color w:val="18191B"/>
        </w:rPr>
        <w:t xml:space="preserve"> </w:t>
      </w:r>
      <w:r>
        <w:rPr>
          <w:rFonts w:eastAsia="Calibri" w:cs="Times-Roman" w:ascii="Times-Roman" w:hAnsi="Times-Roman"/>
          <w:color w:val="18191B"/>
          <w:lang w:val="en-US"/>
        </w:rPr>
        <w:t>Convertase</w:t>
      </w:r>
      <w:r>
        <w:rPr>
          <w:rFonts w:eastAsia="Calibri" w:cs="Times-Roman" w:ascii="Times-Roman" w:hAnsi="Times-Roman"/>
          <w:color w:val="18191B"/>
        </w:rPr>
        <w:t xml:space="preserve"> </w:t>
      </w:r>
      <w:r>
        <w:rPr>
          <w:rFonts w:eastAsia="Calibri" w:cs="Times-Roman" w:ascii="Times-Roman" w:hAnsi="Times-Roman"/>
          <w:color w:val="18191B"/>
          <w:lang w:val="en-US"/>
        </w:rPr>
        <w:t>Subtilisin</w:t>
      </w:r>
      <w:r>
        <w:rPr>
          <w:rFonts w:eastAsia="Calibri" w:cs="Times-Roman" w:ascii="Times-Roman" w:hAnsi="Times-Roman"/>
          <w:color w:val="18191B"/>
        </w:rPr>
        <w:t>/</w:t>
      </w:r>
      <w:r>
        <w:rPr>
          <w:rFonts w:eastAsia="Calibri" w:cs="Times-Roman" w:ascii="Times-Roman" w:hAnsi="Times-Roman"/>
          <w:color w:val="18191B"/>
          <w:lang w:val="en-US"/>
        </w:rPr>
        <w:t>Kexin</w:t>
      </w:r>
      <w:r>
        <w:rPr>
          <w:rFonts w:eastAsia="Calibri" w:cs="Times-Roman" w:ascii="Times-Roman" w:hAnsi="Times-Roman"/>
          <w:color w:val="18191B"/>
        </w:rPr>
        <w:t xml:space="preserve"> </w:t>
      </w:r>
      <w:r>
        <w:rPr>
          <w:rFonts w:eastAsia="Calibri" w:cs="Times-Roman" w:ascii="Times-Roman" w:hAnsi="Times-Roman"/>
          <w:color w:val="18191B"/>
          <w:lang w:val="en-US"/>
        </w:rPr>
        <w:t>type</w:t>
      </w:r>
      <w:r>
        <w:rPr>
          <w:rFonts w:eastAsia="Calibri" w:cs="Times-Roman" w:ascii="Times-Roman" w:hAnsi="Times-Roman"/>
          <w:color w:val="18191B"/>
        </w:rPr>
        <w:t xml:space="preserve"> 1-PCSK1) και προοπιομελανοκορτίνη (</w:t>
      </w:r>
      <w:r>
        <w:rPr>
          <w:rFonts w:eastAsia="Calibri" w:cs="Times-Roman" w:ascii="Times-Roman" w:hAnsi="Times-Roman"/>
          <w:color w:val="18191B"/>
          <w:lang w:val="en-US"/>
        </w:rPr>
        <w:t>Proopiomelanocortin</w:t>
      </w:r>
      <w:r>
        <w:rPr>
          <w:rFonts w:eastAsia="Calibri" w:cs="Times-Roman" w:ascii="Times-Roman" w:hAnsi="Times-Roman"/>
          <w:color w:val="18191B"/>
        </w:rPr>
        <w:t xml:space="preserve">-POMC) </w:t>
      </w:r>
      <w:r>
        <w:fldChar w:fldCharType="begin"/>
      </w:r>
      <w:r>
        <w:rPr>
          <w:rFonts w:eastAsia="Calibri" w:cs="Times-Roman" w:ascii="Times-Roman" w:hAnsi="Times-Roman"/>
          <w:color w:val="18191B"/>
        </w:rPr>
        <w:instrText xml:space="preserve">ADDIN ZOTERO_ITEM CSL_CITATION {"citationID":"YN4EFkJ2","properties":{"formattedCitation":"[82]\\uc0\\u8211{}[85]","plainCitation":"[82]–[85]","noteIndex":0},"citationItems":[{"id":2806,"uris":["http://zotero.org/users/local/WDVvZTBM/items/YIW254HL"],"itemData":{"id":2806,"type":"article-journal","abstract":"Human obesity has a strong genetic component. Most genes that influence an individual's predisposition to gain weight are not yet known. However, the study of extreme human obesity caused by single gene defects has provided a glimpse into the long-term regulation of body weight. These monogenic obes …","container-title":"Endocrinology and metabolism clinics of North America","DOI":"10.1016/j.ecl.2008.07.003","ISSN":"0889-8529","issue":"3","language":"en","note":"publisher: Endocrinol Metab Clin North Am\nPMID: 18775361","source":"pubmed.ncbi.nlm.nih.gov","title":"Lessons from extreme human obesity: monogenic disorders","title-short":"Lessons from extreme human obesity","URL":"https://pubmed.ncbi.nlm.nih.gov/18775361/","volume":"37","author":[{"family":"Sa","given":"Ranadive"},{"family":"C","given":"Vaisse"}],"accessed":{"date-parts":[["2023",11,18]]},"issued":{"date-parts":[["2008",9]]}}},{"id":2450,"uris":["http://zotero.org/users/local/WDVvZTBM/items/FLDYFCT3"],"itemData":{"id":2450,"type":"article-journal","abstract":"Obesity is a major health problem and an immense economic burden on the health care systems both in the United States and the rest of the world. The prevalence of obesity in children and adults in the United States has increased dramatically over the past decade. Besides environmental factors, genetic factors are known to play an important role in the pathogenesis of obesity. Genome-wide association studies (GWAS) have revealed strongly associated genomic variants associated with most common disorders; indeed there is general consensus on these findings from generally positive replication outcomes by independent groups. To date, there have been only a few GWAS-related reports for childhood obesity specifically, with studies primarily uncovering loci in the adult setting instead. It is clear that a number of loci previously reported from GWAS analyses of adult BMI and/or obesity also play a role in childhood obesity.","container-title":"Journal of Obesity","DOI":"10.1155/2011/845148","ISSN":"2090-0708, 2090-0716","journalAbbreviation":"Journal of Obesity","language":"en","page":"1-9","source":"DOI.org (Crossref)","title":"Genetics of Childhood Obesity","volume":"2011","author":[{"family":"Zhao","given":"Jianhua"},{"family":"Grant","given":"Struan F. A."}],"issued":{"date-parts":[["2011"]]}}},{"id":2812,"uris":["http://zotero.org/users/local/WDVvZTBM/items/A5JQJD26"],"itemData":{"id":2812,"type":"article-journal","abstract":"Heterozygous RSVs in several candidate genes of the melanocortin pathway are found in ~5.0% patients with EOO. These results support the clinical utility of genetic testing to identify patients who might benefit from targeted therapeutic intervention.","container-title":"International journal of obesity (2005)","DOI":"10.1038/s41366-019-0357-5","ISSN":"1476-5497","issue":"4","language":"en","note":"publisher: Int J Obes (Lond)\nPMID: 30926952","source":"pubmed.ncbi.nlm.nih.gov","title":"Heterozygous rare genetic variants in non-syndromic early-onset obesity","URL":"https://pubmed.ncbi.nlm.nih.gov/30926952/","volume":"44","author":[{"family":"C","given":"Serra-Juhé"},{"family":"Gá","given":"Martos-Moreno"},{"family":"F","given":"Bou de Pieri"},{"family":"R","given":"Flores"},{"family":"Ja","given":"Chowen"},{"family":"La","given":"Pérez-Jurado"},{"family":"J","given":"Argente"}],"accessed":{"date-parts":[["2023",11,18]]},"issued":{"date-parts":[["2020",4]]}}},{"id":2814,"uris":["http://zotero.org/users/local/WDVvZTBM/items/A4UAQ7B6"],"itemData":{"id":2814,"type":"article-journal","abstract":"Obesity is associated with increased morbidity and mortality from cardiovascular disease, diabetes mellitus and certain cancers. The prevalence of obesity is increasing rapidly throughout the world and is now recognized as a major global public-health concern. Although the increased prevalence of ob …","container-title":"Nature clinical practice. Endocrinology &amp; metabolism","DOI":"10.1038/ncpendmet0966","ISSN":"1745-8374","issue":"10","language":"en","note":"publisher: Nat Clin Pract Endocrinol Metab\nPMID: 18779842","source":"pubmed.ncbi.nlm.nih.gov","title":"Mutations in ligands and receptors of the leptin-melanocortin pathway that lead to obesity","URL":"https://pubmed.ncbi.nlm.nih.gov/18779842/","volume":"4","author":[{"family":"Is","given":"Farooqi"},{"family":"S","given":"O'Rahilly"}],"accessed":{"date-parts":[["2023",11,18]]},"issued":{"date-parts":[["2008",10]]}}}],"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r>
      <w:r>
        <w:rPr>
          <w:rFonts w:ascii="Times-Roman" w:hAnsi="Times-Roman"/>
          <w:color w:val="000000"/>
        </w:rPr>
        <w:t>[82]–[85]</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Εκτιμάται ότι το 7% των ασθενών με σοβαρή παιδιατρική παχυσαρκία μπορεί να έχ</w:t>
      </w:r>
      <w:r>
        <w:rPr>
          <w:rFonts w:eastAsia="Calibri" w:cs="Times-Roman" w:ascii="Times-Roman" w:hAnsi="Times-Roman"/>
          <w:color w:val="18191B"/>
          <w:lang w:val="en-US"/>
        </w:rPr>
        <w:t>oyn</w:t>
      </w:r>
      <w:r>
        <w:rPr>
          <w:rFonts w:eastAsia="Calibri" w:cs="Times-Roman" w:ascii="Times-Roman" w:hAnsi="Times-Roman"/>
          <w:color w:val="18191B"/>
        </w:rPr>
        <w:t xml:space="preserve"> σπάνιες ανωμαλίες των χρωμοσωμάτων και/ή γενετικές μεταλλάξεις με υψηλή διεισδυτικότητα </w:t>
      </w:r>
      <w:r>
        <w:fldChar w:fldCharType="begin"/>
      </w:r>
      <w:r>
        <w:rPr>
          <w:rFonts w:eastAsia="Calibri" w:cs="Times-Roman" w:ascii="Times-Roman" w:hAnsi="Times-Roman"/>
          <w:color w:val="18191B"/>
        </w:rPr>
        <w:instrText xml:space="preserve">ADDIN ZOTERO_ITEM CSL_CITATION {"citationID":"QTiZxS8w","properties":{"formattedCitation":"[86]","plainCitation":"[86]","noteIndex":0},"citationItems":[{"id":2817,"uris":["http://zotero.org/users/local/WDVvZTBM/items/SPR8QT5M"],"itemData":{"id":2817,"type":"article-journal","abstract":"Pediatric obesity remains an ongoing serious international health concern affecting ∼17% of US children and adolescents, threatening their adult health and longevity. Pediatric obesity has its basis in genetic susceptibilities influenced by a permissive environment starting in utero and extending th …","container-title":"The Journal of clinical endocrinology and metabolism","DOI":"10.1210/jc.2016-2573","ISSN":"1945-7197","issue":"3","language":"en","note":"publisher: J Clin Endocrinol Metab\nPMID: 28359099","source":"pubmed.ncbi.nlm.nih.gov","title":"Pediatric Obesity-Assessment, Treatment, and Prevention: An Endocrine Society Clinical Practice Guideline","title-short":"Pediatric Obesity-Assessment, Treatment, and Prevention","URL":"https://pubmed.ncbi.nlm.nih.gov/28359099/","volume":"102","author":[{"family":"Dm","given":"Styne"},{"family":"Sa","given":"Arslanian"},{"family":"El","given":"Connor"},{"family":"Is","given":"Farooqi"},{"family":"Mh","given":"Murad"},{"family":"Jh","given":"Silverstein"},{"family":"Ja","given":"Yanovski"}],"accessed":{"date-parts":[["2023",11,18]]},"issued":{"date-parts":[["2017",1,3]]}}}],"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[86]</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w:t>
      </w:r>
    </w:p>
    <w:p>
      <w:pPr>
        <w:pStyle w:val="Heading3"/>
        <w:rPr/>
      </w:pPr>
      <w:bookmarkStart w:id="55" w:name="_Toc154923826"/>
      <w:r>
        <w:rPr/>
        <w:t xml:space="preserve">3.3.1 </w:t>
      </w:r>
      <w:r>
        <w:rPr>
          <w:rFonts w:eastAsia="Calibri" w:cs="Times-Roman" w:ascii="Times-Roman" w:hAnsi="Times-Roman"/>
          <w:color w:val="18191B"/>
        </w:rPr>
        <w:t>Ανεπάρκεια προοπιομελανοκορτίνης (</w:t>
      </w:r>
      <w:r>
        <w:rPr>
          <w:rFonts w:eastAsia="Calibri" w:cs="Times-Roman" w:ascii="Times-Roman" w:hAnsi="Times-Roman"/>
          <w:color w:val="18191B"/>
          <w:lang w:val="en-US"/>
        </w:rPr>
        <w:t>Proopiomelanocortin</w:t>
      </w:r>
      <w:r>
        <w:rPr>
          <w:rFonts w:eastAsia="Calibri" w:cs="Times-Roman" w:ascii="Times-Roman" w:hAnsi="Times-Roman"/>
          <w:color w:val="18191B"/>
        </w:rPr>
        <w:t>-POMC).</w:t>
      </w:r>
      <w:bookmarkEnd w:id="55"/>
    </w:p>
    <w:p>
      <w:pPr>
        <w:pStyle w:val="Normal"/>
        <w:spacing w:lineRule="auto" w:line="360"/>
        <w:ind w:firstLine="720"/>
        <w:jc w:val="both"/>
        <w:rPr/>
      </w:pPr>
      <w:r>
        <w:rPr>
          <w:rFonts w:eastAsia="Calibri" w:cs="Times-Roman" w:ascii="Times-Roman" w:hAnsi="Times-Roman"/>
          <w:color w:val="18191B"/>
        </w:rPr>
        <w:t xml:space="preserve">Η ανεπάρκεια προοπιομελανοκορτίνης (POMC) είναι αυτοσωματική υπολειπόμενη διαταραχή που μπορεί να προκαλέσει παχυσαρκία στα παιδιά [21]. Χαρακτηρίζεται από υπερφαγία και παχυσαρκία πρώιμης έναρξης. Η ανεπάρκεια POMC μπορεί επίσης να οδηγήσει σε κρίση των επινεφριδίων λόγω ανεπάρκειας της φλοιοεπινεφριδικής ορμόνης (ACTH). (με ACTH που σχετίζεται επίσης με υπομελάγχρωση) </w:t>
      </w:r>
      <w:r>
        <w:fldChar w:fldCharType="begin"/>
      </w:r>
      <w:r>
        <w:rPr>
          <w:rFonts w:eastAsia="Calibri" w:cs="Times-Roman" w:ascii="Times-Roman" w:hAnsi="Times-Roman"/>
          <w:color w:val="18191B"/>
        </w:rPr>
        <w:instrText xml:space="preserve">ADDIN ZOTERO_ITEM CSL_CITATION {"citationID":"dF0GAH7J","properties":{"formattedCitation":"[60]","plainCitation":"[60]","noteIndex":0},"citationItems":[{"id":2417,"uris":["http://zotero.org/users/local/WDVvZTBM/items/2MUY9SGM"],"itemData":{"id":2417,"type":"article-journal","abstract":"Background: This Obesity Medicine Association (OMA) clinical practice statement (CPS) covers two topics: 1) genetics and 2) social consequences for the child with overweight and obesity. This CPS is intended to provide clinicians with an overview of clinical practices applicable to children and adolescents with body mass indices greater than or equal to the 85th percentile for their ages, particularly those with adverse consequences resulting from increased body mass. The information in this CPS is based on scientiﬁc evidence, supported by the medical literature, and derived from the clinical experiences of members of the OMA.\nMethods: The scientiﬁc information and clinical guidance in this CPS is based upon referenced evidence and derived from the clinical perspectives of the authors.\nResults: This OMA clinical practice statement details two topics: 1) genetics and 2) social consequences for the child with overweight and obesity.\nConclusions: This OMA clinical practice statement on genetics and social consequences for the child with overweight and obesity is an overview of current literature. The literature provides a roadmap to the improvement of the health of children and adolescents with obesity, especially those with metabolic, physiological, and psychological complications.","container-title":"Obesity Pillars","DOI":"10.1016/j.obpill.2022.100032","ISSN":"26673681","journalAbbreviation":"Obesity Pillars","language":"en","page":"100032","source":"DOI.org (Crossref)","title":"Social consequences and genetics for the child with overweight and obesity: An obesity medicine association (OMA) clinical practice statement 2022","title-short":"Social consequences and genetics for the child with overweight and obesity","volume":"3","author":[{"family":"Cuda","given":"Suzanne"},{"family":"Censani","given":"Marisa"},{"family":"Kharofa","given":"Roohi"},{"family":"Williams","given":"Dominique R."},{"family":"O'Hara","given":"Valerie"},{"family":"Karjoo","given":"Sara"},{"family":"Paisley","given":"Jennifer"},{"family":"Browne","given":"Nancy T."}],"issued":{"date-parts":[["2022",9]]}}}],"schema":"https://github.com/citation-style-language/schema/raw/master/csl-citation.json"}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[60]</w:t>
      </w:r>
      <w:r>
        <w:rPr>
          <w:rFonts w:eastAsia="Calibri" w:cs="Times-Roman" w:ascii="Times-Roman" w:hAnsi="Times-Roman"/>
          <w:color w:val="18191B"/>
        </w:rPr>
      </w:r>
      <w:r>
        <w:rPr>
          <w:rFonts w:eastAsia="Calibri" w:cs="Times-Roman" w:ascii="Times-Roman" w:hAnsi="Times-Roman"/>
          <w:color w:val="18191B"/>
        </w:rPr>
        <w:fldChar w:fldCharType="end"/>
      </w:r>
      <w:r>
        <w:fldChar w:fldCharType="begin"/>
      </w:r>
      <w:r>
        <w:rPr>
          <w:rFonts w:eastAsia="Calibri" w:cs="Times-Roman" w:ascii="Times-Roman" w:hAnsi="Times-Roman"/>
          <w:color w:val="18191B"/>
        </w:rPr>
        <w:instrText xml:space="preserve">ADDIN ZOTERO_ITEM CSL_CITATION {"citationID":"1i8rdKce","properties":{"formattedCitation":"[81]","plainCitation":"[81]","noteIndex":0},"citationItems":[{"id":2396,"uris":["http://zotero.org/users/local/WDVvZTBM/items/3D97LWZP"],"itemData":{"id":2396,"type":"article-journal","abstract":"Based on the genetic contribution, childhood obesity can be classified into 3 groups: common polygenic obesity, syndromic obesity, and monogenic obesity. More genetic causes of obesity are being identified along with the advances in the genetic testing. Genetic obesities including syndromic and monogenic obesity should be suspected and evaluated in children with early-onset morbid obesity and hyperphagia under 5 years of age. Patients with syndromic obesity have early-onset severe obesity associated specific genetic syndromes including Prader-Willi syndrome, Bardet-Biedle syndrome, and Alstrom syndrome. Syndromic obesity is often accompanied with neurodevelopmental delay or dysmorphic features. Nonsyndromic monogenic obesity is caused by variants in single gene which are usually involved in the regulation of hunger and satiety associated with the hypothalamic leptin-melanocortin pathway in central nervous system. Unlike syndromic obesity, patients with monogenic obesity usually show normal neurodevelopment. They would be presented with hyperphagia and early-onset severe obesity with additional clinical symptoms including short stature, red hair, adrenal insufficiency, hypothyroidism, hypogonadism, pituitary insufficiencies, diabetes insipidus, increased predisposition to infection or intractable recurrent diarrhea. Identifying patients with genetic obesity is critical as new innovative therapies including melanocortin 4 receptor agonist have become available. Early genetic evaluation enables to identify treatable obesity and provide timely intervention which may eventually achieve favorable outcome by establishing personalized management.","container-title":"Annals of Pediatric Endocrinology &amp; Metabolism","DOI":"10.6065/apem.2244188.094","ISSN":"2287-1012, 2287-1292","issue":"3","journalAbbreviation":"Ann Pediatr Endocrinol Metab","language":"en","page":"169-175","source":"DOI.org (Crossref)","title":"Genetic obesity: an update with emerging therapeutic approaches","title-short":"Genetic obesity","volume":"27","author":[{"family":"Sohn","given":"Young Bae"}],"issued":{"date-parts":[["2022",9,30]]}}}],"schema":"https://github.com/citation-style-language/schema/raw/master/csl-citation.json"}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[81]</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w:t>
      </w:r>
      <w:r>
        <w:rPr>
          <w:rFonts w:eastAsia="Calibri" w:cs="Times-Roman" w:ascii="Times-Roman" w:hAnsi="Times-Roman"/>
          <w:color w:val="18191B"/>
          <w:lang w:val="en-US"/>
        </w:rPr>
        <w:t>H</w:t>
      </w:r>
      <w:r>
        <w:rPr>
          <w:rFonts w:eastAsia="Calibri" w:cs="Times-Roman" w:ascii="Times-Roman" w:hAnsi="Times-Roman"/>
          <w:color w:val="18191B"/>
        </w:rPr>
        <w:t xml:space="preserve"> Σετμελανοτίδη εγκρίθηκε από τον FDA το 2020 για τη θεραπεία ατόμων 6 ετών και άνω, με παχυσαρκία λόγω ανεπάρκεια</w:t>
      </w:r>
      <w:r>
        <w:rPr>
          <w:rFonts w:eastAsia="Calibri" w:cs="Times-Roman" w:ascii="Times-Roman" w:hAnsi="Times-Roman"/>
          <w:color w:val="18191B"/>
          <w:lang w:val="en-US"/>
        </w:rPr>
        <w:t>w</w:t>
      </w:r>
      <w:r>
        <w:rPr>
          <w:rFonts w:eastAsia="Calibri" w:cs="Times-Roman" w:ascii="Times-Roman" w:hAnsi="Times-Roman"/>
          <w:color w:val="18191B"/>
        </w:rPr>
        <w:t xml:space="preserve"> POMC </w:t>
      </w:r>
      <w:r>
        <w:fldChar w:fldCharType="begin"/>
      </w:r>
      <w:r>
        <w:rPr>
          <w:rFonts w:eastAsia="Calibri" w:cs="Times-Roman" w:ascii="Times-Roman" w:hAnsi="Times-Roman"/>
          <w:color w:val="18191B"/>
        </w:rPr>
        <w:instrText xml:space="preserve">ADDIN ZOTERO_ITEM CSL_CITATION {"citationID":"89ANej84","properties":{"formattedCitation":"[87]","plainCitation":"[87]","noteIndex":0},"citationItems":[{"id":2821,"uris":["http://zotero.org/users/local/WDVvZTBM/items/3888TKQ2"],"itemData":{"id":2821,"type":"article-journal","abstract":"Setmelanotide (IMCIVREE™, Rhythm Pharmaceuticals) is a melanocortin-4 (MC4) receptor agonist developed for the treatment of obesity arising from proopiomelanocortin (POMC), proprotein convertase subtilisin/kexin type 1 (PCSK1), or leptin receptor (LEPR) deficiency. The drug has received its first ap …","container-title":"Drugs","DOI":"10.1007/s40265-021-01470-9","ISSN":"1179-1950","issue":"3","language":"en","note":"publisher: Drugs\nPMID: 33638809","source":"pubmed.ncbi.nlm.nih.gov","title":"Setmelanotide: First Approval","title-short":"Setmelanotide","URL":"https://pubmed.ncbi.nlm.nih.gov/33638809/","volume":"81","author":[{"family":"A","given":"Markham"}],"accessed":{"date-parts":[["2023",11,18]]},"issued":{"date-parts":[["2021",2]]}}}],"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[87]</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Πραγματοποιήθηκαν δοκιμές σε δέκα νοσοκομεία των Καναδά, ΗΠΑ, Βέλγιο, Γαλλία, Γερμανία, Ολλανδία και Η.Β , με συμμετέχοντες παιδιά 6 ετών και άνω με παχυσαρκία λόγω ανεπάρκειας POMC ή LEPR, με λήψη σετμελανοτίδης για 12 εβδομάδες. Δέκα συμμετέχοντες εγγράφηκαν στη δοκιμή POMC με μέση ποσοστιαία μεταβολή στο βαθμολογία μεγαλύτερης πείνας  27</w:t>
      </w:r>
      <w:r>
        <w:rPr>
          <w:rFonts w:eastAsia="Calibri" w:cs="Cambria Math" w:ascii="Cambria Math" w:hAnsi="Cambria Math"/>
          <w:color w:val="18191B"/>
        </w:rPr>
        <w:t>,</w:t>
      </w:r>
      <w:r>
        <w:rPr>
          <w:rFonts w:eastAsia="Calibri" w:cs="Times-Roman" w:ascii="Times-Roman" w:hAnsi="Times-Roman"/>
          <w:color w:val="18191B"/>
        </w:rPr>
        <w:t>1% (n=7; 90% CI -40</w:t>
      </w:r>
      <w:r>
        <w:rPr>
          <w:rFonts w:eastAsia="Calibri" w:cs="Cambria Math" w:ascii="Cambria Math" w:hAnsi="Cambria Math"/>
          <w:color w:val="18191B"/>
        </w:rPr>
        <w:t>,</w:t>
      </w:r>
      <w:r>
        <w:rPr>
          <w:rFonts w:eastAsia="Calibri" w:cs="Times-Roman" w:ascii="Times-Roman" w:hAnsi="Times-Roman"/>
          <w:color w:val="18191B"/>
        </w:rPr>
        <w:t>6 έως  15</w:t>
      </w:r>
      <w:r>
        <w:rPr>
          <w:rFonts w:eastAsia="Calibri" w:cs="Cambria Math" w:ascii="Cambria Math" w:hAnsi="Cambria Math"/>
          <w:color w:val="18191B"/>
        </w:rPr>
        <w:t>,</w:t>
      </w:r>
      <w:r>
        <w:rPr>
          <w:rFonts w:eastAsia="Calibri" w:cs="Times-Roman" w:ascii="Times-Roman" w:hAnsi="Times-Roman"/>
          <w:color w:val="18191B"/>
        </w:rPr>
        <w:t>0; P=0</w:t>
      </w:r>
      <w:r>
        <w:rPr>
          <w:rFonts w:eastAsia="Calibri" w:cs="Cambria Math" w:ascii="Cambria Math" w:hAnsi="Cambria Math"/>
          <w:color w:val="18191B"/>
        </w:rPr>
        <w:t>,</w:t>
      </w:r>
      <w:r>
        <w:rPr>
          <w:rFonts w:eastAsia="Calibri" w:cs="Times-Roman" w:ascii="Times-Roman" w:hAnsi="Times-Roman"/>
          <w:color w:val="18191B"/>
        </w:rPr>
        <w:t xml:space="preserve">0005) σε μια δοκιμή και οκτώ (80%) συμμετέχοντες που πέτυχαν τουλάχιστον 10% απώλεια βάρους σε περίπου 1 έτος </w:t>
      </w:r>
      <w:r>
        <w:fldChar w:fldCharType="begin"/>
      </w:r>
      <w:r>
        <w:rPr>
          <w:rFonts w:eastAsia="Calibri" w:cs="Times-Roman" w:ascii="Times-Roman" w:hAnsi="Times-Roman"/>
          <w:color w:val="18191B"/>
        </w:rPr>
        <w:instrText xml:space="preserve">ADDIN ZOTERO_ITEM CSL_CITATION {"citationID":"luvR4ZZN","properties":{"formattedCitation":"[88]","plainCitation":"[88]","noteIndex":0},"citationItems":[{"id":2823,"uris":["http://zotero.org/users/local/WDVvZTBM/items/FNV29X87"],"itemData":{"id":2823,"type":"article-journal","abstract":"Rhythm Pharmaceuticals.","container-title":"The lancet. Diabetes &amp; endocrinology","DOI":"10.1016/S2213-8587(20)30364-8","ISSN":"2213-8595","issue":"12","language":"en","note":"publisher: Lancet Diabetes Endocrinol\nPMID: 33137293","source":"pubmed.ncbi.nlm.nih.gov","title":"Efficacy and safety of setmelanotide, an MC4R agonist, in individuals with severe obesity due to LEPR or POMC deficiency: single-arm, open-label, multicentre, phase 3 trials","title-short":"Efficacy and safety of setmelanotide, an MC4R agonist, in individuals with severe obesity due to LEPR or POMC deficiency","URL":"https://pubmed.ncbi.nlm.nih.gov/33137293/","volume":"8","author":[{"family":"K","given":"Clément"},{"family":"E","given":"van den Akker"},{"family":"J","given":"Argente"},{"family":"A","given":"Bahm"},{"family":"Wk","given":"Chung"},{"family":"H","given":"Connors"},{"family":"K","given":"De Waele"},{"family":"Is","given":"Farooqi"},{"family":"J","given":"Gonneau-Lejeune"},{"family":"G","given":"Gordon"},{"family":"K","given":"Kohlsdorf"},{"family":"C","given":"Poitou"},{"family":"L","given":"Puder"},{"family":"J","given":"Swain"},{"family":"M","given":"Stewart"},{"family":"G","given":"Yuan"},{"family":"M","given":"Wabitsch"},{"family":"P","given":"Kühnen"}],"accessed":{"date-parts":[["2023",11,18]]},"issued":{"date-parts":[["2020",12]]}}}],"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[88]</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w:t>
      </w:r>
    </w:p>
    <w:p>
      <w:pPr>
        <w:pStyle w:val="Normal"/>
        <w:rPr/>
      </w:pPr>
      <w:r>
        <w:rPr/>
      </w:r>
    </w:p>
    <w:p>
      <w:pPr>
        <w:pStyle w:val="Heading3"/>
        <w:rPr/>
      </w:pPr>
      <w:bookmarkStart w:id="56" w:name="_Toc154923827"/>
      <w:r>
        <w:rPr/>
        <w:t xml:space="preserve">3.3.2 </w:t>
      </w:r>
      <w:r>
        <w:rPr>
          <w:rFonts w:eastAsia="Calibri" w:cs="Times-Roman" w:ascii="Times-Roman" w:hAnsi="Times-Roman"/>
          <w:color w:val="18191B"/>
        </w:rPr>
        <w:t>Ανεπάρκεια υποδοχέα μελανοκορτίνης 4 (M</w:t>
      </w:r>
      <w:r>
        <w:rPr>
          <w:rFonts w:eastAsia="Calibri" w:cs="Times-Roman" w:ascii="Times-Roman" w:hAnsi="Times-Roman"/>
          <w:color w:val="18191B"/>
          <w:lang w:val="en-US"/>
        </w:rPr>
        <w:t>C</w:t>
      </w:r>
      <w:r>
        <w:rPr>
          <w:rFonts w:eastAsia="Calibri" w:cs="Times-Roman" w:ascii="Times-Roman" w:hAnsi="Times-Roman"/>
          <w:color w:val="18191B"/>
        </w:rPr>
        <w:t>4</w:t>
      </w:r>
      <w:r>
        <w:rPr>
          <w:rFonts w:eastAsia="Calibri" w:cs="Times-Roman" w:ascii="Times-Roman" w:hAnsi="Times-Roman"/>
          <w:color w:val="18191B"/>
          <w:lang w:val="en-US"/>
        </w:rPr>
        <w:t>R</w:t>
      </w:r>
      <w:r>
        <w:rPr>
          <w:rFonts w:eastAsia="Calibri" w:cs="Times-Roman" w:ascii="Times-Roman" w:hAnsi="Times-Roman"/>
          <w:color w:val="18191B"/>
        </w:rPr>
        <w:t>)</w:t>
      </w:r>
      <w:bookmarkEnd w:id="56"/>
    </w:p>
    <w:p>
      <w:pPr>
        <w:pStyle w:val="Normal"/>
        <w:spacing w:lineRule="auto" w:line="360"/>
        <w:ind w:firstLine="720"/>
        <w:jc w:val="both"/>
        <w:rPr/>
      </w:pPr>
      <w:r>
        <w:rPr>
          <w:rFonts w:eastAsia="Calibri" w:cs="Times-Roman" w:ascii="Times-Roman" w:hAnsi="Times-Roman"/>
          <w:color w:val="18191B"/>
        </w:rPr>
        <w:t xml:space="preserve">Οι μεταλλάξεις του υποδοχέα μελανοκορτίνης 4 (MC4R) είναι οι πιο συχνές μονογονιδιακής μορφής παχυσαρκίας </w:t>
      </w:r>
      <w:r>
        <w:fldChar w:fldCharType="begin"/>
      </w:r>
      <w:r>
        <w:rPr>
          <w:rFonts w:eastAsia="Calibri" w:cs="Times-Roman" w:ascii="Times-Roman" w:hAnsi="Times-Roman"/>
          <w:color w:val="18191B"/>
        </w:rPr>
        <w:instrText xml:space="preserve">ADDIN ZOTERO_ITEM CSL_CITATION {"citationID":"7YdUkVPe","properties":{"formattedCitation":"[79]","plainCitation":"[79]","noteIndex":0},"citationItems":[{"id":2422,"uris":["http://zotero.org/users/local/WDVvZTBM/items/C6N2NYQI"],"itemData":{"id":2422,"type":"article-journal","abstract":"Childhood obesity is becoming a global epidemic. Twin studies suggest a heritability of fat mass, and disorders of energy balance that arise from genetic defects have been identiﬁed. In the past three years, ﬁve single gene disorders resulting in early onset obesity have been characterised. The discovery of these genetic defects has biological and clinical implications which are greater than the rarity of the individual diseases might suggest.","container-title":"Archives of Disease in Childhood","DOI":"10.1136/adc.83.1.31","ISSN":"00039888","issue":"1","language":"en","page":"31-34","source":"DOI.org (Crossref)","title":"Recent advances: Recent advances in the genetics of severe childhood obesity","title-short":"Recent advances","volume":"83","author":[{"family":"Farooqi","given":"I S."}],"issued":{"date-parts":[["2000",7,1]]}}}],"schema":"https://github.com/citation-style-language/schema/raw/master/csl-citation.json"}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[79]</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Έχουν αναφερθεί ότι οι μεταλλάξεις του γονιδίου MC4R αντιπροσωπεύουν μεταξύ 2,5% και 5,8% της σοβαρής παχυσαρκίας σε πληθυσμούς παιδικής και ενήλικης ζωής </w:t>
      </w:r>
      <w:r>
        <w:fldChar w:fldCharType="begin"/>
      </w:r>
      <w:r>
        <w:rPr>
          <w:rFonts w:eastAsia="Calibri" w:cs="Times-Roman" w:ascii="Times-Roman" w:hAnsi="Times-Roman"/>
          <w:color w:val="18191B"/>
        </w:rPr>
        <w:instrText xml:space="preserve">ADDIN ZOTERO_ITEM CSL_CITATION {"citationID":"SXVXvo1q","properties":{"formattedCitation":"[89]","plainCitation":"[89]","noteIndex":0},"citationItems":[{"id":2825,"uris":["http://zotero.org/users/local/WDVvZTBM/items/MSX3BFSR"],"itemData":{"id":2825,"type":"article-journal","abstract":"Delayed gastric emptying and reduced basal PYY secretion may contribute to impaired satiety in people with obesity due to MC4R deficiency.","container-title":"Clinical endocrinology","DOI":"10.1111/cen.14615","ISSN":"1365-2265","issue":"2","language":"en","note":"publisher: Clin Endocrinol (Oxf)\nPMID: 34694010","source":"pubmed.ncbi.nlm.nih.gov","title":"Obesity due to melanocortin 4 receptor (MC4R) deficiency is associated with delayed gastric emptying","URL":"https://pubmed.ncbi.nlm.nih.gov/34694010/","volume":"96","author":[{"family":"E","given":"Seelig"},{"family":"E","given":"Henning"},{"family":"Jm","given":"Keogh"},{"family":"D","given":"Gillett"},{"family":"E","given":"Shin"},{"family":"J","given":"Buscombe"},{"family":"Aa","given":"van der Klaauw"},{"family":"Is","given":"Farooqi"}],"accessed":{"date-parts":[["2023",11,18]]},"issued":{"date-parts":[["2022",2]]}}}],"schema":"https://github.com/citation-style-language/schema/raw/master/csl-citation.json"}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[89]</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Αυτό το σύνδρομο μπορεί να οδηγήσει σε αύξηση γραμμικής ανάπτυξης και τελικού ύψους, αυξημένη λιπώδης μάζα και σοβαρή υπερινσουλιναιμία </w:t>
      </w:r>
      <w:r>
        <w:fldChar w:fldCharType="begin"/>
      </w:r>
      <w:r>
        <w:rPr>
          <w:rFonts w:eastAsia="Calibri" w:cs="Times-Roman" w:ascii="Times-Roman" w:hAnsi="Times-Roman"/>
          <w:color w:val="18191B"/>
        </w:rPr>
        <w:instrText xml:space="preserve">ADDIN ZOTERO_ITEM CSL_CITATION {"citationID":"OTWvrkfI","properties":{"formattedCitation":"[67]","plainCitation":"[67]","noteIndex":0},"citationItems":[{"id":2785,"uris":["http://zotero.org/users/local/WDVvZTBM/items/7BRQSQSI"],"itemData":{"id":2785,"type":"article-journal","abstract":"Obesity is increasing in prevalence in the United States with over 65% of adults considered overweight and 16% of children with BMI &gt; 95 percentile. The heritability of obesity is estimated between 40 and 70%, but the genetics of obesity for most ...","container-title":"Pediatric blood &amp; cancer","DOI":"10.1002/pbc.23372","issue":"1","language":"en","note":"publisher: NIH Public Access\nPMID: 21994130","page":"122","source":"www.ncbi.nlm.nih.gov","title":"An Overview of Mongenic and Syndromic Obesities in Humans","volume":"58","author":[{"family":"Chung","given":"Wendy K."}],"issued":{"date-parts":[["2012",1]]}}}],"schema":"https://github.com/citation-style-language/schema/raw/master/csl-citation.json"}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[67]</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w:t>
      </w:r>
    </w:p>
    <w:p>
      <w:pPr>
        <w:pStyle w:val="Normal"/>
        <w:rPr/>
      </w:pPr>
      <w:r>
        <w:rPr/>
      </w:r>
    </w:p>
    <w:p>
      <w:pPr>
        <w:pStyle w:val="Heading3"/>
        <w:rPr/>
      </w:pPr>
      <w:bookmarkStart w:id="57" w:name="_Toc154923828"/>
      <w:r>
        <w:rPr/>
        <w:t xml:space="preserve">3.3.3 </w:t>
      </w:r>
      <w:r>
        <w:rPr>
          <w:rFonts w:eastAsia="Calibri" w:cs="Times-Roman" w:ascii="Times-Roman" w:hAnsi="Times-Roman"/>
          <w:color w:val="18191B"/>
        </w:rPr>
        <w:t>Συγγενής ανεπάρκεια λεπτίνης</w:t>
      </w:r>
      <w:bookmarkEnd w:id="57"/>
    </w:p>
    <w:p>
      <w:pPr>
        <w:pStyle w:val="Normal"/>
        <w:spacing w:lineRule="auto" w:line="360"/>
        <w:ind w:firstLine="720"/>
        <w:jc w:val="both"/>
        <w:rPr/>
      </w:pPr>
      <w:r>
        <w:rPr>
          <w:rFonts w:eastAsia="Calibri" w:cs="Times-Roman" w:ascii="Times-Roman" w:hAnsi="Times-Roman"/>
          <w:color w:val="18191B"/>
        </w:rPr>
        <w:t xml:space="preserve">Η συγγενής ανεπάρκεια λεπτίνης είναι μια αυτοσωματική υπολειπόμενη γενετική πάθηση που προκαλείται από ομόζυγες μεταλλάξεις του γονιδίου της λεπτίνης [8]. Αυτές οι μεταλλάξεις μπορούν να οδηγήσουν σε υπογοναδοτροπικό υπογοναδισμό, έντονη υπερφαγία και εξασθενημένο κορεσμό και απουσία ανάπτυξης σωματικής </w:t>
      </w:r>
      <w:r>
        <w:fldChar w:fldCharType="begin"/>
      </w:r>
      <w:r>
        <w:rPr>
          <w:rFonts w:eastAsia="Calibri" w:cs="Times-Roman" w:ascii="Times-Roman" w:hAnsi="Times-Roman"/>
          <w:color w:val="18191B"/>
        </w:rPr>
        <w:instrText xml:space="preserve">ADDIN ZOTERO_ITEM CSL_CITATION {"citationID":"V9BtwYKR","properties":{"formattedCitation":"[60], [79]","plainCitation":"[60], [79]","noteIndex":0},"citationItems":[{"id":2417,"uris":["http://zotero.org/users/local/WDVvZTBM/items/2MUY9SGM"],"itemData":{"id":2417,"type":"article-journal","abstract":"Background: This Obesity Medicine Association (OMA) clinical practice statement (CPS) covers two topics: 1) genetics and 2) social consequences for the child with overweight and obesity. This CPS is intended to provide clinicians with an overview of clinical practices applicable to children and adolescents with body mass indices greater than or equal to the 85th percentile for their ages, particularly those with adverse consequences resulting from increased body mass. The information in this CPS is based on scientiﬁc evidence, supported by the medical literature, and derived from the clinical experiences of members of the OMA.\nMethods: The scientiﬁc information and clinical guidance in this CPS is based upon referenced evidence and derived from the clinical perspectives of the authors.\nResults: This OMA clinical practice statement details two topics: 1) genetics and 2) social consequences for the child with overweight and obesity.\nConclusions: This OMA clinical practice statement on genetics and social consequences for the child with overweight and obesity is an overview of current literature. The literature provides a roadmap to the improvement of the health of children and adolescents with obesity, especially those with metabolic, physiological, and psychological complications.","container-title":"Obesity Pillars","DOI":"10.1016/j.obpill.2022.100032","ISSN":"26673681","journalAbbreviation":"Obesity Pillars","language":"en","page":"100032","source":"DOI.org (Crossref)","title":"Social consequences and genetics for the child with overweight and obesity: An obesity medicine association (OMA) clinical practice statement 2022","title-short":"Social consequences and genetics for the child with overweight and obesity","volume":"3","author":[{"family":"Cuda","given":"Suzanne"},{"family":"Censani","given":"Marisa"},{"family":"Kharofa","given":"Roohi"},{"family":"Williams","given":"Dominique R."},{"family":"O'Hara","given":"Valerie"},{"family":"Karjoo","given":"Sara"},{"family":"Paisley","given":"Jennifer"},{"family":"Browne","given":"Nancy T."}],"issued":{"date-parts":[["2022",9]]}}},{"id":2422,"uris":["http://zotero.org/users/local/WDVvZTBM/items/C6N2NYQI"],"itemData":{"id":2422,"type":"article-journal","abstract":"Childhood obesity is becoming a global epidemic. Twin studies suggest a heritability of fat mass, and disorders of energy balance that arise from genetic defects have been identiﬁed. In the past three years, ﬁve single gene disorders resulting in early onset obesity have been characterised. The discovery of these genetic defects has biological and clinical implications which are greater than the rarity of the individual diseases might suggest.","container-title":"Archives of Disease in Childhood","DOI":"10.1136/adc.83.1.31","ISSN":"00039888","issue":"1","language":"en","page":"31-34","source":"DOI.org (Crossref)","title":"Recent advances: Recent advances in the genetics of severe childhood obesity","title-short":"Recent advances","volume":"83","author":[{"family":"Farooqi","given":"I S."}],"issued":{"date-parts":[["2000",7,1]]}}}],"schema":"https://github.com/citation-style-language/schema/raw/master/csl-citation.json"}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[60], [79]</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Άλλα συμπτώματα μπορεί να περιλαμβάνουν δυσλειτουργία του ανοσοποιητικού Τ και συχνές βακτηριακές λοιμώξεις. Η κλινική απάντηση στη συγγενή ανεπάρκεια λεπτίνης είναι η χορήγηση ανασυνδυασμένης λεπτίνης, η οποία θα έχει σημαντική επίδραση στην όρεξη </w:t>
      </w:r>
      <w:r>
        <w:fldChar w:fldCharType="begin"/>
      </w:r>
      <w:r>
        <w:rPr>
          <w:rFonts w:eastAsia="Calibri" w:cs="Times-Roman" w:ascii="Times-Roman" w:hAnsi="Times-Roman"/>
          <w:color w:val="18191B"/>
        </w:rPr>
        <w:instrText xml:space="preserve">ADDIN ZOTERO_ITEM CSL_CITATION {"citationID":"Q8mxb73X","properties":{"formattedCitation":"[60], [79]","plainCitation":"[60], [79]","noteIndex":0},"citationItems":[{"id":2417,"uris":["http://zotero.org/users/local/WDVvZTBM/items/2MUY9SGM"],"itemData":{"id":2417,"type":"article-journal","abstract":"Background: This Obesity Medicine Association (OMA) clinical practice statement (CPS) covers two topics: 1) genetics and 2) social consequences for the child with overweight and obesity. This CPS is intended to provide clinicians with an overview of clinical practices applicable to children and adolescents with body mass indices greater than or equal to the 85th percentile for their ages, particularly those with adverse consequences resulting from increased body mass. The information in this CPS is based on scientiﬁc evidence, supported by the medical literature, and derived from the clinical experiences of members of the OMA.\nMethods: The scientiﬁc information and clinical guidance in this CPS is based upon referenced evidence and derived from the clinical perspectives of the authors.\nResults: This OMA clinical practice statement details two topics: 1) genetics and 2) social consequences for the child with overweight and obesity.\nConclusions: This OMA clinical practice statement on genetics and social consequences for the child with overweight and obesity is an overview of current literature. The literature provides a roadmap to the improvement of the health of children and adolescents with obesity, especially those with metabolic, physiological, and psychological complications.","container-title":"Obesity Pillars","DOI":"10.1016/j.obpill.2022.100032","ISSN":"26673681","journalAbbreviation":"Obesity Pillars","language":"en","page":"100032","source":"DOI.org (Crossref)","title":"Social consequences and genetics for the child with overweight and obesity: An obesity medicine association (OMA) clinical practice statement 2022","title-short":"Social consequences and genetics for the child with overweight and obesity","volume":"3","author":[{"family":"Cuda","given":"Suzanne"},{"family":"Censani","given":"Marisa"},{"family":"Kharofa","given":"Roohi"},{"family":"Williams","given":"Dominique R."},{"family":"O'Hara","given":"Valerie"},{"family":"Karjoo","given":"Sara"},{"family":"Paisley","given":"Jennifer"},{"family":"Browne","given":"Nancy T."}],"issued":{"date-parts":[["2022",9]]}},"label":"page"},{"id":2422,"uris":["http://zotero.org/users/local/WDVvZTBM/items/C6N2NYQI"],"itemData":{"id":2422,"type":"article-journal","abstract":"Childhood obesity is becoming a global epidemic. Twin studies suggest a heritability of fat mass, and disorders of energy balance that arise from genetic defects have been identiﬁed. In the past three years, ﬁve single gene disorders resulting in early onset obesity have been characterised. The discovery of these genetic defects has biological and clinical implications which are greater than the rarity of the individual diseases might suggest.","container-title":"Archives of Disease in Childhood","DOI":"10.1136/adc.83.1.31","ISSN":"00039888","issue":"1","language":"en","page":"31-34","source":"DOI.org (Crossref)","title":"Recent advances: Recent advances in the genetics of severe childhood obesity","title-short":"Recent advances","volume":"83","author":[{"family":"Farooqi","given":"I S."}],"issued":{"date-parts":[["2000",7,1]]}}}],"schema":"https://github.com/citation-style-language/schema/raw/master/csl-citation.json"}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[60], [79]</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w:t>
      </w:r>
    </w:p>
    <w:p>
      <w:pPr>
        <w:pStyle w:val="Normal"/>
        <w:rPr/>
      </w:pPr>
      <w:r>
        <w:rPr/>
      </w:r>
    </w:p>
    <w:p>
      <w:pPr>
        <w:pStyle w:val="Heading3"/>
        <w:rPr/>
      </w:pPr>
      <w:bookmarkStart w:id="58" w:name="_Toc154923829"/>
      <w:r>
        <w:rPr/>
        <w:t xml:space="preserve">3.3.4 </w:t>
      </w:r>
      <w:r>
        <w:rPr>
          <w:rFonts w:eastAsia="Calibri" w:cs="Times-Roman" w:ascii="Times-Roman" w:hAnsi="Times-Roman"/>
          <w:color w:val="18191B"/>
        </w:rPr>
        <w:t>Ανεπάρκεια υποδοχέα λεπτίνης</w:t>
      </w:r>
      <w:bookmarkEnd w:id="58"/>
    </w:p>
    <w:p>
      <w:pPr>
        <w:pStyle w:val="Normal"/>
        <w:spacing w:lineRule="auto" w:line="360"/>
        <w:ind w:firstLine="720"/>
        <w:jc w:val="both"/>
        <w:rPr>
          <w:rFonts w:ascii="Times-Roman" w:hAnsi="Times-Roman" w:eastAsia="Calibri" w:cs="Times-Roman"/>
          <w:color w:val="18191B"/>
        </w:rPr>
      </w:pPr>
      <w:r>
        <w:rPr>
          <w:rFonts w:eastAsia="Calibri" w:cs="Times-Roman" w:ascii="Times-Roman" w:hAnsi="Times-Roman"/>
          <w:color w:val="18191B"/>
        </w:rPr>
        <w:t>Μεταλλάξεις στον υποδοχέα λεπτίνης (LEPR) έχουν εντοπιστεί έως και στο 3% των ατόμων με σοβαρή παχυσαρκία πρώιμης έναρξης</w:t>
      </w:r>
      <w:r>
        <w:fldChar w:fldCharType="begin"/>
      </w:r>
      <w:r>
        <w:rPr>
          <w:rFonts w:eastAsia="Calibri" w:cs="Times-Roman" w:ascii="Times-Roman" w:hAnsi="Times-Roman"/>
          <w:color w:val="18191B"/>
        </w:rPr>
        <w:instrText xml:space="preserve">ADDIN ZOTERO_ITEM CSL_CITATION {"citationID":"ntVJVxM8","properties":{"formattedCitation":"[90], [91]","plainCitation":"[90], [91]","noteIndex":0},"citationItems":[{"id":2841,"uris":["http://zotero.org/users/local/WDVvZTBM/items/RSHXKMWJ"],"itemData":{"id":2841,"type":"article-journal","abstract":"The prevalence of pediatric obesity in the United States is nearly 17%. Most cases are \"exogenous\", resulting from excess energy intake relative to energy expenditure over a prolonged period of time. However, some cases of obesity are \"endogenous\", associated with hormonal, genetic, or syndromic dis …","container-title":"Pediatric annals","DOI":"10.3928/00904481-20140825-08","ISSN":"1938-2359","issue":"9","language":"en","note":"publisher: Pediatr Ann\nPMID: 25198446","source":"pubmed.ncbi.nlm.nih.gov","title":"Screening for hormonal, monogenic, and syndromic disorders in obese infants and children","URL":"https://pubmed.ncbi.nlm.nih.gov/25198446/","volume":"43","author":[{"family":"K","given":"Mason"},{"family":"L","given":"Page"},{"family":"Pg","given":"Balikcioglu"}],"accessed":{"date-parts":[["2023",11,18]]},"issued":{"date-parts":[["2014",9]]}}},{"id":2838,"uris":["http://zotero.org/users/local/WDVvZTBM/items/QQDFAMYS"],"itemData":{"id":2838,"type":"article-journal","abstract":"The prevalence of pathogenic LEPR mutations in a cohort of subjects with severe, early-onset obesity was 3%. Circulating levels of leptin were not disproportionately elevated, suggesting that serum leptin cannot be used as a marker for leptin-receptor deficiency. Congenital leptin-receptor deficienc …","container-title":"The New England journal of medicine","DOI":"10.1056/NEJMoa063988","ISSN":"1533-4406","issue":"3","language":"en","note":"publisher: N Engl J Med\nPMID: 17229951","source":"pubmed.ncbi.nlm.nih.gov","title":"Clinical and molecular genetic spectrum of congenital deficiency of the leptin receptor","URL":"https://pubmed.ncbi.nlm.nih.gov/17229951/","volume":"356","author":[{"family":"Is","given":"Farooqi"},{"family":"T","given":"Wangensteen"},{"family":"S","given":"Collins"},{"family":"W","given":"Kimber"},{"family":"G","given":"Matarese"},{"family":"Jm","given":"Keogh"},{"family":"E","given":"Lank"},{"family":"B","given":"Bottomley"},{"family":"J","given":"Lopez-Fernandez"},{"family":"I","given":"Ferraz-Amaro"},{"family":"Mt","given":"Dattani"},{"family":"O","given":"Ercan"},{"family":"Ag","given":"Myhre"},{"family":"L","given":"Retterstol"},{"family":"R","given":"Stanhope"},{"family":"Ja","given":"Edge"},{"family":"S","given":"McKenzie"},{"family":"N","given":"Lessan"},{"family":"M","given":"Ghodsi"},{"family":"V","given":"De Rosa"},{"family":"F","given":"Perna"},{"family":"S","given":"Fontana"},{"family":"I","given":"Barroso"},{"family":"De","given":"Undlien"},{"family":"S","given":"O'Rahilly"}],"accessed":{"date-parts":[["2023",11,18]]},"issued":{"date-parts":[["2007",1,18]]}}}],"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[90], [91]</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Οι ασθενείς παρουσιάζουν υπερφαγική παχυσαρκία πρώιμης έναρξης με ακραία υπερφαγία, συχνές λοιμώξεις με ανωμαλίες των Τ-κυττάρων και καθυστερημένη εφηβεία με υπογοναδοτροπικό υπογοναδισμό </w:t>
      </w:r>
      <w:r>
        <w:fldChar w:fldCharType="begin"/>
      </w:r>
      <w:r>
        <w:rPr>
          <w:rFonts w:eastAsia="Calibri" w:cs="Times-Roman" w:ascii="Times-Roman" w:hAnsi="Times-Roman"/>
          <w:color w:val="18191B"/>
        </w:rPr>
        <w:instrText xml:space="preserve">ADDIN ZOTERO_ITEM CSL_CITATION {"citationID":"9i2pc3vA","properties":{"formattedCitation":"[90], [91]","plainCitation":"[90], [91]","noteIndex":0},"citationItems":[{"id":2841,"uris":["http://zotero.org/users/local/WDVvZTBM/items/RSHXKMWJ"],"itemData":{"id":2841,"type":"article-journal","abstract":"The prevalence of pediatric obesity in the United States is nearly 17%. Most cases are \"exogenous\", resulting from excess energy intake relative to energy expenditure over a prolonged period of time. However, some cases of obesity are \"endogenous\", associated with hormonal, genetic, or syndromic dis …","container-title":"Pediatric annals","DOI":"10.3928/00904481-20140825-08","ISSN":"1938-2359","issue":"9","language":"en","note":"publisher: Pediatr Ann\nPMID: 25198446","source":"pubmed.ncbi.nlm.nih.gov","title":"Screening for hormonal, monogenic, and syndromic disorders in obese infants and children","URL":"https://pubmed.ncbi.nlm.nih.gov/25198446/","volume":"43","author":[{"family":"K","given":"Mason"},{"family":"L","given":"Page"},{"family":"Pg","given":"Balikcioglu"}],"accessed":{"date-parts":[["2023",11,18]]},"issued":{"date-parts":[["2014",9]]}}},{"id":2838,"uris":["http://zotero.org/users/local/WDVvZTBM/items/QQDFAMYS"],"itemData":{"id":2838,"type":"article-journal","abstract":"The prevalence of pathogenic LEPR mutations in a cohort of subjects with severe, early-onset obesity was 3%. Circulating levels of leptin were not disproportionately elevated, suggesting that serum leptin cannot be used as a marker for leptin-receptor deficiency. Congenital leptin-receptor deficienc …","container-title":"The New England journal of medicine","DOI":"10.1056/NEJMoa063988","ISSN":"1533-4406","issue":"3","language":"en","note":"publisher: N Engl J Med\nPMID: 17229951","source":"pubmed.ncbi.nlm.nih.gov","title":"Clinical and molecular genetic spectrum of congenital deficiency of the leptin receptor","URL":"https://pubmed.ncbi.nlm.nih.gov/17229951/","volume":"356","author":[{"family":"Is","given":"Farooqi"},{"family":"T","given":"Wangensteen"},{"family":"S","given":"Collins"},{"family":"W","given":"Kimber"},{"family":"G","given":"Matarese"},{"family":"Jm","given":"Keogh"},{"family":"E","given":"Lank"},{"family":"B","given":"Bottomley"},{"family":"J","given":"Lopez-Fernandez"},{"family":"I","given":"Ferraz-Amaro"},{"family":"Mt","given":"Dattani"},{"family":"O","given":"Ercan"},{"family":"Ag","given":"Myhre"},{"family":"L","given":"Retterstol"},{"family":"R","given":"Stanhope"},{"family":"Ja","given":"Edge"},{"family":"S","given":"McKenzie"},{"family":"N","given":"Lessan"},{"family":"M","given":"Ghodsi"},{"family":"V","given":"De Rosa"},{"family":"F","given":"Perna"},{"family":"S","given":"Fontana"},{"family":"I","given":"Barroso"},{"family":"De","given":"Undlien"},{"family":"S","given":"O'Rahilly"}],"accessed":{"date-parts":[["2023",11,18]]},"issued":{"date-parts":[["2007",1,18]]}}}],"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[90], [91]</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Η σετμελανοτίδη εγκρίθηκε από τον FDA το 2020 για τη θεραπεία ατόμων 6 ετών και μεγαλύτερης ηλικίας με παχυσαρκία λόγω ανεπάρκειας LEPR </w:t>
      </w:r>
      <w:r>
        <w:fldChar w:fldCharType="begin"/>
      </w:r>
      <w:r>
        <w:rPr>
          <w:rFonts w:eastAsia="Calibri" w:cs="Times-Roman" w:ascii="Times-Roman" w:hAnsi="Times-Roman"/>
          <w:color w:val="18191B"/>
        </w:rPr>
        <w:instrText xml:space="preserve">ADDIN ZOTERO_ITEM CSL_CITATION {"citationID":"SasBgWkw","properties":{"formattedCitation":"[87], [88]","plainCitation":"[87], [88]","noteIndex":0},"citationItems":[{"id":2821,"uris":["http://zotero.org/users/local/WDVvZTBM/items/3888TKQ2"],"itemData":{"id":2821,"type":"article-journal","abstract":"Setmelanotide (IMCIVREE™, Rhythm Pharmaceuticals) is a melanocortin-4 (MC4) receptor agonist developed for the treatment of obesity arising from proopiomelanocortin (POMC), proprotein convertase subtilisin/kexin type 1 (PCSK1), or leptin receptor (LEPR) deficiency. The drug has received its first ap …","container-title":"Drugs","DOI":"10.1007/s40265-021-01470-9","ISSN":"1179-1950","issue":"3","language":"en","note":"publisher: Drugs\nPMID: 33638809","source":"pubmed.ncbi.nlm.nih.gov","title":"Setmelanotide: First Approval","title-short":"Setmelanotide","URL":"https://pubmed.ncbi.nlm.nih.gov/33638809/","volume":"81","author":[{"family":"A","given":"Markham"}],"accessed":{"date-parts":[["2023",11,18]]},"issued":{"date-parts":[["2021",2]]}}},{"id":2823,"uris":["http://zotero.org/users/local/WDVvZTBM/items/FNV29X87"],"itemData":{"id":2823,"type":"article-journal","abstract":"Rhythm Pharmaceuticals.","container-title":"The lancet. Diabetes &amp; endocrinology","DOI":"10.1016/S2213-8587(20)30364-8","ISSN":"2213-8595","issue":"12","language":"en","note":"publisher: Lancet Diabetes Endocrinol\nPMID: 33137293","source":"pubmed.ncbi.nlm.nih.gov","title":"Efficacy and safety of setmelanotide, an MC4R agonist, in individuals with severe obesity due to LEPR or POMC deficiency: single-arm, open-label, multicentre, phase 3 trials","title-short":"Efficacy and safety of setmelanotide, an MC4R agonist, in individuals with severe obesity due to LEPR or POMC deficiency","URL":"https://pubmed.ncbi.nlm.nih.gov/33137293/","volume":"8","author":[{"family":"K","given":"Clément"},{"family":"E","given":"van den Akker"},{"family":"J","given":"Argente"},{"family":"A","given":"Bahm"},{"family":"Wk","given":"Chung"},{"family":"H","given":"Connors"},{"family":"K","given":"De Waele"},{"family":"Is","given":"Farooqi"},{"family":"J","given":"Gonneau-Lejeune"},{"family":"G","given":"Gordon"},{"family":"K","given":"Kohlsdorf"},{"family":"C","given":"Poitou"},{"family":"L","given":"Puder"},{"family":"J","given":"Swain"},{"family":"M","given":"Stewart"},{"family":"G","given":"Yuan"},{"family":"M","given":"Wabitsch"},{"family":"P","given":"Kühnen"}],"accessed":{"date-parts":[["2023",11,18]]},"issued":{"date-parts":[["2020",12]]}}}],"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[87], [88]</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Έντεκα συμμετέχοντες εγγράφηκαν στη δοκιμή LEPR με πέντε (45%) συμμετέχοντες στο δοκιμή που επιτυγχάνει απώλεια βάρους τουλάχιστον 10% σε περίπου 1 χρόνο με μέση ποσοστιαία μεταβολή στη βαθμολογία της μεγαλύτερης πείνας  43</w:t>
      </w:r>
      <w:r>
        <w:rPr>
          <w:rFonts w:eastAsia="Calibri" w:cs="Cambria Math" w:ascii="Cambria Math" w:hAnsi="Cambria Math"/>
          <w:color w:val="18191B"/>
        </w:rPr>
        <w:t>,</w:t>
      </w:r>
      <w:r>
        <w:rPr>
          <w:rFonts w:eastAsia="Calibri" w:cs="Times-Roman" w:ascii="Times-Roman" w:hAnsi="Times-Roman"/>
          <w:color w:val="18191B"/>
        </w:rPr>
        <w:t>7% (n=7;  54</w:t>
      </w:r>
      <w:r>
        <w:rPr>
          <w:rFonts w:eastAsia="Calibri" w:cs="Cambria Math" w:ascii="Cambria Math" w:hAnsi="Cambria Math"/>
          <w:color w:val="18191B"/>
        </w:rPr>
        <w:t>,</w:t>
      </w:r>
      <w:r>
        <w:rPr>
          <w:rFonts w:eastAsia="Calibri" w:cs="Times-Roman" w:ascii="Times-Roman" w:hAnsi="Times-Roman"/>
          <w:color w:val="18191B"/>
        </w:rPr>
        <w:t>8 σε  29</w:t>
      </w:r>
      <w:r>
        <w:rPr>
          <w:rFonts w:eastAsia="Calibri" w:cs="Cambria Math" w:ascii="Cambria Math" w:hAnsi="Cambria Math"/>
          <w:color w:val="18191B"/>
        </w:rPr>
        <w:t>,</w:t>
      </w:r>
      <w:r>
        <w:rPr>
          <w:rFonts w:eastAsia="Calibri" w:cs="Times-Roman" w:ascii="Times-Roman" w:hAnsi="Times-Roman"/>
          <w:color w:val="18191B"/>
        </w:rPr>
        <w:t>1; p&lt;0</w:t>
      </w:r>
      <w:r>
        <w:rPr>
          <w:rFonts w:eastAsia="Calibri" w:cs="Cambria Math" w:ascii="Cambria Math" w:hAnsi="Cambria Math"/>
          <w:color w:val="18191B"/>
        </w:rPr>
        <w:t>,</w:t>
      </w:r>
      <w:r>
        <w:rPr>
          <w:rFonts w:eastAsia="Calibri" w:cs="Times-Roman" w:ascii="Times-Roman" w:hAnsi="Times-Roman"/>
          <w:color w:val="18191B"/>
        </w:rPr>
        <w:t xml:space="preserve">0001) </w:t>
      </w:r>
      <w:r>
        <w:fldChar w:fldCharType="begin"/>
      </w:r>
      <w:r>
        <w:rPr>
          <w:rFonts w:eastAsia="Calibri" w:cs="Times-Roman" w:ascii="Times-Roman" w:hAnsi="Times-Roman"/>
          <w:color w:val="18191B"/>
        </w:rPr>
        <w:instrText xml:space="preserve">ADDIN ZOTERO_ITEM CSL_CITATION {"citationID":"hTajeeAg","properties":{"formattedCitation":"[88]","plainCitation":"[88]","noteIndex":0},"citationItems":[{"id":2823,"uris":["http://zotero.org/users/local/WDVvZTBM/items/FNV29X87"],"itemData":{"id":2823,"type":"article-journal","abstract":"Rhythm Pharmaceuticals.","container-title":"The lancet. Diabetes &amp; endocrinology","DOI":"10.1016/S2213-8587(20)30364-8","ISSN":"2213-8595","issue":"12","language":"en","note":"publisher: Lancet Diabetes Endocrinol\nPMID: 33137293","source":"pubmed.ncbi.nlm.nih.gov","title":"Efficacy and safety of setmelanotide, an MC4R agonist, in individuals with severe obesity due to LEPR or POMC deficiency: single-arm, open-label, multicentre, phase 3 trials","title-short":"Efficacy and safety of setmelanotide, an MC4R agonist, in individuals with severe obesity due to LEPR or POMC deficiency","URL":"https://pubmed.ncbi.nlm.nih.gov/33137293/","volume":"8","author":[{"family":"K","given":"Clément"},{"family":"E","given":"van den Akker"},{"family":"J","given":"Argente"},{"family":"A","given":"Bahm"},{"family":"Wk","given":"Chung"},{"family":"H","given":"Connors"},{"family":"K","given":"De Waele"},{"family":"Is","given":"Farooqi"},{"family":"J","given":"Gonneau-Lejeune"},{"family":"G","given":"Gordon"},{"family":"K","given":"Kohlsdorf"},{"family":"C","given":"Poitou"},{"family":"L","given":"Puder"},{"family":"J","given":"Swain"},{"family":"M","given":"Stewart"},{"family":"G","given":"Yuan"},{"family":"M","given":"Wabitsch"},{"family":"P","given":"Kühnen"}],"accessed":{"date-parts":[["2023",11,18]]},"issued":{"date-parts":[["2020",12]]}}}],"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[88]</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w:t>
      </w:r>
    </w:p>
    <w:p>
      <w:pPr>
        <w:pStyle w:val="Normal"/>
        <w:spacing w:lineRule="auto" w:line="360"/>
        <w:jc w:val="both"/>
        <w:rPr>
          <w:rFonts w:ascii="Times-Roman" w:hAnsi="Times-Roman" w:eastAsia="Calibri" w:cs="Times-Roman"/>
          <w:color w:val="18191B"/>
        </w:rPr>
      </w:pPr>
      <w:r>
        <w:rPr>
          <w:rFonts w:eastAsia="Calibri" w:cs="Times-Roman" w:ascii="Times-Roman" w:hAnsi="Times-Roman"/>
          <w:color w:val="18191B"/>
        </w:rPr>
      </w:r>
    </w:p>
    <w:p>
      <w:pPr>
        <w:pStyle w:val="Normal"/>
        <w:keepNext w:val="true"/>
        <w:spacing w:lineRule="auto" w:line="360"/>
        <w:jc w:val="both"/>
        <w:rPr/>
      </w:pPr>
      <w:r>
        <w:rPr/>
        <w:drawing>
          <wp:inline distT="0" distB="0" distL="0" distR="0">
            <wp:extent cx="5278755" cy="1199515"/>
            <wp:effectExtent l="0" t="0" r="0" b="0"/>
            <wp:docPr id="8" name="Εικόνα7" descr="Εικόνα που περιέχει στιγμιότυπο οθόνης, διάγραμμα, γραμμ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Εικόνα7" descr="Εικόνα που περιέχει στιγμιότυπο οθόνης, διάγραμμα, γραμμή&#10;&#10;Περιγραφή που δημιουργήθηκε αυτόματα"/>
                    <pic:cNvPicPr>
                      <a:picLocks noChangeAspect="1" noChangeArrowheads="1"/>
                    </pic:cNvPicPr>
                  </pic:nvPicPr>
                  <pic:blipFill>
                    <a:blip r:embed="rId25"/>
                    <a:stretch>
                      <a:fillRect/>
                    </a:stretch>
                  </pic:blipFill>
                  <pic:spPr bwMode="auto">
                    <a:xfrm>
                      <a:off x="0" y="0"/>
                      <a:ext cx="5278755" cy="1199515"/>
                    </a:xfrm>
                    <a:prstGeom prst="rect">
                      <a:avLst/>
                    </a:prstGeom>
                  </pic:spPr>
                </pic:pic>
              </a:graphicData>
            </a:graphic>
          </wp:inline>
        </w:drawing>
      </w:r>
    </w:p>
    <w:p>
      <w:pPr>
        <w:pStyle w:val="Caption1"/>
        <w:spacing w:lineRule="auto" w:line="240" w:before="0" w:after="0"/>
        <w:jc w:val="center"/>
        <w:rPr/>
      </w:pPr>
      <w:bookmarkStart w:id="59" w:name="_Toc152764772"/>
      <w:r>
        <w:rPr/>
        <w:t xml:space="preserve">Εικόνα </w:t>
      </w:r>
      <w:r>
        <w:rPr/>
        <w:fldChar w:fldCharType="begin"/>
      </w:r>
      <w:r>
        <w:rPr/>
        <w:instrText xml:space="preserve"> SEQ Εικόνα \* ARABIC </w:instrText>
      </w:r>
      <w:r>
        <w:rPr/>
        <w:fldChar w:fldCharType="separate"/>
      </w:r>
      <w:r>
        <w:rPr/>
        <w:t>6</w:t>
      </w:r>
      <w:r>
        <w:rPr/>
        <w:fldChar w:fldCharType="end"/>
      </w:r>
      <w:r>
        <w:rPr/>
        <w:t xml:space="preserve">: </w:t>
      </w:r>
      <w:r>
        <w:rPr>
          <w:b w:val="false"/>
          <w:bCs w:val="false"/>
          <w:i/>
          <w:iCs/>
          <w:lang w:val="en-US"/>
        </w:rPr>
        <w:t>H</w:t>
      </w:r>
      <w:r>
        <w:rPr>
          <w:b w:val="false"/>
          <w:bCs w:val="false"/>
          <w:i/>
          <w:iCs/>
        </w:rPr>
        <w:t xml:space="preserve"> διαδρομή λεπτίνης-μελανοκορτίνης. Η λεπτίνη που παράγεται εκκρίνεται από το λιπώδη ιστό, δρα στον υποδοχέα λεπτίνης (</w:t>
      </w:r>
      <w:r>
        <w:rPr>
          <w:b w:val="false"/>
          <w:bCs w:val="false"/>
          <w:i/>
          <w:iCs/>
          <w:lang w:val="en-US"/>
        </w:rPr>
        <w:t>LepR</w:t>
      </w:r>
      <w:r>
        <w:rPr>
          <w:b w:val="false"/>
          <w:bCs w:val="false"/>
          <w:i/>
          <w:iCs/>
        </w:rPr>
        <w:t>), στον τοξοειδή πυρήνα του υποθαλάμου. Ενεργοποιεί την αυξημένη παραγωγή προ-οπιομελανοκορτίνης (P</w:t>
      </w:r>
      <w:r>
        <w:rPr>
          <w:b w:val="false"/>
          <w:bCs w:val="false"/>
          <w:i/>
          <w:iCs/>
          <w:lang w:val="en-US"/>
        </w:rPr>
        <w:t>OMC</w:t>
      </w:r>
      <w:r>
        <w:rPr>
          <w:b w:val="false"/>
          <w:bCs w:val="false"/>
          <w:i/>
          <w:iCs/>
        </w:rPr>
        <w:t xml:space="preserve">) στον νευρώνα </w:t>
      </w:r>
      <w:r>
        <w:rPr>
          <w:b w:val="false"/>
          <w:bCs w:val="false"/>
          <w:i/>
          <w:iCs/>
          <w:lang w:val="en-US"/>
        </w:rPr>
        <w:t>POMC</w:t>
      </w:r>
      <w:r>
        <w:rPr>
          <w:b w:val="false"/>
          <w:bCs w:val="false"/>
          <w:i/>
          <w:iCs/>
        </w:rPr>
        <w:t>, ο οποίος υφίσταται σε περεταίρω επεξεργασία σε ορμόνες διέγερσης μελανοκυττάρων (</w:t>
      </w:r>
      <w:r>
        <w:rPr>
          <w:b w:val="false"/>
          <w:bCs w:val="false"/>
          <w:i/>
          <w:iCs/>
          <w:lang w:val="en-US"/>
        </w:rPr>
        <w:t>MSH</w:t>
      </w:r>
      <w:r>
        <w:rPr>
          <w:b w:val="false"/>
          <w:bCs w:val="false"/>
          <w:i/>
          <w:iCs/>
        </w:rPr>
        <w:t>) παό την προπρωτεϊνη κονβερτάση σουμπτιλισίνη/κεξόνη τύπου 1 (</w:t>
      </w:r>
      <w:r>
        <w:rPr>
          <w:b w:val="false"/>
          <w:bCs w:val="false"/>
          <w:i/>
          <w:iCs/>
          <w:lang w:val="en-US"/>
        </w:rPr>
        <w:t>PCSK</w:t>
      </w:r>
      <w:r>
        <w:rPr>
          <w:b w:val="false"/>
          <w:bCs w:val="false"/>
          <w:i/>
          <w:iCs/>
        </w:rPr>
        <w:t>1).  Η MS</w:t>
      </w:r>
      <w:r>
        <w:rPr>
          <w:b w:val="false"/>
          <w:bCs w:val="false"/>
          <w:i/>
          <w:iCs/>
          <w:lang w:val="en-US"/>
        </w:rPr>
        <w:t>H</w:t>
      </w:r>
      <w:r>
        <w:rPr>
          <w:b w:val="false"/>
          <w:bCs w:val="false"/>
          <w:i/>
          <w:iCs/>
        </w:rPr>
        <w:t xml:space="preserve"> δρα κεντριοκά στους υποδοχείς μελανοκορτίνης, συμπεριλαμβανομένου του υποδοχέα μελανοκορτίνης 4 (</w:t>
      </w:r>
      <w:r>
        <w:rPr>
          <w:b w:val="false"/>
          <w:bCs w:val="false"/>
          <w:i/>
          <w:iCs/>
          <w:lang w:val="en-US"/>
        </w:rPr>
        <w:t>MC</w:t>
      </w:r>
      <w:r>
        <w:rPr>
          <w:b w:val="false"/>
          <w:bCs w:val="false"/>
          <w:i/>
          <w:iCs/>
        </w:rPr>
        <w:t>4</w:t>
      </w:r>
      <w:r>
        <w:rPr>
          <w:b w:val="false"/>
          <w:bCs w:val="false"/>
          <w:i/>
          <w:iCs/>
          <w:lang w:val="en-US"/>
        </w:rPr>
        <w:t>R</w:t>
      </w:r>
      <w:r>
        <w:rPr>
          <w:b w:val="false"/>
          <w:bCs w:val="false"/>
          <w:i/>
          <w:iCs/>
        </w:rPr>
        <w:t>). Ενεργοποίηση νευρώνων M</w:t>
      </w:r>
      <w:r>
        <w:rPr>
          <w:b w:val="false"/>
          <w:bCs w:val="false"/>
          <w:i/>
          <w:iCs/>
          <w:lang w:val="en-US"/>
        </w:rPr>
        <w:t>C</w:t>
      </w:r>
      <w:r>
        <w:rPr>
          <w:b w:val="false"/>
          <w:bCs w:val="false"/>
          <w:i/>
          <w:iCs/>
        </w:rPr>
        <w:t>4 οδηγεί σε μείωση της πρόσληψης τροφής και αυξημένη ενεργειακή δαπάνη. Ο νευροτροφικός παράγοντας που προέρχεται από τον εγκέφαλο (B</w:t>
      </w:r>
      <w:r>
        <w:rPr>
          <w:b w:val="false"/>
          <w:bCs w:val="false"/>
          <w:i/>
          <w:iCs/>
          <w:lang w:val="en-US"/>
        </w:rPr>
        <w:t>DNF</w:t>
      </w:r>
      <w:r>
        <w:rPr>
          <w:b w:val="false"/>
          <w:bCs w:val="false"/>
          <w:i/>
          <w:iCs/>
        </w:rPr>
        <w:t>) ρυθμίζει τη συναπτική πλαστικότητα των νευρώνων που προκαλείται από τη λεπτίνη μέσω του υποδοχέα του νευροτροφικού υποδοχέα N</w:t>
      </w:r>
      <w:r>
        <w:rPr>
          <w:b w:val="false"/>
          <w:bCs w:val="false"/>
          <w:i/>
          <w:iCs/>
          <w:lang w:val="en-US"/>
        </w:rPr>
        <w:t>TRK</w:t>
      </w:r>
      <w:r>
        <w:rPr>
          <w:b w:val="false"/>
          <w:bCs w:val="false"/>
          <w:i/>
          <w:iCs/>
        </w:rPr>
        <w:t>2</w:t>
      </w:r>
      <w:r>
        <w:fldChar w:fldCharType="begin"/>
      </w:r>
      <w:r>
        <w:rPr>
          <w:i/>
          <w:b w:val="false"/>
          <w:iCs/>
          <w:bCs w:val="false"/>
        </w:rPr>
        <w:instrText xml:space="preserve">ADDIN ZOTERO_ITEM CSL_CITATION {"citationID":"gFJ0Wcjk","properties":{"formattedCitation":"[81]","plainCitation":"[81]","noteIndex":0},"citationItems":[{"id":2396,"uris":["http://zotero.org/users/local/WDVvZTBM/items/3D97LWZP"],"itemData":{"id":2396,"type":"article-journal","abstract":"Based on the genetic contribution, childhood obesity can be classified into 3 groups: common polygenic obesity, syndromic obesity, and monogenic obesity. More genetic causes of obesity are being identified along with the advances in the genetic testing. Genetic obesities including syndromic and monogenic obesity should be suspected and evaluated in children with early-onset morbid obesity and hyperphagia under 5 years of age. Patients with syndromic obesity have early-onset severe obesity associated specific genetic syndromes including Prader-Willi syndrome, Bardet-Biedle syndrome, and Alstrom syndrome. Syndromic obesity is often accompanied with neurodevelopmental delay or dysmorphic features. Nonsyndromic monogenic obesity is caused by variants in single gene which are usually involved in the regulation of hunger and satiety associated with the hypothalamic leptin-melanocortin pathway in central nervous system. Unlike syndromic obesity, patients with monogenic obesity usually show normal neurodevelopment. They would be presented with hyperphagia and early-onset severe obesity with additional clinical symptoms including short stature, red hair, adrenal insufficiency, hypothyroidism, hypogonadism, pituitary insufficiencies, diabetes insipidus, increased predisposition to infection or intractable recurrent diarrhea. Identifying patients with genetic obesity is critical as new innovative therapies including melanocortin 4 receptor agonist have become available. Early genetic evaluation enables to identify treatable obesity and provide timely intervention which may eventually achieve favorable outcome by establishing personalized management.","container-title":"Annals of Pediatric Endocrinology &amp; Metabolism","DOI":"10.6065/apem.2244188.094","ISSN":"2287-1012, 2287-1292","issue":"3","journalAbbreviation":"Ann Pediatr Endocrinol Metab","language":"en","page":"169-175","source":"DOI.org (Crossref)","title":"Genetic obesity: an update with emerging therapeutic approaches","title-short":"Genetic obesity","volume":"27","author":[{"family":"Sohn","given":"Young Bae"}],"issued":{"date-parts":[["2022",9,30]]}}}],"schema":"https://github.com/citation-style-language/schema/raw/master/csl-citation.json"}</w:instrText>
      </w:r>
      <w:r>
        <w:rPr>
          <w:b w:val="false"/>
          <w:bCs w:val="false"/>
          <w:i/>
          <w:iCs/>
        </w:rPr>
      </w:r>
      <w:r>
        <w:rPr>
          <w:i/>
          <w:b w:val="false"/>
          <w:iCs/>
          <w:bCs w:val="false"/>
        </w:rPr>
        <w:fldChar w:fldCharType="separate"/>
      </w:r>
      <w:r>
        <w:rPr>
          <w:b w:val="false"/>
          <w:bCs w:val="false"/>
          <w:i/>
          <w:iCs/>
        </w:rPr>
        <w:t>[81]</w:t>
      </w:r>
      <w:r>
        <w:rPr>
          <w:b w:val="false"/>
          <w:bCs w:val="false"/>
          <w:i/>
          <w:iCs/>
        </w:rPr>
      </w:r>
      <w:r>
        <w:rPr>
          <w:i/>
          <w:b w:val="false"/>
          <w:iCs/>
          <w:bCs w:val="false"/>
        </w:rPr>
        <w:fldChar w:fldCharType="end"/>
      </w:r>
      <w:r>
        <w:rPr>
          <w:b w:val="false"/>
          <w:bCs w:val="false"/>
          <w:i/>
          <w:iCs/>
        </w:rPr>
        <w:t>.</w:t>
      </w:r>
      <w:bookmarkEnd w:id="59"/>
    </w:p>
    <w:p>
      <w:pPr>
        <w:pStyle w:val="Normal"/>
        <w:rPr/>
      </w:pPr>
      <w:r>
        <w:rPr/>
      </w:r>
    </w:p>
    <w:p>
      <w:pPr>
        <w:pStyle w:val="Normal"/>
        <w:rPr/>
      </w:pPr>
      <w:r>
        <w:rPr/>
        <w:drawing>
          <wp:inline distT="0" distB="0" distL="0" distR="0">
            <wp:extent cx="5278755" cy="5697855"/>
            <wp:effectExtent l="0" t="0" r="0" b="0"/>
            <wp:docPr id="9" name="Εικόνα 4" descr="Εικόνα που περιέχει κείμενο, διάγραμμα, στιγμιότυπο οθόνης, χάρτ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Εικόνα 4" descr="Εικόνα που περιέχει κείμενο, διάγραμμα, στιγμιότυπο οθόνης, χάρτης&#10;&#10;Περιγραφή που δημιουργήθηκε αυτόματα"/>
                    <pic:cNvPicPr>
                      <a:picLocks noChangeAspect="1" noChangeArrowheads="1"/>
                    </pic:cNvPicPr>
                  </pic:nvPicPr>
                  <pic:blipFill>
                    <a:blip r:embed="rId26"/>
                    <a:stretch>
                      <a:fillRect/>
                    </a:stretch>
                  </pic:blipFill>
                  <pic:spPr bwMode="auto">
                    <a:xfrm>
                      <a:off x="0" y="0"/>
                      <a:ext cx="5278755" cy="5697855"/>
                    </a:xfrm>
                    <a:prstGeom prst="rect">
                      <a:avLst/>
                    </a:prstGeom>
                  </pic:spPr>
                </pic:pic>
              </a:graphicData>
            </a:graphic>
          </wp:inline>
        </w:drawing>
      </w:r>
    </w:p>
    <w:p>
      <w:pPr>
        <w:pStyle w:val="Caption1"/>
        <w:spacing w:lineRule="auto" w:line="240" w:before="0" w:after="0"/>
        <w:jc w:val="center"/>
        <w:rPr/>
      </w:pPr>
      <w:bookmarkStart w:id="60" w:name="_Toc152764773"/>
      <w:r>
        <w:rPr/>
        <w:t xml:space="preserve">Εικόνα </w:t>
      </w:r>
      <w:r>
        <w:rPr/>
        <w:fldChar w:fldCharType="begin"/>
      </w:r>
      <w:r>
        <w:rPr/>
        <w:instrText xml:space="preserve"> SEQ Εικόνα \* ARABIC </w:instrText>
      </w:r>
      <w:r>
        <w:rPr/>
        <w:fldChar w:fldCharType="separate"/>
      </w:r>
      <w:r>
        <w:rPr/>
        <w:t>7</w:t>
      </w:r>
      <w:r>
        <w:rPr/>
        <w:fldChar w:fldCharType="end"/>
      </w:r>
      <w:r>
        <w:rPr/>
        <w:t xml:space="preserve">: </w:t>
      </w:r>
      <w:r>
        <w:rPr>
          <w:b w:val="false"/>
          <w:bCs w:val="false"/>
          <w:i/>
          <w:iCs/>
          <w:color w:themeColor="text1" w:val="000000"/>
          <w:sz w:val="18"/>
          <w:szCs w:val="18"/>
        </w:rPr>
        <w:t xml:space="preserve">Άλλη μια απεικόνιση της διαδρομής της λεπτίνης-μελανοκορτίνης. </w:t>
      </w:r>
      <w:r>
        <w:rPr>
          <w:rFonts w:eastAsia="Calibri" w:cs="Times-Roman" w:ascii="Times-Roman" w:hAnsi="Times-Roman"/>
          <w:b w:val="false"/>
          <w:bCs w:val="false"/>
          <w:i/>
          <w:iCs/>
          <w:color w:themeColor="text1" w:val="000000"/>
          <w:sz w:val="18"/>
          <w:szCs w:val="18"/>
        </w:rPr>
        <w:t>Νευρώνες που εκφράζουν την προοπιομελανοκορτίνη (POMC) και σχετίζονται με την αγούτι πρωτεΐνη (AGRP) - οι νευρώνες που εκφράζουν εντός του τοξοειδούς πυρήνα του υποθαλάμου (ARC) ενεργούν για την αίσθηση της λεπτίνης που κυκλοφορεί επίπεδα (LEP), τα οποία αντικατοπτρίζουν τη μάζα λίπους. Αυτοί οι νευρώνες δίνουν σήμα στους νευρώνες που εκφράζουν τον υποδοχέα μελανοκορτίνης 4 (MC4R) στο παρακοιλιακός πυρήνας του υποθαλάμου (PVN), ο οποίος ελέγχει την όρεξη, συνδέοντας έτσι τις μακροπρόθεσμες αποθήκες ενέργειας με διατροφική συμπεριφορά. Η δέσμευση των σημαφορινών κατηγορίας 3 (SEMA3) στους υποδοχείς τους NRP και PLXNA επηρεάζει την προβολή των νευρώνων POMC στο PVN. Σύνδεση του νευροτροφικού παράγοντα που προέρχεται από τον εγκέφαλο (BDNF) με τον νευροτροφικό υποδοχέα του Η κινάση τυροσίνης 2 (NTRK2) πιστεύεται ότι είναι ένας τελεστής της συναπτικής πλαστικότητας των νευρώνων που προκαλείται από τη λεπτίνη, συμπεριλαμβανομένων εκείνων που το ARC και το PVN. Ο παράγοντας μεταγραφής SIM1 είναι ζωτικής σημασίας για τη σωστή ανάπτυξη του PVN. +, αγωνιστής; −, ανταγωνιστής; LEPR, υποδοχέας λεπτίνης; MRAP2, βοηθητική πρωτεΐνη υποδοχέα μελανοκορτίνης 2; MSH, ορμόνη διέγερσης μελανοκυττάρων. SH2B1, Πρωτεΐνη προσαρμογέα SH2B 1.</w:t>
      </w:r>
      <w:bookmarkEnd w:id="60"/>
    </w:p>
    <w:p>
      <w:pPr>
        <w:pStyle w:val="Heading3"/>
        <w:rPr/>
      </w:pPr>
      <w:bookmarkStart w:id="61" w:name="_Toc154923830"/>
      <w:r>
        <w:rPr/>
        <w:t xml:space="preserve">3.3.5 </w:t>
      </w:r>
      <w:r>
        <w:rPr>
          <w:rFonts w:eastAsia="Calibri" w:cs="Times-Roman" w:ascii="Times-Roman" w:hAnsi="Times-Roman"/>
          <w:color w:val="18191B"/>
        </w:rPr>
        <w:t>Ανεπάρκεια P</w:t>
      </w:r>
      <w:r>
        <w:rPr>
          <w:rFonts w:eastAsia="Calibri" w:cs="Times-Roman" w:ascii="Times-Roman" w:hAnsi="Times-Roman"/>
          <w:color w:val="18191B"/>
          <w:lang w:val="en-US"/>
        </w:rPr>
        <w:t>CSK</w:t>
      </w:r>
      <w:r>
        <w:rPr>
          <w:rFonts w:eastAsia="Calibri" w:cs="Times-Roman" w:ascii="Times-Roman" w:hAnsi="Times-Roman"/>
          <w:color w:val="18191B"/>
        </w:rPr>
        <w:t>1</w:t>
      </w:r>
      <w:bookmarkEnd w:id="61"/>
    </w:p>
    <w:p>
      <w:pPr>
        <w:pStyle w:val="Normal"/>
        <w:spacing w:lineRule="auto" w:line="360"/>
        <w:ind w:firstLine="720"/>
        <w:jc w:val="both"/>
        <w:rPr/>
      </w:pPr>
      <w:r>
        <w:rPr>
          <w:rFonts w:eastAsia="Calibri" w:cs="Times-Roman" w:ascii="Times-Roman" w:hAnsi="Times-Roman"/>
          <w:color w:val="18191B"/>
        </w:rPr>
        <w:t xml:space="preserve">Το PCSK1 είναι ένα γονίδιο που κωδικοποιεί την προορμόνη κονβερτάση 1/3 (PC1/3) και ήταν ένα από τα πρώτα γονίδια που συνδέθηκαν με τη μονογονιδιακή πρώιμη έναρξη ευσαρκίας. Τα κοινά κλινικά ευρήματα περιλαμβάνουν μειωμένη ευαισθησία στην ινσουλίνη, μειωμένη από του στόματος ανοχή γλυκόζης και αυξημένα επίπεδα προϊνσουλίνης. Αυτό που φάνηκε ενδιαφέρον είναι ότι οι άνδρες φαίνεται να επηρεάζονται περισσότερο από τις γυναίκες. Η ανεπάρκεια PCSK1 είναι απώλεια της λειτουργίας μετάλλαξης. Τα βρέφη μπορεί να παρουσιάσουν σοβαρή απώλεια βάρους και διάρροια που μπορεί να απαιτεί παρεντερική διατροφή για την επιβίωση. Μέχρι 2 ετών, τα παιδιά αναπτύσσουν αυξημένη όρεξη με αποτέλεσμα σημαντική αύξηση βάρους. Πολλά συνεχίζουν να έχουν επίμονη διάρροια στην ενήλικη ζωή, που μπορεί να εξισορροπήσει, αν και δεν επιλύει πλήρως την αύξηση βάρους. Αλλο κλινικό χαρακτηριστικό είναι η κακή γραμμική ανάπτυξη που σχετίζεται με διαταραχή στην ορμόνη ανάπτυξης. Αυτά τα κλινικά χαρακτηριστικά είναι διαφορετικά από τα άλλα μονογονιδιακά αίτια της παχυσαρκίας (ανεπάρκειες LEP, LEPR και MC4R), με τις άλλες μονογονιδιακές ανεπάρκειες να προκαλούν αύξηση βάρους τους πρώτους μήνες του ζωής και να μην έχουν σχετιζόμενη ανεπάρκεια ανάπτυξης [27]. Η σετμελανοτίδη ήταν εγκεκριμένη για τη θεραπεία της ανεπάρκειας PCSK1 σε άτομα 6 ετών ηλικίας από το 2020 </w:t>
      </w:r>
      <w:r>
        <w:fldChar w:fldCharType="begin"/>
      </w:r>
      <w:r>
        <w:rPr>
          <w:rFonts w:eastAsia="Calibri" w:cs="Times-Roman" w:ascii="Times-Roman" w:hAnsi="Times-Roman"/>
          <w:color w:val="18191B"/>
        </w:rPr>
        <w:instrText xml:space="preserve">ADDIN ZOTERO_ITEM CSL_CITATION {"citationID":"oKC8P6vP","properties":{"formattedCitation":"[87]","plainCitation":"[87]","noteIndex":0},"citationItems":[{"id":2821,"uris":["http://zotero.org/users/local/WDVvZTBM/items/3888TKQ2"],"itemData":{"id":2821,"type":"article-journal","abstract":"Setmelanotide (IMCIVREE™, Rhythm Pharmaceuticals) is a melanocortin-4 (MC4) receptor agonist developed for the treatment of obesity arising from proopiomelanocortin (POMC), proprotein convertase subtilisin/kexin type 1 (PCSK1), or leptin receptor (LEPR) deficiency. The drug has received its first ap …","container-title":"Drugs","DOI":"10.1007/s40265-021-01470-9","ISSN":"1179-1950","issue":"3","language":"en","note":"publisher: Drugs\nPMID: 33638809","source":"pubmed.ncbi.nlm.nih.gov","title":"Setmelanotide: First Approval","title-short":"Setmelanotide","URL":"https://pubmed.ncbi.nlm.nih.gov/33638809/","volume":"81","author":[{"family":"A","given":"Markham"}],"accessed":{"date-parts":[["2023",11,18]]},"issued":{"date-parts":[["2021",2]]}}}],"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[87]</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w:t>
      </w:r>
    </w:p>
    <w:p>
      <w:pPr>
        <w:pStyle w:val="Normal"/>
        <w:rPr/>
      </w:pPr>
      <w:r>
        <w:rPr/>
      </w:r>
    </w:p>
    <w:p>
      <w:pPr>
        <w:pStyle w:val="Heading3"/>
        <w:rPr/>
      </w:pPr>
      <w:bookmarkStart w:id="62" w:name="_Toc154923831"/>
      <w:r>
        <w:rPr/>
        <w:t xml:space="preserve">3.3.6 </w:t>
      </w:r>
      <w:r>
        <w:rPr>
          <w:rFonts w:eastAsia="Calibri" w:cs="Times-Roman" w:ascii="Times-Roman" w:hAnsi="Times-Roman"/>
          <w:color w:val="18191B"/>
        </w:rPr>
        <w:t>Σύνδρομο εύθραυστου Χ</w:t>
      </w:r>
      <w:bookmarkEnd w:id="62"/>
    </w:p>
    <w:p>
      <w:pPr>
        <w:pStyle w:val="Normal"/>
        <w:spacing w:lineRule="auto" w:line="360"/>
        <w:ind w:firstLine="720"/>
        <w:jc w:val="both"/>
        <w:rPr>
          <w:rFonts w:ascii="Times-Roman" w:hAnsi="Times-Roman" w:eastAsia="Calibri" w:cs="Times-Roman"/>
          <w:color w:val="18191B"/>
        </w:rPr>
      </w:pPr>
      <w:r>
        <w:rPr>
          <w:rFonts w:eastAsia="Calibri" w:cs="Times-Roman" w:ascii="Times-Roman" w:hAnsi="Times-Roman"/>
          <w:color w:val="18191B"/>
        </w:rPr>
        <w:t>Το σύνδρομο εύθραυστου Χ (</w:t>
      </w:r>
      <w:r>
        <w:rPr>
          <w:rFonts w:eastAsia="Calibri" w:cs="Times-Roman" w:ascii="Times-Roman" w:hAnsi="Times-Roman"/>
          <w:color w:val="18191B"/>
          <w:lang w:val="en-US"/>
        </w:rPr>
        <w:t>Fragile</w:t>
      </w:r>
      <w:r>
        <w:rPr>
          <w:rFonts w:eastAsia="Calibri" w:cs="Times-Roman" w:ascii="Times-Roman" w:hAnsi="Times-Roman"/>
          <w:color w:val="18191B"/>
        </w:rPr>
        <w:t xml:space="preserve"> </w:t>
      </w:r>
      <w:r>
        <w:rPr>
          <w:rFonts w:eastAsia="Calibri" w:cs="Times-Roman" w:ascii="Times-Roman" w:hAnsi="Times-Roman"/>
          <w:color w:val="18191B"/>
          <w:lang w:val="en-US"/>
        </w:rPr>
        <w:t>X</w:t>
      </w:r>
      <w:r>
        <w:rPr>
          <w:rFonts w:eastAsia="Calibri" w:cs="Times-Roman" w:ascii="Times-Roman" w:hAnsi="Times-Roman"/>
          <w:color w:val="18191B"/>
        </w:rPr>
        <w:t xml:space="preserve"> </w:t>
      </w:r>
      <w:r>
        <w:rPr>
          <w:rFonts w:eastAsia="Calibri" w:cs="Times-Roman" w:ascii="Times-Roman" w:hAnsi="Times-Roman"/>
          <w:color w:val="18191B"/>
          <w:lang w:val="en-US"/>
        </w:rPr>
        <w:t>Syndrome</w:t>
      </w:r>
      <w:r>
        <w:rPr>
          <w:rFonts w:eastAsia="Calibri" w:cs="Times-Roman" w:ascii="Times-Roman" w:hAnsi="Times-Roman"/>
          <w:color w:val="18191B"/>
        </w:rPr>
        <w:t xml:space="preserve">-FXS) είναι ένα αυτοσωμικό υπολειπόμενο γενετικό σύνδρομο. Τα συμπτώματα περιλαμβάνουν διανοητική ανεπάρκεια, μακροορχιδισμό,  προεξέχουσα γνάθο και μεγάλα αυτιά. Τα ποσοστά επικράτησης του συνδρόμου αυτού έχουν υπολογιστεί ότι είναι 1:5000 στους άνδρες και 1: 4000–8000 στις γυναίκες [28]. Μια μελέτη δεδομένων εθνικών ερευνών έδειξε μια σημαντική διαφορά στα ποσοστά παχυσαρκίας σε άνδρες κάτω των 20 ετών με εύθραυστο Χ (31%) σε σύγκριση με τα παιδιά ελέγχου που ταιριάζουν με την ηλικία (18%) </w:t>
      </w:r>
      <w:r>
        <w:fldChar w:fldCharType="begin"/>
      </w:r>
      <w:r>
        <w:rPr>
          <w:rFonts w:eastAsia="Calibri" w:cs="Times-Roman" w:ascii="Times-Roman" w:hAnsi="Times-Roman"/>
          <w:color w:val="18191B"/>
        </w:rPr>
        <w:instrText xml:space="preserve">ADDIN ZOTERO_ITEM CSL_CITATION {"citationID":"cFhDylFJ","properties":{"formattedCitation":"[92]","plainCitation":"[92]","noteIndex":0},"citationItems":[{"id":2829,"uris":["http://zotero.org/users/local/WDVvZTBM/items/2SGQWHFA"],"itemData":{"id":2829,"type":"article-journal","abstract":"National survey data from 884 families were used to examine the overall health of children and adults with fragile X syndrome. Results indicate the rate of obesity in adults with fragile X syndrome is similar to the general population (∼30%). Male children with fragile X syndrome, however, had highe …","container-title":"American journal on intellectual and developmental disabilities","DOI":"10.1352/1944-7558-115.6.482","ISSN":"1944-7515","issue":"6","language":"en","note":"publisher: Am J Intellect Dev Disabil\nPMID: 20946001","source":"pubmed.ncbi.nlm.nih.gov","title":"Obesity, food selectivity, and physical activity in individuals with fragile X syndrome","URL":"https://pubmed.ncbi.nlm.nih.gov/20946001/","volume":"115","author":[{"family":"M","given":"Raspa"},{"family":"Db","given":"Bailey"},{"family":"E","given":"Bishop"},{"family":"D","given":"Holiday"},{"family":"M","given":"Olmsted"}],"accessed":{"date-parts":[["2023",11,18]]},"issued":{"date-parts":[["2010",11]]}}}],"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[92]</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Το σύνδρομο εύθραυστου Χ αναγνωρίστηκε για πρώτη φορά στους άνδρες. Ωστόσο, τα θηλυκά μπορούν να εκδηλώνουν επίσης το σύνδρομο αν και με πιο ήπια συμπτώματα </w:t>
      </w:r>
      <w:r>
        <w:fldChar w:fldCharType="begin"/>
      </w:r>
      <w:r>
        <w:rPr>
          <w:rFonts w:eastAsia="Calibri" w:cs="Times-Roman" w:ascii="Times-Roman" w:hAnsi="Times-Roman"/>
          <w:color w:val="18191B"/>
        </w:rPr>
        <w:instrText xml:space="preserve">ADDIN ZOTERO_ITEM CSL_CITATION {"citationID":"7dc6H77V","properties":{"formattedCitation":"[93]","plainCitation":"[93]","noteIndex":0},"citationItems":[{"id":2844,"uris":["http://zotero.org/users/local/WDVvZTBM/items/8VLA7XY4"],"itemData":{"id":2844,"type":"article-journal","abstract":"Fragile X Syndrome (FXS) is the most common cause of inherited intellectual disability with prevalence rates estimated to be 1:5,000 in males and 1:8,000 in females. The increase of &gt;200 Cytosine Guanine Guanine (CGG) repeats in the 5' untranslated region of the Fragile X Mental Retardation 1 (FM …","container-title":"Current pediatric reviews","DOI":"10.2174/1573396315666190625110748","ISSN":"1875-6336","issue":"4","language":"en","note":"publisher: Curr Pediatr Rev\nPMID: 31241016","source":"pubmed.ncbi.nlm.nih.gov","title":"New Targeted Treatments for Fragile X Syndrome","URL":"https://pubmed.ncbi.nlm.nih.gov/31241016/","volume":"15","author":[{"family":"D","given":"Protic"},{"family":"Mj","given":"Salcedo-Arellano"},{"family":"Jb","given":"Dy"},{"family":"La","given":"Potter"},{"family":"Rj","given":"Hagerman"}],"accessed":{"date-parts":[["2023",11,18]]},"issued":{"date-parts":[["2019"]]}}}],"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[93]</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Αφού αυτό το σύνδρομο μεταφέρεται στο χρωμόσωμα Χ, οι πατέρες με τη γενετική μετάλλαξη θα τη μεταδώσουν σε όλες τις κόρες και τις μητέρες τους, οι οποίες με τη γενετική  μετάλλαξη να έχουν 50% πιθανότητα να μεταδώσουν τη μετάλλαξη και στους δύο γιους τους και κόρες. Το FXS αποτελεί μια μονογονιδιακή μορφή παχυσαρκίας. Ωστόσο, έχει ταξινομηθεί τόσο ως μη συνδρομικό όσο και ως συνδρομικό. Όπως και άλλες μονογονικές αιτίες της παχυσαρκίας σχετίζεται με συγκεκριμένες φαινοτυπικές αλλαγές.</w:t>
      </w:r>
    </w:p>
    <w:p>
      <w:pPr>
        <w:pStyle w:val="Normal"/>
        <w:rPr/>
      </w:pPr>
      <w:r>
        <w:rPr/>
      </w:r>
    </w:p>
    <w:p>
      <w:pPr>
        <w:pStyle w:val="Caption1"/>
        <w:keepNext w:val="true"/>
        <w:jc w:val="center"/>
        <w:rPr/>
      </w:pPr>
      <w:bookmarkStart w:id="63" w:name="_Toc151291301"/>
      <w:r>
        <w:rPr/>
        <w:t xml:space="preserve">Πίνακας </w:t>
      </w:r>
      <w:r>
        <w:rPr/>
        <w:fldChar w:fldCharType="begin"/>
      </w:r>
      <w:r>
        <w:rPr/>
        <w:instrText xml:space="preserve"> SEQ Πίνακας \* ARABIC </w:instrText>
      </w:r>
      <w:r>
        <w:rPr/>
        <w:fldChar w:fldCharType="separate"/>
      </w:r>
      <w:r>
        <w:rPr/>
        <w:t>2</w:t>
      </w:r>
      <w:r>
        <w:rPr/>
        <w:fldChar w:fldCharType="end"/>
      </w:r>
      <w:r>
        <w:rPr/>
        <w:t xml:space="preserve">: </w:t>
      </w:r>
      <w:r>
        <w:rPr>
          <w:b w:val="false"/>
          <w:bCs w:val="false"/>
          <w:i/>
          <w:iCs/>
        </w:rPr>
        <w:t xml:space="preserve">Πιο κοινές μορφές μη-συνδρομικής μονογενετικής παχυσαρκίας </w:t>
      </w:r>
      <w:r>
        <w:fldChar w:fldCharType="begin"/>
      </w:r>
      <w:r>
        <w:rPr>
          <w:i/>
          <w:b w:val="false"/>
          <w:iCs/>
          <w:bCs w:val="false"/>
        </w:rPr>
        <w:instrText xml:space="preserve">ADDIN ZOTERO_ITEM CSL_CITATION {"citationID":"kCFlsGxu","properties":{"formattedCitation":"[71]","plainCitation":"[71]","noteIndex":0},"citationItems":[{"id":2420,"uris":["http://zotero.org/users/local/WDVvZTBM/items/TZVACEE6"],"itemData":{"id":2420,"type":"article-journal","abstract":"Obesity represents a major health burden to both developed and developing countries. Furthermore, the incidence of obesity is increasing in children. Obesity contributes substantially to mortality in the United States by increasing the risk for type 2 diabetes, cardiovascular-related diseases, and other comorbidities. Despite environmental changes over past decades, including increases in high-calorie foods and sedentary lifestyles, there is very clear evidence of a genetic predisposition to obesity risk. Childhood obesity cases can be categorized in one of two ways: syndromic or non-syndromic. Syndromic obesity includes disorders such as PraderWilli syndrome, Bardet-Biedl syndrome, and Alström syndrome. Non-syndromic cases of obesity can be further separated into rarer instances of monogenic obesity and much more common forms of polygenic obesity. The advent of genome-wide association studies (GWAS) and next-generation sequencing has driven significant advances in our understanding of the genetic contribution to childhood obesity. Many rare and common genetic variants have been shown to contribute to the heritability in obesity, although the molecular mechanisms underlying most of these variants remain unclear. An important caveat of GWAS efforts is that they do not strictly represent gene target discoveries, rather simply the uncovering of robust genetic signals. One clear example of this is with progress in understanding the key obesity signal harbored within an intronic region of the FTO gene. It has been shown that the non-coding region in which the variant actually resides in fact influences the expression of genes distal to FTO instead, specifically IRX3 and IRX5. Such discoveries suggest that associated non-coding variants can be embedded within or next to one gene, but commonly influence the expression of other, more distal effector genes. Advances in genetics and genomics are therefore contributing to a deeper understanding of childhood obesity, allowing for development of clinical tools and therapeutic agents.","container-title":"Molecular Diagnosis &amp; Therapy","DOI":"10.1007/s40291-020-00496-1","ISSN":"1177-1062, 1179-2000","issue":"6","journalAbbreviation":"Mol Diagn Ther","language":"en","page":"653-663","source":"DOI.org (Crossref)","title":"Genetic Determinants of Childhood Obesity","volume":"24","author":[{"family":"Littleton","given":"Sheridan H."},{"family":"Berkowitz","given":"Robert I."},{"family":"Grant","given":"Struan F. A."}],"issued":{"date-parts":[["2020",12]]}}}],"schema":"https://github.com/citation-style-language/schema/raw/master/csl-citation.json"}</w:instrText>
      </w:r>
      <w:r>
        <w:rPr>
          <w:b w:val="false"/>
          <w:bCs w:val="false"/>
          <w:i/>
          <w:iCs/>
        </w:rPr>
      </w:r>
      <w:r>
        <w:rPr>
          <w:i/>
          <w:b w:val="false"/>
          <w:iCs/>
          <w:bCs w:val="false"/>
        </w:rPr>
        <w:fldChar w:fldCharType="separate"/>
      </w:r>
      <w:r>
        <w:rPr>
          <w:b w:val="false"/>
          <w:bCs w:val="false"/>
          <w:i/>
          <w:iCs/>
        </w:rPr>
        <w:t>[71]</w:t>
      </w:r>
      <w:r>
        <w:rPr>
          <w:b w:val="false"/>
          <w:bCs w:val="false"/>
          <w:i/>
          <w:iCs/>
        </w:rPr>
      </w:r>
      <w:r>
        <w:rPr>
          <w:i/>
          <w:b w:val="false"/>
          <w:iCs/>
          <w:bCs w:val="false"/>
        </w:rPr>
        <w:fldChar w:fldCharType="end"/>
      </w:r>
      <w:r>
        <w:rPr>
          <w:b w:val="false"/>
          <w:bCs w:val="false"/>
          <w:i/>
          <w:iCs/>
        </w:rPr>
        <w:t>.</w:t>
      </w:r>
      <w:bookmarkEnd w:id="63"/>
    </w:p>
    <w:tbl>
      <w:tblPr>
        <w:tblStyle w:val="ae"/>
        <w:tblW w:w="8303"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257"/>
        <w:gridCol w:w="1462"/>
        <w:gridCol w:w="1494"/>
        <w:gridCol w:w="1570"/>
        <w:gridCol w:w="1360"/>
        <w:gridCol w:w="1159"/>
      </w:tblGrid>
      <w:tr>
        <w:trPr/>
        <w:tc>
          <w:tcPr>
            <w:tcW w:w="1257" w:type="dxa"/>
            <w:tcBorders/>
            <w:shd w:color="auto" w:fill="BFBFBF" w:themeFill="background1" w:themeFillShade="bf" w:val="clear"/>
            <w:vAlign w:val="center"/>
          </w:tcPr>
          <w:p>
            <w:pPr>
              <w:pStyle w:val="Normal"/>
              <w:widowControl/>
              <w:spacing w:before="0" w:after="0"/>
              <w:jc w:val="center"/>
              <w:rPr>
                <w:b/>
                <w:bCs/>
                <w:sz w:val="20"/>
                <w:szCs w:val="20"/>
              </w:rPr>
            </w:pPr>
            <w:r>
              <w:rPr>
                <w:rFonts w:eastAsia="Calibri" w:cs="Times New Roman"/>
                <w:b/>
                <w:bCs/>
                <w:kern w:val="0"/>
                <w:sz w:val="20"/>
                <w:szCs w:val="20"/>
                <w:lang w:val="el-GR" w:eastAsia="el-GR" w:bidi="ar-SA"/>
              </w:rPr>
              <w:t>Gene</w:t>
            </w:r>
          </w:p>
        </w:tc>
        <w:tc>
          <w:tcPr>
            <w:tcW w:w="1462" w:type="dxa"/>
            <w:tcBorders/>
            <w:shd w:color="auto" w:fill="BFBFBF" w:themeFill="background1" w:themeFillShade="bf" w:val="clear"/>
            <w:vAlign w:val="center"/>
          </w:tcPr>
          <w:p>
            <w:pPr>
              <w:pStyle w:val="Normal"/>
              <w:widowControl/>
              <w:spacing w:before="0" w:after="0"/>
              <w:jc w:val="center"/>
              <w:rPr>
                <w:b/>
                <w:bCs/>
                <w:sz w:val="20"/>
                <w:szCs w:val="20"/>
              </w:rPr>
            </w:pPr>
            <w:r>
              <w:rPr>
                <w:rFonts w:eastAsia="Calibri" w:cs="Times New Roman"/>
                <w:b/>
                <w:bCs/>
                <w:kern w:val="0"/>
                <w:sz w:val="20"/>
                <w:szCs w:val="20"/>
                <w:lang w:val="el-GR" w:eastAsia="el-GR" w:bidi="ar-SA"/>
              </w:rPr>
              <w:t>Mutation(s)</w:t>
            </w:r>
          </w:p>
        </w:tc>
        <w:tc>
          <w:tcPr>
            <w:tcW w:w="1494" w:type="dxa"/>
            <w:tcBorders/>
            <w:shd w:color="auto" w:fill="BFBFBF" w:themeFill="background1" w:themeFillShade="bf" w:val="clear"/>
            <w:vAlign w:val="center"/>
          </w:tcPr>
          <w:p>
            <w:pPr>
              <w:pStyle w:val="Normal"/>
              <w:widowControl/>
              <w:spacing w:before="0" w:after="0"/>
              <w:jc w:val="center"/>
              <w:rPr>
                <w:b/>
                <w:bCs/>
                <w:sz w:val="20"/>
                <w:szCs w:val="20"/>
              </w:rPr>
            </w:pPr>
            <w:r>
              <w:rPr>
                <w:rFonts w:eastAsia="Calibri" w:cs="Times New Roman"/>
                <w:b/>
                <w:bCs/>
                <w:kern w:val="0"/>
                <w:sz w:val="20"/>
                <w:szCs w:val="20"/>
                <w:lang w:val="el-GR" w:eastAsia="el-GR" w:bidi="ar-SA"/>
              </w:rPr>
              <w:t>Prevalence</w:t>
            </w:r>
          </w:p>
        </w:tc>
        <w:tc>
          <w:tcPr>
            <w:tcW w:w="1570" w:type="dxa"/>
            <w:tcBorders/>
            <w:shd w:color="auto" w:fill="BFBFBF" w:themeFill="background1" w:themeFillShade="bf" w:val="clear"/>
            <w:vAlign w:val="center"/>
          </w:tcPr>
          <w:p>
            <w:pPr>
              <w:pStyle w:val="Normal"/>
              <w:widowControl/>
              <w:spacing w:before="0" w:after="0"/>
              <w:jc w:val="center"/>
              <w:rPr>
                <w:b/>
                <w:bCs/>
                <w:sz w:val="20"/>
                <w:szCs w:val="20"/>
              </w:rPr>
            </w:pPr>
            <w:r>
              <w:rPr>
                <w:rFonts w:eastAsia="Calibri" w:cs="Times New Roman"/>
                <w:b/>
                <w:bCs/>
                <w:kern w:val="0"/>
                <w:sz w:val="20"/>
                <w:szCs w:val="20"/>
                <w:lang w:val="el-GR" w:eastAsia="el-GR" w:bidi="ar-SA"/>
              </w:rPr>
              <w:t>Phenotypes</w:t>
            </w:r>
          </w:p>
        </w:tc>
        <w:tc>
          <w:tcPr>
            <w:tcW w:w="1360" w:type="dxa"/>
            <w:tcBorders/>
            <w:shd w:color="auto" w:fill="BFBFBF" w:themeFill="background1" w:themeFillShade="bf" w:val="clear"/>
            <w:vAlign w:val="center"/>
          </w:tcPr>
          <w:p>
            <w:pPr>
              <w:pStyle w:val="Normal"/>
              <w:widowControl/>
              <w:spacing w:before="0" w:after="0"/>
              <w:jc w:val="center"/>
              <w:rPr>
                <w:rFonts w:eastAsia="Calibri"/>
                <w:b/>
                <w:bCs/>
                <w:sz w:val="20"/>
                <w:szCs w:val="20"/>
              </w:rPr>
            </w:pPr>
            <w:r>
              <w:rPr>
                <w:rFonts w:eastAsia="Calibri" w:cs="Times New Roman"/>
                <w:b/>
                <w:bCs/>
                <w:kern w:val="0"/>
                <w:sz w:val="20"/>
                <w:szCs w:val="20"/>
                <w:lang w:val="el-GR" w:eastAsia="el-GR" w:bidi="ar-SA"/>
              </w:rPr>
              <w:t>Genetic testing for</w:t>
            </w:r>
          </w:p>
          <w:p>
            <w:pPr>
              <w:pStyle w:val="Normal"/>
              <w:widowControl/>
              <w:spacing w:before="0" w:after="0"/>
              <w:jc w:val="center"/>
              <w:rPr>
                <w:b/>
                <w:bCs/>
                <w:sz w:val="20"/>
                <w:szCs w:val="20"/>
              </w:rPr>
            </w:pPr>
            <w:r>
              <w:rPr>
                <w:rFonts w:eastAsia="Calibri" w:cs="Times New Roman"/>
                <w:b/>
                <w:bCs/>
                <w:kern w:val="0"/>
                <w:sz w:val="20"/>
                <w:szCs w:val="20"/>
                <w:lang w:val="el-GR" w:eastAsia="el-GR" w:bidi="ar-SA"/>
              </w:rPr>
              <w:t>diagnosis</w:t>
            </w:r>
          </w:p>
        </w:tc>
        <w:tc>
          <w:tcPr>
            <w:tcW w:w="1159" w:type="dxa"/>
            <w:tcBorders/>
            <w:shd w:color="auto" w:fill="BFBFBF" w:themeFill="background1" w:themeFillShade="bf" w:val="clear"/>
            <w:vAlign w:val="center"/>
          </w:tcPr>
          <w:p>
            <w:pPr>
              <w:pStyle w:val="Normal"/>
              <w:widowControl/>
              <w:spacing w:before="0" w:after="0"/>
              <w:jc w:val="center"/>
              <w:rPr>
                <w:rFonts w:eastAsia="Calibri"/>
                <w:b/>
                <w:bCs/>
                <w:sz w:val="20"/>
                <w:szCs w:val="20"/>
                <w:lang w:val="en-US"/>
              </w:rPr>
            </w:pPr>
            <w:r>
              <w:rPr>
                <w:rFonts w:eastAsia="Calibri" w:cs="Times New Roman"/>
                <w:b/>
                <w:bCs/>
                <w:kern w:val="0"/>
                <w:sz w:val="20"/>
                <w:szCs w:val="20"/>
                <w:lang w:val="en-US" w:eastAsia="el-GR" w:bidi="ar-SA"/>
              </w:rPr>
              <w:t>Refrerence</w:t>
            </w:r>
          </w:p>
        </w:tc>
      </w:tr>
      <w:tr>
        <w:trPr/>
        <w:tc>
          <w:tcPr>
            <w:tcW w:w="1257" w:type="dxa"/>
            <w:tcBorders/>
            <w:vAlign w:val="center"/>
          </w:tcPr>
          <w:p>
            <w:pPr>
              <w:pStyle w:val="Normal"/>
              <w:widowControl/>
              <w:spacing w:before="0" w:after="0"/>
              <w:jc w:val="center"/>
              <w:rPr>
                <w:b/>
                <w:bCs/>
                <w:sz w:val="18"/>
                <w:szCs w:val="18"/>
              </w:rPr>
            </w:pPr>
            <w:r>
              <w:rPr>
                <w:rFonts w:eastAsia="Calibri" w:cs="Times New Roman"/>
                <w:b/>
                <w:bCs/>
                <w:kern w:val="0"/>
                <w:sz w:val="18"/>
                <w:szCs w:val="18"/>
                <w:lang w:val="el-GR" w:eastAsia="el-GR" w:bidi="ar-SA"/>
              </w:rPr>
              <w:t>MC4R</w:t>
            </w:r>
          </w:p>
        </w:tc>
        <w:tc>
          <w:tcPr>
            <w:tcW w:w="1462" w:type="dxa"/>
            <w:tcBorders/>
            <w:vAlign w:val="center"/>
          </w:tcPr>
          <w:p>
            <w:pPr>
              <w:pStyle w:val="Normal"/>
              <w:widowControl/>
              <w:spacing w:before="0" w:after="0"/>
              <w:jc w:val="left"/>
              <w:rPr>
                <w:rFonts w:eastAsia="Calibri"/>
                <w:sz w:val="17"/>
                <w:szCs w:val="17"/>
              </w:rPr>
            </w:pPr>
            <w:r>
              <w:rPr>
                <w:rFonts w:eastAsia="Calibri" w:cs="Times New Roman"/>
                <w:kern w:val="0"/>
                <w:sz w:val="17"/>
                <w:szCs w:val="17"/>
                <w:lang w:val="el-GR" w:eastAsia="el-GR" w:bidi="ar-SA"/>
              </w:rPr>
              <w:t>Homozygous, compound</w:t>
            </w:r>
          </w:p>
          <w:p>
            <w:pPr>
              <w:pStyle w:val="Normal"/>
              <w:widowControl/>
              <w:spacing w:before="0" w:after="0"/>
              <w:jc w:val="left"/>
              <w:rPr>
                <w:rFonts w:cs="Times New Roman"/>
                <w:kern w:val="0"/>
                <w:lang w:val="el-GR" w:eastAsia="el-GR" w:bidi="ar-SA"/>
              </w:rPr>
            </w:pPr>
            <w:r>
              <w:rPr>
                <w:rFonts w:eastAsia="Calibri" w:cs="Times New Roman"/>
                <w:kern w:val="0"/>
                <w:sz w:val="17"/>
                <w:szCs w:val="17"/>
                <w:lang w:val="el-GR" w:eastAsia="el-GR" w:bidi="ar-SA"/>
              </w:rPr>
              <w:t>heterozygous, heterozygous</w:t>
            </w:r>
          </w:p>
        </w:tc>
        <w:tc>
          <w:tcPr>
            <w:tcW w:w="1494" w:type="dxa"/>
            <w:tcBorders/>
            <w:vAlign w:val="center"/>
          </w:tcPr>
          <w:p>
            <w:pPr>
              <w:pStyle w:val="Normal"/>
              <w:widowControl/>
              <w:spacing w:before="0" w:after="0"/>
              <w:jc w:val="left"/>
              <w:rPr>
                <w:rFonts w:eastAsia="Calibri"/>
                <w:sz w:val="17"/>
                <w:szCs w:val="17"/>
                <w:lang w:val="en-US"/>
              </w:rPr>
            </w:pPr>
            <w:r>
              <w:rPr>
                <w:rFonts w:eastAsia="Calibri" w:cs="Times New Roman"/>
                <w:kern w:val="0"/>
                <w:sz w:val="17"/>
                <w:szCs w:val="17"/>
                <w:lang w:val="en-US" w:eastAsia="el-GR" w:bidi="ar-SA"/>
              </w:rPr>
              <w:t>3–5% of children with earlyonset</w:t>
            </w:r>
          </w:p>
          <w:p>
            <w:pPr>
              <w:pStyle w:val="Normal"/>
              <w:widowControl/>
              <w:spacing w:before="0" w:after="0"/>
              <w:jc w:val="left"/>
              <w:rPr>
                <w:lang w:val="en-US"/>
              </w:rPr>
            </w:pPr>
            <w:r>
              <w:rPr>
                <w:rFonts w:eastAsia="Calibri" w:cs="Times New Roman"/>
                <w:kern w:val="0"/>
                <w:sz w:val="17"/>
                <w:szCs w:val="17"/>
                <w:lang w:val="en-US" w:eastAsia="el-GR" w:bidi="ar-SA"/>
              </w:rPr>
              <w:t>severe obesity</w:t>
            </w:r>
          </w:p>
        </w:tc>
        <w:tc>
          <w:tcPr>
            <w:tcW w:w="1570" w:type="dxa"/>
            <w:tcBorders/>
            <w:vAlign w:val="center"/>
          </w:tcPr>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Hyperphagia; early-onset obesity; increased linear</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growth and height; increased bone mass;</w:t>
            </w:r>
          </w:p>
          <w:p>
            <w:pPr>
              <w:pStyle w:val="Normal"/>
              <w:widowControl/>
              <w:spacing w:before="0" w:after="0"/>
              <w:jc w:val="left"/>
              <w:rPr>
                <w:lang w:val="en-US"/>
              </w:rPr>
            </w:pPr>
            <w:r>
              <w:rPr>
                <w:rFonts w:eastAsia="Calibri" w:cs="Times New Roman"/>
                <w:i/>
                <w:iCs/>
                <w:kern w:val="0"/>
                <w:sz w:val="17"/>
                <w:szCs w:val="17"/>
                <w:lang w:val="en-US" w:eastAsia="el-GR" w:bidi="ar-SA"/>
              </w:rPr>
              <w:t>increased fat and lean mass</w:t>
            </w:r>
          </w:p>
        </w:tc>
        <w:tc>
          <w:tcPr>
            <w:tcW w:w="1360" w:type="dxa"/>
            <w:tcBorders/>
            <w:vAlign w:val="center"/>
          </w:tcPr>
          <w:p>
            <w:pPr>
              <w:pStyle w:val="Normal"/>
              <w:widowControl/>
              <w:spacing w:before="0" w:after="0"/>
              <w:jc w:val="left"/>
              <w:rPr>
                <w:rFonts w:eastAsia="Calibri"/>
                <w:sz w:val="17"/>
                <w:szCs w:val="17"/>
              </w:rPr>
            </w:pPr>
            <w:r>
              <w:rPr>
                <w:rFonts w:eastAsia="Calibri" w:cs="Times New Roman"/>
                <w:kern w:val="0"/>
                <w:sz w:val="17"/>
                <w:szCs w:val="17"/>
                <w:lang w:val="el-GR" w:eastAsia="el-GR" w:bidi="ar-SA"/>
              </w:rPr>
              <w:t>Direct sequencing</w:t>
            </w:r>
          </w:p>
          <w:p>
            <w:pPr>
              <w:pStyle w:val="Normal"/>
              <w:widowControl/>
              <w:spacing w:before="0" w:after="0"/>
              <w:jc w:val="left"/>
              <w:rPr>
                <w:lang w:val="en-US"/>
              </w:rPr>
            </w:pPr>
            <w:r>
              <w:rPr>
                <w:rFonts w:eastAsia="Calibri" w:cs="Times New Roman"/>
                <w:kern w:val="0"/>
                <w:sz w:val="17"/>
                <w:szCs w:val="17"/>
                <w:lang w:val="el-GR" w:eastAsia="el-GR" w:bidi="ar-SA"/>
              </w:rPr>
              <w:t>of MC4R</w:t>
            </w:r>
          </w:p>
        </w:tc>
        <w:tc>
          <w:tcPr>
            <w:tcW w:w="1159" w:type="dxa"/>
            <w:tcBorders/>
            <w:vAlign w:val="center"/>
          </w:tcPr>
          <w:p>
            <w:pPr>
              <w:pStyle w:val="Normal"/>
              <w:widowControl/>
              <w:spacing w:before="0" w:after="0"/>
              <w:jc w:val="center"/>
              <w:rPr>
                <w:rFonts w:eastAsia="Calibri"/>
                <w:sz w:val="17"/>
                <w:szCs w:val="17"/>
                <w:lang w:val="en-US"/>
              </w:rPr>
            </w:pPr>
            <w:r>
              <w:rPr>
                <w:rFonts w:eastAsia="Calibri" w:cs="Times New Roman"/>
                <w:kern w:val="0"/>
                <w:sz w:val="17"/>
                <w:szCs w:val="17"/>
                <w:lang w:val="en-US" w:eastAsia="el-GR" w:bidi="ar-SA"/>
              </w:rPr>
              <w:t xml:space="preserve">Littleton (2020) </w:t>
            </w:r>
            <w:r>
              <w:fldChar w:fldCharType="begin"/>
            </w:r>
            <w:r>
              <w:rPr>
                <w:sz w:val="17"/>
                <w:kern w:val="0"/>
                <w:szCs w:val="17"/>
                <w:rFonts w:eastAsia="Calibri" w:cs="Times New Roman"/>
                <w:lang w:val="en-US" w:eastAsia="el-GR" w:bidi="ar-SA"/>
              </w:rPr>
              <w:instrText xml:space="preserve">ADDIN ZOTERO_ITEM CSL_CITATION {"citationID":"kUxJZn0s","properties":{"formattedCitation":"[71]","plainCitation":"[71]","noteIndex":0},"citationItems":[{"id":2420,"uris":["http://zotero.org/users/local/WDVvZTBM/items/TZVACEE6"],"itemData":{"id":2420,"type":"article-journal","abstract":"Obesity represents a major health burden to both developed and developing countries. Furthermore, the incidence of obesity is increasing in children. Obesity contributes substantially to mortality in the United States by increasing the risk for type 2 diabetes, cardiovascular-related diseases, and other comorbidities. Despite environmental changes over past decades, including increases in high-calorie foods and sedentary lifestyles, there is very clear evidence of a genetic predisposition to obesity risk. Childhood obesity cases can be categorized in one of two ways: syndromic or non-syndromic. Syndromic obesity includes disorders such as PraderWilli syndrome, Bardet-Biedl syndrome, and Alström syndrome. Non-syndromic cases of obesity can be further separated into rarer instances of monogenic obesity and much more common forms of polygenic obesity. The advent of genome-wide association studies (GWAS) and next-generation sequencing has driven significant advances in our understanding of the genetic contribution to childhood obesity. Many rare and common genetic variants have been shown to contribute to the heritability in obesity, although the molecular mechanisms underlying most of these variants remain unclear. An important caveat of GWAS efforts is that they do not strictly represent gene target discoveries, rather simply the uncovering of robust genetic signals. One clear example of this is with progress in understanding the key obesity signal harbored within an intronic region of the FTO gene. It has been shown that the non-coding region in which the variant actually resides in fact influences the expression of genes distal to FTO instead, specifically IRX3 and IRX5. Such discoveries suggest that associated non-coding variants can be embedded within or next to one gene, but commonly influence the expression of other, more distal effector genes. Advances in genetics and genomics are therefore contributing to a deeper understanding of childhood obesity, allowing for development of clinical tools and therapeutic agents.","container-title":"Molecular Diagnosis &amp; Therapy","DOI":"10.1007/s40291-020-00496-1","ISSN":"1177-1062, 1179-2000","issue":"6","journalAbbreviation":"Mol Diagn Ther","language":"en","page":"653-663","source":"DOI.org (Crossref)","title":"Genetic Determinants of Childhood Obesity","volume":"24","author":[{"family":"Littleton","given":"Sheridan H."},{"family":"Berkowitz","given":"Robert I."},{"family":"Grant","given":"Struan F. A."}],"issued":{"date-parts":[["2020",12]]}}}],"schema":"https://github.com/citation-style-language/schema/raw/master/csl-citation.json"}</w:instrText>
            </w:r>
            <w:r>
              <w:rPr>
                <w:rFonts w:eastAsia="Calibri" w:cs="Times New Roman"/>
                <w:kern w:val="0"/>
                <w:sz w:val="17"/>
                <w:szCs w:val="17"/>
                <w:lang w:val="en-US" w:eastAsia="el-GR" w:bidi="ar-SA"/>
              </w:rPr>
            </w:r>
            <w:r>
              <w:rPr>
                <w:sz w:val="17"/>
                <w:kern w:val="0"/>
                <w:szCs w:val="17"/>
                <w:rFonts w:eastAsia="Calibri" w:cs="Times New Roman"/>
                <w:lang w:val="en-US" w:eastAsia="el-GR" w:bidi="ar-SA"/>
              </w:rPr>
              <w:fldChar w:fldCharType="separate"/>
            </w:r>
            <w:r>
              <w:rPr>
                <w:rFonts w:eastAsia="Calibri" w:cs="Times New Roman"/>
                <w:kern w:val="0"/>
                <w:sz w:val="17"/>
                <w:szCs w:val="17"/>
                <w:lang w:val="en-US" w:eastAsia="el-GR" w:bidi="ar-SA"/>
              </w:rPr>
              <w:t>[71]</w:t>
            </w:r>
            <w:r>
              <w:rPr>
                <w:rFonts w:eastAsia="Calibri" w:cs="Times New Roman"/>
                <w:kern w:val="0"/>
                <w:sz w:val="17"/>
                <w:szCs w:val="17"/>
                <w:lang w:val="en-US" w:eastAsia="el-GR" w:bidi="ar-SA"/>
              </w:rPr>
            </w:r>
            <w:r>
              <w:rPr>
                <w:sz w:val="17"/>
                <w:kern w:val="0"/>
                <w:szCs w:val="17"/>
                <w:rFonts w:eastAsia="Calibri" w:cs="Times New Roman"/>
                <w:lang w:val="en-US" w:eastAsia="el-GR" w:bidi="ar-SA"/>
              </w:rPr>
              <w:fldChar w:fldCharType="end"/>
            </w:r>
            <w:r>
              <w:rPr>
                <w:rFonts w:eastAsia="Calibri" w:cs="Times New Roman"/>
                <w:kern w:val="0"/>
                <w:sz w:val="17"/>
                <w:szCs w:val="17"/>
                <w:lang w:val="en-US" w:eastAsia="el-GR" w:bidi="ar-SA"/>
              </w:rPr>
              <w:t xml:space="preserve">, Lotta (2019) </w:t>
            </w:r>
            <w:r>
              <w:fldChar w:fldCharType="begin"/>
            </w:r>
            <w:r>
              <w:rPr>
                <w:sz w:val="17"/>
                <w:kern w:val="0"/>
                <w:szCs w:val="17"/>
                <w:rFonts w:eastAsia="Calibri" w:cs="Times New Roman"/>
                <w:lang w:val="en-US" w:eastAsia="el-GR" w:bidi="ar-SA"/>
              </w:rPr>
              <w:instrText xml:space="preserve">ADDIN ZOTERO_ITEM CSL_CITATION {"citationID":"D6KbF1dk","properties":{"formattedCitation":"[94]","plainCitation":"[94]","noteIndex":0},"citationItems":[{"id":3528,"uris":["http://zotero.org/users/local/WDVvZTBM/items/74E98DHT"],"itemData":{"id":3528,"type":"article-journal","abstract":"The melanocortin 4 receptor (MC4R) is a G proteincoupled receptor whose disruption causes obesity. We functionally characterized 61 MC4R variants identiﬁed in 0.5 million people from UK Biobank and examined their associations with body mass index (BMI) and obesity-related cardiometabolic diseases. We found that the maximal efﬁcacy of b-arrestin recruitment to MC4R, rather than canonical Gas-mediated cyclic adenosine-monophosphate production, explained 88% of the variance in the association of MC4R variants with BMI. While most MC4R variants caused loss of function, a subset caused gain of function; these variants were associated with signiﬁcantly lower BMI and lower odds of obesity, type 2 diabetes, and coronary artery disease. Protective associations were driven by MC4R variants exhibiting signaling bias toward b-arrestin recruitment and increased mitogen-activated protein kinase pathway activation. Harnessing b-arrestinbiased MC4R signaling may represent an effective strategy for weight loss and the treatment of obesity-related cardiometabolic diseases.","container-title":"Cell","DOI":"10.1016/j.cell.2019.03.044","ISSN":"00928674","issue":"3","journalAbbreviation":"Cell","language":"en","page":"597-607.e9","source":"DOI.org (Crossref)","title":"Human Gain-of-Function MC4R Variants Show Signaling Bias and Protect against Obesity","volume":"177","author":[{"family":"Lotta","given":"Luca A."},{"family":"Mokrosiński","given":"Jacek"},{"family":"Mendes De Oliveira","given":"Edson"},{"family":"Li","given":"Chen"},{"family":"Sharp","given":"Stephen J."},{"family":"Luan","given":"Jian’an"},{"family":"Brouwers","given":"Bas"},{"family":"Ayinampudi","given":"Vikram"},{"family":"Bowker","given":"Nicholas"},{"family":"Kerrison","given":"Nicola"},{"family":"Kaimakis","given":"Vasileios"},{"family":"Hoult","given":"Diana"},{"family":"Stewart","given":"Isobel D."},{"family":"Wheeler","given":"Eleanor"},{"family":"Day","given":"Felix R."},{"family":"Perry","given":"John R.B."},{"family":"Langenberg","given":"Claudia"},{"family":"Wareham","given":"Nicholas J."},{"family":"Farooqi","given":"I. Sadaf"}],"issued":{"date-parts":[["2019",4]]}}}],"schema":"https://github.com/citation-style-language/schema/raw/master/csl-citation.json"}</w:instrText>
            </w:r>
            <w:r>
              <w:rPr>
                <w:rFonts w:eastAsia="Calibri" w:cs="Times New Roman"/>
                <w:kern w:val="0"/>
                <w:sz w:val="17"/>
                <w:szCs w:val="17"/>
                <w:lang w:val="en-US" w:eastAsia="el-GR" w:bidi="ar-SA"/>
              </w:rPr>
            </w:r>
            <w:r>
              <w:rPr>
                <w:sz w:val="17"/>
                <w:kern w:val="0"/>
                <w:szCs w:val="17"/>
                <w:rFonts w:eastAsia="Calibri" w:cs="Times New Roman"/>
                <w:lang w:val="en-US" w:eastAsia="el-GR" w:bidi="ar-SA"/>
              </w:rPr>
              <w:fldChar w:fldCharType="separate"/>
            </w:r>
            <w:r>
              <w:rPr>
                <w:rFonts w:eastAsia="Calibri" w:cs="Times New Roman"/>
                <w:kern w:val="0"/>
                <w:sz w:val="17"/>
                <w:szCs w:val="17"/>
                <w:lang w:val="en-US" w:eastAsia="el-GR" w:bidi="ar-SA"/>
              </w:rPr>
              <w:t>[94]</w:t>
            </w:r>
            <w:r>
              <w:rPr>
                <w:rFonts w:eastAsia="Calibri" w:cs="Times New Roman"/>
                <w:kern w:val="0"/>
                <w:sz w:val="17"/>
                <w:szCs w:val="17"/>
                <w:lang w:val="en-US" w:eastAsia="el-GR" w:bidi="ar-SA"/>
              </w:rPr>
            </w:r>
            <w:r>
              <w:rPr>
                <w:sz w:val="17"/>
                <w:kern w:val="0"/>
                <w:szCs w:val="17"/>
                <w:rFonts w:eastAsia="Calibri" w:cs="Times New Roman"/>
                <w:lang w:val="en-US" w:eastAsia="el-GR" w:bidi="ar-SA"/>
              </w:rPr>
              <w:fldChar w:fldCharType="end"/>
            </w:r>
            <w:r>
              <w:rPr>
                <w:rFonts w:eastAsia="Calibri" w:cs="Times New Roman"/>
                <w:kern w:val="0"/>
                <w:sz w:val="17"/>
                <w:szCs w:val="17"/>
                <w:lang w:val="en-US" w:eastAsia="el-GR" w:bidi="ar-SA"/>
              </w:rPr>
              <w:t xml:space="preserve"> </w:t>
            </w:r>
            <w:r>
              <w:rPr>
                <w:rFonts w:eastAsia="Calibri" w:cs="Times New Roman"/>
                <w:kern w:val="0"/>
                <w:sz w:val="17"/>
                <w:szCs w:val="17"/>
                <w:lang w:val="en-US" w:eastAsia="el-GR" w:bidi="ar-SA"/>
              </w:rPr>
              <w:fldChar w:fldCharType="begin"/>
            </w:r>
            <w:r>
              <w:rPr>
                <w:sz w:val="17"/>
                <w:kern w:val="0"/>
                <w:szCs w:val="17"/>
                <w:rFonts w:eastAsia="Calibri" w:cs="Times New Roman"/>
                <w:lang w:val="en-US" w:eastAsia="el-GR" w:bidi="ar-SA"/>
              </w:rPr>
              <w:instrText xml:space="preserve"> PRINTDATE \@"M\/d\/yyyy\ H:mm:ss\ AM/PM" </w:instrText>
            </w:r>
            <w:r>
              <w:rPr>
                <w:sz w:val="17"/>
                <w:kern w:val="0"/>
                <w:szCs w:val="17"/>
                <w:rFonts w:eastAsia="Calibri" w:cs="Times New Roman"/>
                <w:lang w:val="en-US" w:eastAsia="el-GR" w:bidi="ar-SA"/>
              </w:rPr>
              <w:fldChar w:fldCharType="separate"/>
            </w:r>
            <w:r>
              <w:rPr>
                <w:sz w:val="17"/>
                <w:kern w:val="0"/>
                <w:szCs w:val="17"/>
                <w:rFonts w:eastAsia="Calibri" w:cs="Times New Roman"/>
                <w:lang w:val="en-US" w:eastAsia="el-GR" w:bidi="ar-SA"/>
              </w:rPr>
              <w:t>11/18/2023 5:52:00 PM</w:t>
            </w:r>
            <w:r>
              <w:rPr>
                <w:sz w:val="17"/>
                <w:kern w:val="0"/>
                <w:szCs w:val="17"/>
                <w:rFonts w:eastAsia="Calibri" w:cs="Times New Roman"/>
                <w:lang w:val="en-US" w:eastAsia="el-GR" w:bidi="ar-SA"/>
              </w:rPr>
              <w:fldChar w:fldCharType="end"/>
            </w:r>
          </w:p>
        </w:tc>
      </w:tr>
      <w:tr>
        <w:trPr/>
        <w:tc>
          <w:tcPr>
            <w:tcW w:w="1257" w:type="dxa"/>
            <w:tcBorders/>
            <w:vAlign w:val="center"/>
          </w:tcPr>
          <w:p>
            <w:pPr>
              <w:pStyle w:val="Normal"/>
              <w:widowControl/>
              <w:spacing w:before="0" w:after="0"/>
              <w:jc w:val="center"/>
              <w:rPr>
                <w:b/>
                <w:bCs/>
                <w:sz w:val="18"/>
                <w:szCs w:val="18"/>
                <w:lang w:val="en-US"/>
              </w:rPr>
            </w:pPr>
            <w:r>
              <w:rPr>
                <w:rFonts w:eastAsia="Calibri" w:cs="Times New Roman"/>
                <w:b/>
                <w:bCs/>
                <w:kern w:val="0"/>
                <w:sz w:val="18"/>
                <w:szCs w:val="18"/>
                <w:lang w:val="en-US" w:eastAsia="el-GR" w:bidi="ar-SA"/>
              </w:rPr>
              <w:t>LEP</w:t>
            </w:r>
          </w:p>
        </w:tc>
        <w:tc>
          <w:tcPr>
            <w:tcW w:w="1462" w:type="dxa"/>
            <w:tcBorders/>
            <w:vAlign w:val="center"/>
          </w:tcPr>
          <w:p>
            <w:pPr>
              <w:pStyle w:val="Normal"/>
              <w:widowControl/>
              <w:spacing w:before="0" w:after="0"/>
              <w:jc w:val="left"/>
              <w:rPr>
                <w:lang w:val="en-US"/>
              </w:rPr>
            </w:pPr>
            <w:r>
              <w:rPr>
                <w:rFonts w:eastAsia="Calibri" w:cs="Times New Roman"/>
                <w:kern w:val="0"/>
                <w:sz w:val="17"/>
                <w:szCs w:val="17"/>
                <w:lang w:val="en-US" w:eastAsia="el-GR" w:bidi="ar-SA"/>
              </w:rPr>
              <w:t>Homozygous</w:t>
            </w:r>
          </w:p>
        </w:tc>
        <w:tc>
          <w:tcPr>
            <w:tcW w:w="1494" w:type="dxa"/>
            <w:tcBorders/>
            <w:vAlign w:val="center"/>
          </w:tcPr>
          <w:p>
            <w:pPr>
              <w:pStyle w:val="Normal"/>
              <w:widowControl/>
              <w:spacing w:before="0" w:after="0"/>
              <w:jc w:val="left"/>
              <w:rPr>
                <w:lang w:val="en-US"/>
              </w:rPr>
            </w:pPr>
            <w:r>
              <w:rPr>
                <w:rFonts w:eastAsia="Calibri" w:cs="Times New Roman"/>
                <w:kern w:val="0"/>
                <w:sz w:val="17"/>
                <w:szCs w:val="17"/>
                <w:lang w:val="en-US" w:eastAsia="el-GR" w:bidi="ar-SA"/>
              </w:rPr>
              <w:t>27 patients reported</w:t>
            </w:r>
          </w:p>
        </w:tc>
        <w:tc>
          <w:tcPr>
            <w:tcW w:w="1570" w:type="dxa"/>
            <w:tcBorders/>
            <w:vAlign w:val="center"/>
          </w:tcPr>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Severe hyperphagia; incapacity of feeling</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satiety; early-onset obesity; hypogonadotropic</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hypogonadism; hypothalamic hypothyroidism</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with puberty delay; reduced adult height;</w:t>
            </w:r>
          </w:p>
          <w:p>
            <w:pPr>
              <w:pStyle w:val="Normal"/>
              <w:widowControl/>
              <w:spacing w:before="0" w:after="0"/>
              <w:jc w:val="left"/>
              <w:rPr>
                <w:lang w:val="en-US"/>
              </w:rPr>
            </w:pPr>
            <w:r>
              <w:rPr>
                <w:rFonts w:eastAsia="Calibri" w:cs="Times New Roman"/>
                <w:i/>
                <w:iCs/>
                <w:kern w:val="0"/>
                <w:sz w:val="17"/>
                <w:szCs w:val="17"/>
                <w:lang w:val="en-US" w:eastAsia="el-GR" w:bidi="ar-SA"/>
              </w:rPr>
              <w:t>increased risk of infections</w:t>
            </w:r>
          </w:p>
        </w:tc>
        <w:tc>
          <w:tcPr>
            <w:tcW w:w="1360" w:type="dxa"/>
            <w:tcBorders/>
            <w:vAlign w:val="center"/>
          </w:tcPr>
          <w:p>
            <w:pPr>
              <w:pStyle w:val="Normal"/>
              <w:widowControl/>
              <w:spacing w:before="0" w:after="0"/>
              <w:jc w:val="left"/>
              <w:rPr>
                <w:rFonts w:eastAsia="Calibri"/>
                <w:sz w:val="17"/>
                <w:szCs w:val="17"/>
                <w:lang w:val="en-US"/>
              </w:rPr>
            </w:pPr>
            <w:r>
              <w:rPr>
                <w:rFonts w:eastAsia="Calibri" w:cs="Times New Roman"/>
                <w:kern w:val="0"/>
                <w:sz w:val="17"/>
                <w:szCs w:val="17"/>
                <w:lang w:val="en-US" w:eastAsia="el-GR" w:bidi="ar-SA"/>
              </w:rPr>
              <w:t>Direct sequencing</w:t>
            </w:r>
          </w:p>
          <w:p>
            <w:pPr>
              <w:pStyle w:val="Normal"/>
              <w:widowControl/>
              <w:spacing w:before="0" w:after="0"/>
              <w:jc w:val="left"/>
              <w:rPr>
                <w:lang w:val="en-US"/>
              </w:rPr>
            </w:pPr>
            <w:r>
              <w:rPr>
                <w:rFonts w:eastAsia="Calibri" w:cs="Times New Roman"/>
                <w:kern w:val="0"/>
                <w:sz w:val="17"/>
                <w:szCs w:val="17"/>
                <w:lang w:val="en-US" w:eastAsia="el-GR" w:bidi="ar-SA"/>
              </w:rPr>
              <w:t>of LEP</w:t>
            </w:r>
          </w:p>
        </w:tc>
        <w:tc>
          <w:tcPr>
            <w:tcW w:w="1159" w:type="dxa"/>
            <w:vMerge w:val="restart"/>
            <w:tcBorders/>
            <w:vAlign w:val="center"/>
          </w:tcPr>
          <w:p>
            <w:pPr>
              <w:pStyle w:val="Normal"/>
              <w:widowControl/>
              <w:spacing w:before="0" w:after="0"/>
              <w:jc w:val="center"/>
              <w:rPr>
                <w:rFonts w:eastAsia="Calibri"/>
                <w:sz w:val="17"/>
                <w:szCs w:val="17"/>
                <w:lang w:val="en-US"/>
              </w:rPr>
            </w:pPr>
            <w:r>
              <w:rPr>
                <w:rFonts w:eastAsia="Calibri" w:cs="Times New Roman"/>
                <w:kern w:val="0"/>
                <w:sz w:val="17"/>
                <w:szCs w:val="17"/>
                <w:lang w:val="en-US" w:eastAsia="el-GR" w:bidi="ar-SA"/>
              </w:rPr>
              <w:t xml:space="preserve">Crocker &amp; Yanovski (2009) </w:t>
            </w:r>
            <w:r>
              <w:fldChar w:fldCharType="begin"/>
            </w:r>
            <w:r>
              <w:rPr>
                <w:sz w:val="17"/>
                <w:kern w:val="0"/>
                <w:szCs w:val="17"/>
                <w:rFonts w:eastAsia="Calibri" w:cs="Times New Roman"/>
                <w:lang w:val="en-US" w:eastAsia="el-GR" w:bidi="ar-SA"/>
              </w:rPr>
              <w:instrText xml:space="preserve">ADDIN ZOTERO_ITEM CSL_CITATION {"citationID":"5AtwH872","properties":{"formattedCitation":"[95]","plainCitation":"[95]","noteIndex":0},"citationItems":[{"id":3536,"uris":["http://zotero.org/users/local/WDVvZTBM/items/EVYQPU3V"],"itemData":{"id":3536,"type":"article-journal","container-title":"Endocrinology and Metabolism Clinics of North America","DOI":"10.1016/j.ecl.2009.06.007","ISSN":"08898529","issue":"3","journalAbbreviation":"Endocrinology and Metabolism Clinics of North America","language":"en","page":"525-548","source":"DOI.org (Crossref)","title":"Pediatric Obesity: Etiology and Treatment","title-short":"Pediatric Obesity","volume":"38","author":[{"family":"Crocker","given":"Melissa K."},{"family":"Yanovski","given":"Jack A."}],"issued":{"date-parts":[["2009",9]]}}}],"schema":"https://github.com/citation-style-language/schema/raw/master/csl-citation.json"}</w:instrText>
            </w:r>
            <w:r>
              <w:rPr>
                <w:rFonts w:eastAsia="Calibri" w:cs="Times New Roman"/>
                <w:kern w:val="0"/>
                <w:sz w:val="17"/>
                <w:szCs w:val="17"/>
                <w:lang w:val="en-US" w:eastAsia="el-GR" w:bidi="ar-SA"/>
              </w:rPr>
            </w:r>
            <w:r>
              <w:rPr>
                <w:sz w:val="17"/>
                <w:kern w:val="0"/>
                <w:szCs w:val="17"/>
                <w:rFonts w:eastAsia="Calibri" w:cs="Times New Roman"/>
                <w:lang w:val="en-US" w:eastAsia="el-GR" w:bidi="ar-SA"/>
              </w:rPr>
              <w:fldChar w:fldCharType="separate"/>
            </w:r>
            <w:r>
              <w:rPr>
                <w:rFonts w:eastAsia="Calibri" w:cs="Times New Roman"/>
                <w:kern w:val="0"/>
                <w:sz w:val="17"/>
                <w:szCs w:val="17"/>
                <w:lang w:val="en-US" w:eastAsia="el-GR" w:bidi="ar-SA"/>
              </w:rPr>
              <w:t>[95]</w:t>
            </w:r>
            <w:r>
              <w:rPr>
                <w:rFonts w:eastAsia="Calibri" w:cs="Times New Roman"/>
                <w:kern w:val="0"/>
                <w:sz w:val="17"/>
                <w:szCs w:val="17"/>
                <w:lang w:val="en-US" w:eastAsia="el-GR" w:bidi="ar-SA"/>
              </w:rPr>
            </w:r>
            <w:r>
              <w:rPr>
                <w:sz w:val="17"/>
                <w:kern w:val="0"/>
                <w:szCs w:val="17"/>
                <w:rFonts w:eastAsia="Calibri" w:cs="Times New Roman"/>
                <w:lang w:val="en-US" w:eastAsia="el-GR" w:bidi="ar-SA"/>
              </w:rPr>
              <w:fldChar w:fldCharType="end"/>
            </w:r>
            <w:r>
              <w:rPr>
                <w:rFonts w:eastAsia="Calibri" w:cs="Times New Roman"/>
                <w:kern w:val="0"/>
                <w:sz w:val="17"/>
                <w:szCs w:val="17"/>
                <w:lang w:val="en-US" w:eastAsia="el-GR" w:bidi="ar-SA"/>
              </w:rPr>
              <w:t xml:space="preserve">, Chung (2012) </w:t>
            </w:r>
            <w:r>
              <w:fldChar w:fldCharType="begin"/>
            </w:r>
            <w:r>
              <w:rPr>
                <w:sz w:val="17"/>
                <w:kern w:val="0"/>
                <w:szCs w:val="17"/>
                <w:rFonts w:eastAsia="Calibri" w:cs="Times New Roman"/>
                <w:lang w:val="en-US" w:eastAsia="el-GR" w:bidi="ar-SA"/>
              </w:rPr>
              <w:instrText xml:space="preserve">ADDIN ZOTERO_ITEM CSL_CITATION {"citationID":"4sv3yY7H","properties":{"formattedCitation":"[67]","plainCitation":"[67]","noteIndex":0},"citationItems":[{"id":2785,"uris":["http://zotero.org/users/local/WDVvZTBM/items/7BRQSQSI"],"itemData":{"id":2785,"type":"article-journal","abstract":"Obesity is increasing in prevalence in the United States with over 65% of adults considered overweight and 16% of children with BMI &gt; 95 percentile. The heritability of obesity is estimated between 40 and 70%, but the genetics of obesity for most ...","container-title":"Pediatric blood &amp; cancer","DOI":"10.1002/pbc.23372","issue":"1","language":"en","note":"publisher: NIH Public Access\nPMID: 21994130","page":"122","source":"www.ncbi.nlm.nih.gov","title":"An Overview of Mongenic and Syndromic Obesities in Humans","volume":"58","author":[{"family":"Chung","given":"Wendy K."}],"issued":{"date-parts":[["2012",1]]}}}],"schema":"https://github.com/citation-style-language/schema/raw/master/csl-citation.json"}</w:instrText>
            </w:r>
            <w:r>
              <w:rPr>
                <w:rFonts w:eastAsia="Calibri" w:cs="Times New Roman"/>
                <w:kern w:val="0"/>
                <w:sz w:val="17"/>
                <w:szCs w:val="17"/>
                <w:lang w:val="en-US" w:eastAsia="el-GR" w:bidi="ar-SA"/>
              </w:rPr>
            </w:r>
            <w:r>
              <w:rPr>
                <w:sz w:val="17"/>
                <w:kern w:val="0"/>
                <w:szCs w:val="17"/>
                <w:rFonts w:eastAsia="Calibri" w:cs="Times New Roman"/>
                <w:lang w:val="en-US" w:eastAsia="el-GR" w:bidi="ar-SA"/>
              </w:rPr>
              <w:fldChar w:fldCharType="separate"/>
            </w:r>
            <w:r>
              <w:rPr>
                <w:rFonts w:eastAsia="Calibri" w:cs="Times New Roman"/>
                <w:kern w:val="0"/>
                <w:sz w:val="17"/>
                <w:szCs w:val="17"/>
                <w:lang w:val="en-US" w:eastAsia="el-GR" w:bidi="ar-SA"/>
              </w:rPr>
              <w:t>[67]</w:t>
            </w:r>
            <w:r>
              <w:rPr>
                <w:rFonts w:eastAsia="Calibri" w:cs="Times New Roman"/>
                <w:kern w:val="0"/>
                <w:sz w:val="17"/>
                <w:szCs w:val="17"/>
                <w:lang w:val="en-US" w:eastAsia="el-GR" w:bidi="ar-SA"/>
              </w:rPr>
            </w:r>
            <w:r>
              <w:rPr>
                <w:sz w:val="17"/>
                <w:kern w:val="0"/>
                <w:szCs w:val="17"/>
                <w:rFonts w:eastAsia="Calibri" w:cs="Times New Roman"/>
                <w:lang w:val="en-US" w:eastAsia="el-GR" w:bidi="ar-SA"/>
              </w:rPr>
              <w:fldChar w:fldCharType="end"/>
            </w:r>
            <w:r>
              <w:rPr>
                <w:rFonts w:eastAsia="Calibri" w:cs="Times New Roman"/>
                <w:kern w:val="0"/>
                <w:sz w:val="17"/>
                <w:szCs w:val="17"/>
                <w:lang w:val="en-US" w:eastAsia="el-GR" w:bidi="ar-SA"/>
              </w:rPr>
              <w:t xml:space="preserve"> </w:t>
            </w:r>
          </w:p>
        </w:tc>
      </w:tr>
      <w:tr>
        <w:trPr/>
        <w:tc>
          <w:tcPr>
            <w:tcW w:w="1257" w:type="dxa"/>
            <w:tcBorders/>
            <w:vAlign w:val="center"/>
          </w:tcPr>
          <w:p>
            <w:pPr>
              <w:pStyle w:val="Normal"/>
              <w:widowControl/>
              <w:spacing w:before="0" w:after="0"/>
              <w:jc w:val="center"/>
              <w:rPr>
                <w:b/>
                <w:bCs/>
                <w:sz w:val="18"/>
                <w:szCs w:val="18"/>
                <w:lang w:val="en-US"/>
              </w:rPr>
            </w:pPr>
            <w:r>
              <w:rPr>
                <w:rFonts w:eastAsia="Calibri" w:cs="Times New Roman"/>
                <w:b/>
                <w:bCs/>
                <w:kern w:val="0"/>
                <w:sz w:val="18"/>
                <w:szCs w:val="18"/>
                <w:lang w:val="en-US" w:eastAsia="el-GR" w:bidi="ar-SA"/>
              </w:rPr>
              <w:t>LEPR</w:t>
            </w:r>
          </w:p>
        </w:tc>
        <w:tc>
          <w:tcPr>
            <w:tcW w:w="1462" w:type="dxa"/>
            <w:tcBorders/>
            <w:vAlign w:val="center"/>
          </w:tcPr>
          <w:p>
            <w:pPr>
              <w:pStyle w:val="Normal"/>
              <w:widowControl/>
              <w:spacing w:before="0" w:after="0"/>
              <w:jc w:val="left"/>
              <w:rPr>
                <w:rFonts w:eastAsia="Calibri"/>
                <w:sz w:val="17"/>
                <w:szCs w:val="17"/>
                <w:lang w:val="en-US"/>
              </w:rPr>
            </w:pPr>
            <w:r>
              <w:rPr>
                <w:rFonts w:eastAsia="Calibri" w:cs="Times New Roman"/>
                <w:kern w:val="0"/>
                <w:sz w:val="17"/>
                <w:szCs w:val="17"/>
                <w:lang w:val="en-US" w:eastAsia="el-GR" w:bidi="ar-SA"/>
              </w:rPr>
              <w:t>Homozygous, compound</w:t>
            </w:r>
          </w:p>
          <w:p>
            <w:pPr>
              <w:pStyle w:val="Normal"/>
              <w:widowControl/>
              <w:spacing w:before="0" w:after="0"/>
              <w:jc w:val="left"/>
              <w:rPr>
                <w:lang w:val="en-US"/>
              </w:rPr>
            </w:pPr>
            <w:r>
              <w:rPr>
                <w:rFonts w:eastAsia="Calibri" w:cs="Times New Roman"/>
                <w:kern w:val="0"/>
                <w:sz w:val="17"/>
                <w:szCs w:val="17"/>
                <w:lang w:val="en-US" w:eastAsia="el-GR" w:bidi="ar-SA"/>
              </w:rPr>
              <w:t>heterozygous</w:t>
            </w:r>
          </w:p>
        </w:tc>
        <w:tc>
          <w:tcPr>
            <w:tcW w:w="1494" w:type="dxa"/>
            <w:tcBorders/>
            <w:vAlign w:val="center"/>
          </w:tcPr>
          <w:p>
            <w:pPr>
              <w:pStyle w:val="Normal"/>
              <w:widowControl/>
              <w:spacing w:before="0" w:after="0"/>
              <w:jc w:val="left"/>
              <w:rPr>
                <w:rFonts w:eastAsia="Calibri"/>
                <w:sz w:val="17"/>
                <w:szCs w:val="17"/>
                <w:lang w:val="en-US"/>
              </w:rPr>
            </w:pPr>
            <w:r>
              <w:rPr>
                <w:rFonts w:eastAsia="Calibri" w:cs="Times New Roman"/>
                <w:kern w:val="0"/>
                <w:sz w:val="17"/>
                <w:szCs w:val="17"/>
                <w:lang w:val="en-US" w:eastAsia="el-GR" w:bidi="ar-SA"/>
              </w:rPr>
              <w:t>3% of children with severe obesity</w:t>
            </w:r>
          </w:p>
          <w:p>
            <w:pPr>
              <w:pStyle w:val="Normal"/>
              <w:widowControl/>
              <w:spacing w:before="0" w:after="0"/>
              <w:jc w:val="left"/>
              <w:rPr>
                <w:rFonts w:eastAsia="Calibri"/>
                <w:sz w:val="17"/>
                <w:szCs w:val="17"/>
                <w:lang w:val="en-US"/>
              </w:rPr>
            </w:pPr>
            <w:r>
              <w:rPr>
                <w:rFonts w:eastAsia="Calibri" w:cs="Times New Roman"/>
                <w:kern w:val="0"/>
                <w:sz w:val="17"/>
                <w:szCs w:val="17"/>
                <w:lang w:val="en-US" w:eastAsia="el-GR" w:bidi="ar-SA"/>
              </w:rPr>
              <w:t>from a cohort enriched in</w:t>
            </w:r>
          </w:p>
          <w:p>
            <w:pPr>
              <w:pStyle w:val="Normal"/>
              <w:widowControl/>
              <w:spacing w:before="0" w:after="0"/>
              <w:jc w:val="left"/>
              <w:rPr>
                <w:lang w:val="en-US"/>
              </w:rPr>
            </w:pPr>
            <w:r>
              <w:rPr>
                <w:rFonts w:eastAsia="Calibri" w:cs="Times New Roman"/>
                <w:kern w:val="0"/>
                <w:sz w:val="17"/>
                <w:szCs w:val="17"/>
                <w:lang w:val="en-US" w:eastAsia="el-GR" w:bidi="ar-SA"/>
              </w:rPr>
              <w:t>consanguineous families</w:t>
            </w:r>
          </w:p>
        </w:tc>
        <w:tc>
          <w:tcPr>
            <w:tcW w:w="1570" w:type="dxa"/>
            <w:tcBorders/>
            <w:vAlign w:val="center"/>
          </w:tcPr>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Severe hyperphagia; incapacity of feeling</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satiety; early-onset obesity; hypogonadotropic</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hypogonadism; hypothalamic hypothyroidism</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with puberty delay; reduced adult height;</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increased risk of infections; increased bone</w:t>
            </w:r>
          </w:p>
          <w:p>
            <w:pPr>
              <w:pStyle w:val="Normal"/>
              <w:widowControl/>
              <w:spacing w:before="0" w:after="0"/>
              <w:jc w:val="left"/>
              <w:rPr>
                <w:lang w:val="en-US"/>
              </w:rPr>
            </w:pPr>
            <w:r>
              <w:rPr>
                <w:rFonts w:eastAsia="Calibri" w:cs="Times New Roman"/>
                <w:i/>
                <w:iCs/>
                <w:kern w:val="0"/>
                <w:sz w:val="17"/>
                <w:szCs w:val="17"/>
                <w:lang w:val="en-US" w:eastAsia="el-GR" w:bidi="ar-SA"/>
              </w:rPr>
              <w:t>mineral density</w:t>
            </w:r>
          </w:p>
        </w:tc>
        <w:tc>
          <w:tcPr>
            <w:tcW w:w="1360" w:type="dxa"/>
            <w:tcBorders/>
            <w:vAlign w:val="center"/>
          </w:tcPr>
          <w:p>
            <w:pPr>
              <w:pStyle w:val="Normal"/>
              <w:widowControl/>
              <w:spacing w:before="0" w:after="0"/>
              <w:jc w:val="left"/>
              <w:rPr>
                <w:rFonts w:eastAsia="Calibri"/>
                <w:sz w:val="17"/>
                <w:szCs w:val="17"/>
                <w:lang w:val="en-US"/>
              </w:rPr>
            </w:pPr>
            <w:r>
              <w:rPr>
                <w:rFonts w:eastAsia="Calibri" w:cs="Times New Roman"/>
                <w:kern w:val="0"/>
                <w:sz w:val="17"/>
                <w:szCs w:val="17"/>
                <w:lang w:val="en-US" w:eastAsia="el-GR" w:bidi="ar-SA"/>
              </w:rPr>
              <w:t>Direct sequencing</w:t>
            </w:r>
          </w:p>
          <w:p>
            <w:pPr>
              <w:pStyle w:val="Normal"/>
              <w:widowControl/>
              <w:spacing w:before="0" w:after="0"/>
              <w:jc w:val="left"/>
              <w:rPr>
                <w:lang w:val="en-US"/>
              </w:rPr>
            </w:pPr>
            <w:r>
              <w:rPr>
                <w:rFonts w:eastAsia="Calibri" w:cs="Times New Roman"/>
                <w:kern w:val="0"/>
                <w:sz w:val="17"/>
                <w:szCs w:val="17"/>
                <w:lang w:val="en-US" w:eastAsia="el-GR" w:bidi="ar-SA"/>
              </w:rPr>
              <w:t>of LEPR</w:t>
            </w:r>
          </w:p>
        </w:tc>
        <w:tc>
          <w:tcPr>
            <w:tcW w:w="1159" w:type="dxa"/>
            <w:vMerge w:val="continue"/>
            <w:tcBorders/>
            <w:vAlign w:val="center"/>
          </w:tcPr>
          <w:p>
            <w:pPr>
              <w:pStyle w:val="Normal"/>
              <w:widowControl/>
              <w:spacing w:before="0" w:after="0"/>
              <w:jc w:val="center"/>
              <w:rPr>
                <w:rFonts w:eastAsia="Calibri"/>
                <w:sz w:val="17"/>
                <w:szCs w:val="17"/>
                <w:lang w:val="en-US"/>
              </w:rPr>
            </w:pPr>
            <w:r>
              <w:rPr>
                <w:rFonts w:eastAsia="Calibri" w:cs="Times New Roman"/>
                <w:kern w:val="0"/>
                <w:sz w:val="17"/>
                <w:szCs w:val="17"/>
                <w:lang w:val="en-US" w:eastAsia="el-GR" w:bidi="ar-SA"/>
              </w:rPr>
            </w:r>
          </w:p>
        </w:tc>
      </w:tr>
      <w:tr>
        <w:trPr/>
        <w:tc>
          <w:tcPr>
            <w:tcW w:w="1257" w:type="dxa"/>
            <w:tcBorders/>
            <w:vAlign w:val="center"/>
          </w:tcPr>
          <w:p>
            <w:pPr>
              <w:pStyle w:val="Normal"/>
              <w:widowControl/>
              <w:spacing w:before="0" w:after="0"/>
              <w:jc w:val="center"/>
              <w:rPr>
                <w:b/>
                <w:bCs/>
                <w:sz w:val="18"/>
                <w:szCs w:val="18"/>
                <w:lang w:val="en-US"/>
              </w:rPr>
            </w:pPr>
            <w:r>
              <w:rPr>
                <w:rFonts w:eastAsia="Calibri" w:cs="Times New Roman"/>
                <w:b/>
                <w:bCs/>
                <w:kern w:val="0"/>
                <w:sz w:val="18"/>
                <w:szCs w:val="18"/>
                <w:lang w:val="en-US" w:eastAsia="el-GR" w:bidi="ar-SA"/>
              </w:rPr>
              <w:t>POMC</w:t>
            </w:r>
          </w:p>
        </w:tc>
        <w:tc>
          <w:tcPr>
            <w:tcW w:w="1462" w:type="dxa"/>
            <w:tcBorders/>
            <w:vAlign w:val="center"/>
          </w:tcPr>
          <w:p>
            <w:pPr>
              <w:pStyle w:val="Normal"/>
              <w:widowControl/>
              <w:spacing w:before="0" w:after="0"/>
              <w:jc w:val="left"/>
              <w:rPr>
                <w:rFonts w:eastAsia="Calibri"/>
                <w:sz w:val="17"/>
                <w:szCs w:val="17"/>
                <w:lang w:val="en-US"/>
              </w:rPr>
            </w:pPr>
            <w:r>
              <w:rPr>
                <w:rFonts w:eastAsia="Calibri" w:cs="Times New Roman"/>
                <w:kern w:val="0"/>
                <w:sz w:val="17"/>
                <w:szCs w:val="17"/>
                <w:lang w:val="en-US" w:eastAsia="el-GR" w:bidi="ar-SA"/>
              </w:rPr>
              <w:t>POMC Homozygous, compound</w:t>
            </w:r>
          </w:p>
          <w:p>
            <w:pPr>
              <w:pStyle w:val="Normal"/>
              <w:widowControl/>
              <w:spacing w:before="0" w:after="0"/>
              <w:jc w:val="left"/>
              <w:rPr>
                <w:lang w:val="en-US"/>
              </w:rPr>
            </w:pPr>
            <w:r>
              <w:rPr>
                <w:rFonts w:eastAsia="Calibri" w:cs="Times New Roman"/>
                <w:kern w:val="0"/>
                <w:sz w:val="17"/>
                <w:szCs w:val="17"/>
                <w:lang w:val="en-US" w:eastAsia="el-GR" w:bidi="ar-SA"/>
              </w:rPr>
              <w:t>heterozygous</w:t>
            </w:r>
          </w:p>
        </w:tc>
        <w:tc>
          <w:tcPr>
            <w:tcW w:w="1494" w:type="dxa"/>
            <w:tcBorders/>
            <w:vAlign w:val="center"/>
          </w:tcPr>
          <w:p>
            <w:pPr>
              <w:pStyle w:val="Normal"/>
              <w:widowControl/>
              <w:spacing w:before="0" w:after="0"/>
              <w:jc w:val="left"/>
              <w:rPr>
                <w:lang w:val="en-US"/>
              </w:rPr>
            </w:pPr>
            <w:r>
              <w:rPr>
                <w:rFonts w:cs="Times New Roman"/>
                <w:kern w:val="0"/>
                <w:lang w:val="en-US" w:eastAsia="el-GR" w:bidi="ar-SA"/>
              </w:rPr>
            </w:r>
          </w:p>
          <w:p>
            <w:pPr>
              <w:pStyle w:val="Normal"/>
              <w:widowControl/>
              <w:spacing w:before="0" w:after="0"/>
              <w:jc w:val="left"/>
              <w:rPr>
                <w:lang w:val="en-US"/>
              </w:rPr>
            </w:pPr>
            <w:r>
              <w:rPr>
                <w:rFonts w:eastAsia="Calibri" w:cs="Times New Roman"/>
                <w:kern w:val="0"/>
                <w:sz w:val="17"/>
                <w:szCs w:val="17"/>
                <w:lang w:val="en-US" w:eastAsia="el-GR" w:bidi="ar-SA"/>
              </w:rPr>
              <w:t>11 patients reported</w:t>
            </w:r>
          </w:p>
        </w:tc>
        <w:tc>
          <w:tcPr>
            <w:tcW w:w="1570" w:type="dxa"/>
            <w:tcBorders/>
            <w:vAlign w:val="center"/>
          </w:tcPr>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Neonatal adrenal insufficiency; early-onset</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obesity; hyperphagia; central hypothyroidism;</w:t>
            </w:r>
          </w:p>
          <w:p>
            <w:pPr>
              <w:pStyle w:val="Normal"/>
              <w:widowControl/>
              <w:spacing w:before="0" w:after="0"/>
              <w:jc w:val="left"/>
              <w:rPr>
                <w:lang w:val="en-US"/>
              </w:rPr>
            </w:pPr>
            <w:r>
              <w:rPr>
                <w:rFonts w:eastAsia="Calibri" w:cs="Times New Roman"/>
                <w:i/>
                <w:iCs/>
                <w:kern w:val="0"/>
                <w:sz w:val="17"/>
                <w:szCs w:val="17"/>
                <w:lang w:val="en-US" w:eastAsia="el-GR" w:bidi="ar-SA"/>
              </w:rPr>
              <w:t>gonadotropin deficiency</w:t>
            </w:r>
          </w:p>
        </w:tc>
        <w:tc>
          <w:tcPr>
            <w:tcW w:w="1360" w:type="dxa"/>
            <w:tcBorders/>
            <w:vAlign w:val="center"/>
          </w:tcPr>
          <w:p>
            <w:pPr>
              <w:pStyle w:val="Normal"/>
              <w:widowControl/>
              <w:spacing w:before="0" w:after="0"/>
              <w:jc w:val="left"/>
              <w:rPr>
                <w:rFonts w:eastAsia="Calibri"/>
                <w:sz w:val="17"/>
                <w:szCs w:val="17"/>
                <w:lang w:val="en-US"/>
              </w:rPr>
            </w:pPr>
            <w:r>
              <w:rPr>
                <w:rFonts w:eastAsia="Calibri" w:cs="Times New Roman"/>
                <w:kern w:val="0"/>
                <w:sz w:val="17"/>
                <w:szCs w:val="17"/>
                <w:lang w:val="en-US" w:eastAsia="el-GR" w:bidi="ar-SA"/>
              </w:rPr>
              <w:t>Direct sequencing</w:t>
            </w:r>
          </w:p>
          <w:p>
            <w:pPr>
              <w:pStyle w:val="Normal"/>
              <w:widowControl/>
              <w:spacing w:before="0" w:after="0"/>
              <w:jc w:val="left"/>
              <w:rPr>
                <w:lang w:val="en-US"/>
              </w:rPr>
            </w:pPr>
            <w:r>
              <w:rPr>
                <w:rFonts w:eastAsia="Calibri" w:cs="Times New Roman"/>
                <w:kern w:val="0"/>
                <w:sz w:val="17"/>
                <w:szCs w:val="17"/>
                <w:lang w:val="en-US" w:eastAsia="el-GR" w:bidi="ar-SA"/>
              </w:rPr>
              <w:t>of POMC</w:t>
            </w:r>
          </w:p>
        </w:tc>
        <w:tc>
          <w:tcPr>
            <w:tcW w:w="1159" w:type="dxa"/>
            <w:tcBorders/>
            <w:vAlign w:val="center"/>
          </w:tcPr>
          <w:p>
            <w:pPr>
              <w:pStyle w:val="Normal"/>
              <w:widowControl/>
              <w:spacing w:before="0" w:after="0"/>
              <w:jc w:val="center"/>
              <w:rPr>
                <w:rFonts w:eastAsia="Calibri"/>
                <w:sz w:val="17"/>
                <w:szCs w:val="17"/>
                <w:lang w:val="en-US"/>
              </w:rPr>
            </w:pPr>
            <w:r>
              <w:rPr>
                <w:rFonts w:eastAsia="Calibri" w:cs="Times New Roman"/>
                <w:kern w:val="0"/>
                <w:sz w:val="17"/>
                <w:szCs w:val="17"/>
                <w:lang w:val="en-US" w:eastAsia="el-GR" w:bidi="ar-SA"/>
              </w:rPr>
              <w:t xml:space="preserve">Koves &amp; Roth (2018) </w:t>
            </w:r>
            <w:r>
              <w:fldChar w:fldCharType="begin"/>
            </w:r>
            <w:r>
              <w:rPr>
                <w:sz w:val="17"/>
                <w:kern w:val="0"/>
                <w:szCs w:val="17"/>
                <w:rFonts w:eastAsia="Calibri" w:cs="Times New Roman"/>
                <w:lang w:val="en-US" w:eastAsia="el-GR" w:bidi="ar-SA"/>
              </w:rPr>
              <w:instrText xml:space="preserve">ADDIN ZOTERO_ITEM CSL_CITATION {"citationID":"LqJAkLd3","properties":{"formattedCitation":"[96]","plainCitation":"[96]","noteIndex":0},"citationItems":[{"id":3540,"uris":["http://zotero.org/users/local/WDVvZTBM/items/INMERJIK"],"itemData":{"id":3540,"type":"article-journal","abstract":"The aim of this article is to provide an in depth review of the rare genetic and syndromic forms of childhood obesity. The authors demonstrate the complexity and interrelationships of the leptin-melanocortin signaling pathway and its central nervous system and systemic effects. Authors highlight the clinical distinctive features of genetic/syndromic causes for childhood obesity, in particular, relative shorter height to their genetic potential, developmental challenges and in some instances, ophthalmological and retina changes. They outline specific genetic testing and treatment options available for these conditions.","container-title":"The Indian Journal of Pediatrics","DOI":"10.1007/s12098-017-2502-2","ISSN":"0019-5456, 0973-7693","issue":"6","journalAbbreviation":"Indian J Pediatr","language":"en","page":"478-485","source":"DOI.org (Crossref)","title":"Genetic and Syndromic Causes of Obesity and its Management","volume":"85","author":[{"family":"Koves","given":"Ildiko H."},{"family":"Roth","given":"Christian"}],"issued":{"date-parts":[["2018",6]]}}}],"schema":"https://github.com/citation-style-language/schema/raw/master/csl-citation.json"}</w:instrText>
            </w:r>
            <w:r>
              <w:rPr>
                <w:rFonts w:eastAsia="Calibri" w:cs="Times New Roman"/>
                <w:kern w:val="0"/>
                <w:sz w:val="17"/>
                <w:szCs w:val="17"/>
                <w:lang w:val="en-US" w:eastAsia="el-GR" w:bidi="ar-SA"/>
              </w:rPr>
            </w:r>
            <w:r>
              <w:rPr>
                <w:sz w:val="17"/>
                <w:kern w:val="0"/>
                <w:szCs w:val="17"/>
                <w:rFonts w:eastAsia="Calibri" w:cs="Times New Roman"/>
                <w:lang w:val="en-US" w:eastAsia="el-GR" w:bidi="ar-SA"/>
              </w:rPr>
              <w:fldChar w:fldCharType="separate"/>
            </w:r>
            <w:r>
              <w:rPr>
                <w:rFonts w:eastAsia="Calibri" w:cs="Times New Roman"/>
                <w:kern w:val="0"/>
                <w:sz w:val="17"/>
                <w:szCs w:val="17"/>
                <w:lang w:val="en-US" w:eastAsia="el-GR" w:bidi="ar-SA"/>
              </w:rPr>
              <w:t>[96]</w:t>
            </w:r>
            <w:r/>
            <w:r>
              <w:rPr>
                <w:sz w:val="17"/>
                <w:kern w:val="0"/>
                <w:szCs w:val="17"/>
                <w:rFonts w:eastAsia="Calibri" w:cs="Times New Roman"/>
                <w:lang w:val="en-US" w:eastAsia="el-GR" w:bidi="ar-SA"/>
              </w:rPr>
              <w:fldChar w:fldCharType="end"/>
            </w:r>
            <w:r>
              <w:rPr>
                <w:rFonts w:eastAsia="Calibri" w:cs="Times New Roman"/>
                <w:kern w:val="0"/>
                <w:sz w:val="17"/>
                <w:szCs w:val="17"/>
                <w:lang w:val="en-US" w:eastAsia="el-GR" w:bidi="ar-SA"/>
              </w:rPr>
            </w:r>
          </w:p>
        </w:tc>
      </w:tr>
      <w:tr>
        <w:trPr/>
        <w:tc>
          <w:tcPr>
            <w:tcW w:w="1257" w:type="dxa"/>
            <w:tcBorders/>
            <w:vAlign w:val="center"/>
          </w:tcPr>
          <w:p>
            <w:pPr>
              <w:pStyle w:val="Normal"/>
              <w:widowControl/>
              <w:spacing w:before="0" w:after="0"/>
              <w:jc w:val="center"/>
              <w:rPr>
                <w:b/>
                <w:bCs/>
                <w:sz w:val="18"/>
                <w:szCs w:val="18"/>
                <w:lang w:val="en-US"/>
              </w:rPr>
            </w:pPr>
            <w:r>
              <w:rPr>
                <w:rFonts w:eastAsia="Calibri" w:cs="Times New Roman"/>
                <w:b/>
                <w:bCs/>
                <w:kern w:val="0"/>
                <w:sz w:val="18"/>
                <w:szCs w:val="18"/>
                <w:lang w:val="en-US" w:eastAsia="el-GR" w:bidi="ar-SA"/>
              </w:rPr>
              <w:t>PCSK1</w:t>
            </w:r>
          </w:p>
        </w:tc>
        <w:tc>
          <w:tcPr>
            <w:tcW w:w="1462" w:type="dxa"/>
            <w:tcBorders/>
            <w:vAlign w:val="center"/>
          </w:tcPr>
          <w:p>
            <w:pPr>
              <w:pStyle w:val="Normal"/>
              <w:widowControl/>
              <w:spacing w:before="0" w:after="0"/>
              <w:jc w:val="left"/>
              <w:rPr>
                <w:rFonts w:eastAsia="Calibri"/>
                <w:sz w:val="17"/>
                <w:szCs w:val="17"/>
                <w:lang w:val="en-US"/>
              </w:rPr>
            </w:pPr>
            <w:r>
              <w:rPr>
                <w:rFonts w:eastAsia="Calibri" w:cs="Times New Roman"/>
                <w:kern w:val="0"/>
                <w:sz w:val="17"/>
                <w:szCs w:val="17"/>
                <w:lang w:val="en-US" w:eastAsia="el-GR" w:bidi="ar-SA"/>
              </w:rPr>
              <w:t>Homozygous, compound</w:t>
            </w:r>
          </w:p>
          <w:p>
            <w:pPr>
              <w:pStyle w:val="Normal"/>
              <w:widowControl/>
              <w:spacing w:before="0" w:after="0"/>
              <w:jc w:val="left"/>
              <w:rPr>
                <w:lang w:val="en-US"/>
              </w:rPr>
            </w:pPr>
            <w:r>
              <w:rPr>
                <w:rFonts w:eastAsia="Calibri" w:cs="Times New Roman"/>
                <w:kern w:val="0"/>
                <w:sz w:val="17"/>
                <w:szCs w:val="17"/>
                <w:lang w:val="en-US" w:eastAsia="el-GR" w:bidi="ar-SA"/>
              </w:rPr>
              <w:t>heterozygous</w:t>
            </w:r>
          </w:p>
        </w:tc>
        <w:tc>
          <w:tcPr>
            <w:tcW w:w="1494" w:type="dxa"/>
            <w:tcBorders/>
            <w:vAlign w:val="center"/>
          </w:tcPr>
          <w:p>
            <w:pPr>
              <w:pStyle w:val="Normal"/>
              <w:widowControl/>
              <w:spacing w:before="0" w:after="0"/>
              <w:jc w:val="left"/>
              <w:rPr>
                <w:lang w:val="en-US"/>
              </w:rPr>
            </w:pPr>
            <w:r>
              <w:rPr>
                <w:rFonts w:cs="Times New Roman"/>
                <w:kern w:val="0"/>
                <w:lang w:val="en-US" w:eastAsia="el-GR" w:bidi="ar-SA"/>
              </w:rPr>
            </w:r>
          </w:p>
          <w:p>
            <w:pPr>
              <w:pStyle w:val="Normal"/>
              <w:widowControl/>
              <w:spacing w:before="0" w:after="0"/>
              <w:jc w:val="left"/>
              <w:rPr>
                <w:lang w:val="en-US"/>
              </w:rPr>
            </w:pPr>
            <w:r>
              <w:rPr>
                <w:rFonts w:eastAsia="Calibri" w:cs="Times New Roman"/>
                <w:kern w:val="0"/>
                <w:sz w:val="17"/>
                <w:szCs w:val="17"/>
                <w:lang w:val="en-US" w:eastAsia="el-GR" w:bidi="ar-SA"/>
              </w:rPr>
              <w:t>19 patients reported</w:t>
            </w:r>
          </w:p>
        </w:tc>
        <w:tc>
          <w:tcPr>
            <w:tcW w:w="1570" w:type="dxa"/>
            <w:tcBorders/>
            <w:vAlign w:val="center"/>
          </w:tcPr>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Hyperphagia; obesity; intestinal dysfunction;</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postprandial hypoglycemia; central hypothyroidism;</w:t>
            </w:r>
          </w:p>
          <w:p>
            <w:pPr>
              <w:pStyle w:val="Normal"/>
              <w:widowControl/>
              <w:spacing w:before="0" w:after="0"/>
              <w:jc w:val="left"/>
              <w:rPr>
                <w:rFonts w:eastAsia="Calibri"/>
                <w:i/>
                <w:i/>
                <w:iCs/>
                <w:sz w:val="17"/>
                <w:szCs w:val="17"/>
                <w:lang w:val="en-US"/>
              </w:rPr>
            </w:pPr>
            <w:r>
              <w:rPr>
                <w:rFonts w:eastAsia="Calibri" w:cs="Times New Roman"/>
                <w:i/>
                <w:iCs/>
                <w:kern w:val="0"/>
                <w:sz w:val="17"/>
                <w:szCs w:val="17"/>
                <w:lang w:val="en-US" w:eastAsia="el-GR" w:bidi="ar-SA"/>
              </w:rPr>
              <w:t>hypogonadotropic hypogonadism;</w:t>
            </w:r>
          </w:p>
          <w:p>
            <w:pPr>
              <w:pStyle w:val="Normal"/>
              <w:widowControl/>
              <w:spacing w:before="0" w:after="0"/>
              <w:jc w:val="left"/>
              <w:rPr>
                <w:lang w:val="en-US"/>
              </w:rPr>
            </w:pPr>
            <w:r>
              <w:rPr>
                <w:rFonts w:eastAsia="Calibri" w:cs="Times New Roman"/>
                <w:i/>
                <w:iCs/>
                <w:kern w:val="0"/>
                <w:sz w:val="17"/>
                <w:szCs w:val="17"/>
                <w:lang w:val="en-US" w:eastAsia="el-GR" w:bidi="ar-SA"/>
              </w:rPr>
              <w:t>diabetes insipidus</w:t>
            </w:r>
          </w:p>
        </w:tc>
        <w:tc>
          <w:tcPr>
            <w:tcW w:w="1360" w:type="dxa"/>
            <w:tcBorders/>
            <w:vAlign w:val="center"/>
          </w:tcPr>
          <w:p>
            <w:pPr>
              <w:pStyle w:val="Normal"/>
              <w:widowControl/>
              <w:spacing w:before="0" w:after="0"/>
              <w:jc w:val="left"/>
              <w:rPr>
                <w:rFonts w:eastAsia="Calibri"/>
                <w:sz w:val="17"/>
                <w:szCs w:val="17"/>
                <w:lang w:val="en-US"/>
              </w:rPr>
            </w:pPr>
            <w:r>
              <w:rPr>
                <w:rFonts w:eastAsia="Calibri" w:cs="Times New Roman"/>
                <w:kern w:val="0"/>
                <w:sz w:val="17"/>
                <w:szCs w:val="17"/>
                <w:lang w:val="en-US" w:eastAsia="el-GR" w:bidi="ar-SA"/>
              </w:rPr>
              <w:t>Direct sequencing</w:t>
            </w:r>
          </w:p>
          <w:p>
            <w:pPr>
              <w:pStyle w:val="Normal"/>
              <w:widowControl/>
              <w:spacing w:before="0" w:after="0"/>
              <w:jc w:val="left"/>
              <w:rPr>
                <w:lang w:val="en-US"/>
              </w:rPr>
            </w:pPr>
            <w:r>
              <w:rPr>
                <w:rFonts w:eastAsia="Calibri" w:cs="Times New Roman"/>
                <w:kern w:val="0"/>
                <w:sz w:val="17"/>
                <w:szCs w:val="17"/>
                <w:lang w:val="en-US" w:eastAsia="el-GR" w:bidi="ar-SA"/>
              </w:rPr>
              <w:t>of PCSK1</w:t>
            </w:r>
          </w:p>
        </w:tc>
        <w:tc>
          <w:tcPr>
            <w:tcW w:w="1159" w:type="dxa"/>
            <w:tcBorders/>
            <w:vAlign w:val="center"/>
          </w:tcPr>
          <w:p>
            <w:pPr>
              <w:pStyle w:val="Normal"/>
              <w:widowControl/>
              <w:spacing w:before="0" w:after="0"/>
              <w:jc w:val="center"/>
              <w:rPr>
                <w:rFonts w:eastAsia="Calibri"/>
                <w:sz w:val="17"/>
                <w:szCs w:val="17"/>
                <w:lang w:val="en-US"/>
              </w:rPr>
            </w:pPr>
            <w:r>
              <w:rPr>
                <w:rFonts w:eastAsia="Calibri" w:cs="Times New Roman"/>
                <w:kern w:val="0"/>
                <w:sz w:val="17"/>
                <w:szCs w:val="17"/>
                <w:lang w:val="en-US" w:eastAsia="el-GR" w:bidi="ar-SA"/>
              </w:rPr>
              <w:t xml:space="preserve">Nead (2015) </w:t>
            </w:r>
            <w:r>
              <w:fldChar w:fldCharType="begin"/>
            </w:r>
            <w:r>
              <w:rPr>
                <w:sz w:val="17"/>
                <w:kern w:val="0"/>
                <w:szCs w:val="17"/>
                <w:rFonts w:eastAsia="Calibri" w:cs="Times New Roman"/>
                <w:lang w:val="en-US" w:eastAsia="el-GR" w:bidi="ar-SA"/>
              </w:rPr>
              <w:instrText xml:space="preserve">ADDIN ZOTERO_ITEM CSL_CITATION {"citationID":"62MgGeXO","properties":{"formattedCitation":"[97]","plainCitation":"[97]","noteIndex":0},"citationItems":[{"id":3542,"uris":["http://zotero.org/users/local/WDVvZTBM/items/3ZXK4IGF"],"itemData":{"id":3542,"type":"article-journal","container-title":"Human Molecular Genetics","DOI":"10.1093/hmg/ddv097","ISSN":"0964-6906, 1460-2083","issue":"12","journalAbbreviation":"Human Molecular Genetics","language":"en","page":"3582-3594","source":"DOI.org (Crossref)","title":"Contribution of common non-synonymous variants in PCSK1 to body mass index variation and risk of obesity: a systematic review and meta-analysis with evidence from up to 331 175 individuals","title-short":"Contribution of common non-synonymous variants in PCSK1 to body mass index variation and risk of obesity","volume":"24","author":[{"family":"Nead","given":"K. T."},{"family":"Li","given":"A."},{"family":"Wehner","given":"M. R."},{"family":"Neupane","given":"B."},{"family":"Gustafsson","given":"S."},{"family":"Butterworth","given":"A."},{"family":"Engert","given":"J. C."},{"family":"Davis","given":"A. D."},{"family":"Hegele","given":"R. A."},{"family":"Miller","given":"R."},{"family":"Den Hoed","given":"M."},{"family":"Khaw","given":"K.-T."},{"family":"Kilpelainen","given":"T. O."},{"family":"Wareham","given":"N."},{"family":"Edwards","given":"T. L."},{"family":"Hallmans","given":"G."},{"family":"Varga","given":"T. V."},{"family":"Kardia","given":"S. L. R."},{"family":"Smith","given":"J. A."},{"family":"Zhao","given":"W."},{"family":"Faul","given":"J. D."},{"family":"Weir","given":"D."},{"family":"Mi","given":"J."},{"family":"Xi","given":"B."},{"family":"Quinteros","given":"S. C."},{"family":"Cooper","given":"C."},{"family":"Sayer","given":"A. A."},{"family":"Jameson","given":"K."},{"family":"Grontved","given":"A."},{"family":"Fornage","given":"M."},{"family":"Sidney","given":"S."},{"family":"Hanis","given":"C. L."},{"family":"Highland","given":"H. M."},{"family":"Haring","given":"H.-U."},{"family":"Heni","given":"M."},{"family":"Lasky-Su","given":"J."},{"family":"Weiss","given":"S. T."},{"family":"Gerhard","given":"G. S."},{"family":"Still","given":"C."},{"family":"Melka","given":"M. M."},{"family":"Pausova","given":"Z."},{"family":"Paus","given":"T."},{"family":"Grant","given":"S. F. A."},{"family":"Hakonarson","given":"H."},{"family":"Price","given":"R. A."},{"family":"Wang","given":"K."},{"family":"Scherag","given":"A."},{"family":"Hebebrand","given":"J."},{"family":"Hinney","given":"A."},{"literal":"BioBank Japan, AGEN-BMI, GIANT Consortium"},{"family":"Franks","given":"P. W."},{"family":"Frayling","given":"T. M."},{"family":"McCarthy","given":"M. I."},{"family":"Hirschhorn","given":"J. N."},{"family":"Loos","given":"R. J."},{"family":"Ingelsson","given":"E."},{"family":"Gerstein","given":"H. C."},{"family":"Yusuf","given":"S."},{"family":"Beyene","given":"J."},{"family":"Anand","given":"S. S."},{"family":"Meyre","given":"D."}],"issued":{"date-parts":[["2015",6,15]]}}}],"schema":"https://github.com/citation-style-language/schema/raw/master/csl-citation.json"}</w:instrText>
            </w:r>
            <w:r>
              <w:rPr>
                <w:rFonts w:eastAsia="Calibri" w:cs="Times New Roman"/>
                <w:kern w:val="0"/>
                <w:sz w:val="17"/>
                <w:szCs w:val="17"/>
                <w:lang w:val="en-US" w:eastAsia="el-GR" w:bidi="ar-SA"/>
              </w:rPr>
            </w:r>
            <w:r>
              <w:rPr>
                <w:sz w:val="17"/>
                <w:kern w:val="0"/>
                <w:szCs w:val="17"/>
                <w:rFonts w:eastAsia="Calibri" w:cs="Times New Roman"/>
                <w:lang w:val="en-US" w:eastAsia="el-GR" w:bidi="ar-SA"/>
              </w:rPr>
              <w:fldChar w:fldCharType="separate"/>
            </w:r>
            <w:r>
              <w:rPr>
                <w:rFonts w:eastAsia="Calibri" w:cs="Times New Roman"/>
                <w:kern w:val="0"/>
                <w:sz w:val="17"/>
                <w:szCs w:val="17"/>
                <w:lang w:val="en-US" w:eastAsia="el-GR" w:bidi="ar-SA"/>
              </w:rPr>
              <w:t>[97]</w:t>
            </w:r>
            <w:r/>
            <w:r>
              <w:rPr>
                <w:sz w:val="17"/>
                <w:kern w:val="0"/>
                <w:szCs w:val="17"/>
                <w:rFonts w:eastAsia="Calibri" w:cs="Times New Roman"/>
                <w:lang w:val="en-US" w:eastAsia="el-GR" w:bidi="ar-SA"/>
              </w:rPr>
              <w:fldChar w:fldCharType="end"/>
            </w:r>
            <w:r>
              <w:rPr>
                <w:rFonts w:eastAsia="Calibri" w:cs="Times New Roman"/>
                <w:kern w:val="0"/>
                <w:sz w:val="17"/>
                <w:szCs w:val="17"/>
                <w:lang w:val="en-US" w:eastAsia="el-GR" w:bidi="ar-SA"/>
              </w:rPr>
            </w:r>
          </w:p>
        </w:tc>
      </w:tr>
    </w:tbl>
    <w:p>
      <w:pPr>
        <w:pStyle w:val="Normal"/>
        <w:rPr>
          <w:lang w:val="en-US"/>
        </w:rPr>
      </w:pPr>
      <w:r>
        <w:rPr>
          <w:lang w:val="en-US"/>
        </w:rPr>
      </w:r>
    </w:p>
    <w:p>
      <w:pPr>
        <w:pStyle w:val="Heading2"/>
        <w:rPr/>
      </w:pPr>
      <w:bookmarkStart w:id="64" w:name="_Toc154923832"/>
      <w:r>
        <w:rPr/>
        <w:t>3.4 Πολυγενείς γενετικές μεταβλητές της παχυσαρκίας</w:t>
      </w:r>
      <w:bookmarkEnd w:id="64"/>
    </w:p>
    <w:p>
      <w:pPr>
        <w:pStyle w:val="Normal"/>
        <w:rPr>
          <w:lang w:eastAsia="en-US"/>
        </w:rPr>
      </w:pPr>
      <w:r>
        <w:rPr>
          <w:lang w:eastAsia="en-US"/>
        </w:rPr>
      </w:r>
    </w:p>
    <w:p>
      <w:pPr>
        <w:pStyle w:val="Normal"/>
        <w:spacing w:lineRule="auto" w:line="360"/>
        <w:ind w:firstLine="720"/>
        <w:jc w:val="both"/>
        <w:rPr>
          <w:rFonts w:ascii="Times-Roman" w:hAnsi="Times-Roman" w:eastAsia="Calibri" w:cs="Times-Roman"/>
          <w:color w:val="18191B"/>
        </w:rPr>
      </w:pPr>
      <w:r>
        <w:rPr>
          <w:rFonts w:eastAsia="Calibri" w:cs="Times-Roman" w:ascii="Times-Roman" w:hAnsi="Times-Roman"/>
          <w:color w:val="18191B"/>
        </w:rPr>
        <w:t>Είναι ευρέως αποδεκτό ότι η επιδημία παχυσαρκίας δεν μπορεί να εντοπιστεί και να ιχνηλατηθεί σε μια μεμονωμένη γονιδιακή διαταραχή, αλλά μάλλον βασίζεται στην αλληλεπίδραση του σύνθετου γενετικού υπόβαθρου σε συνδυασμό με το περιβάλλον, όπου μπορεί οι μονονουκλεοτιδικοί πολυμορφισμοί (</w:t>
      </w:r>
      <w:r>
        <w:rPr>
          <w:rFonts w:eastAsia="Calibri" w:cs="Times-Roman" w:ascii="Times-Roman" w:hAnsi="Times-Roman"/>
          <w:color w:val="18191B"/>
          <w:lang w:val="en-US"/>
        </w:rPr>
        <w:t>Single</w:t>
      </w:r>
      <w:r>
        <w:rPr>
          <w:rFonts w:eastAsia="Calibri" w:cs="Times-Roman" w:ascii="Times-Roman" w:hAnsi="Times-Roman"/>
          <w:color w:val="18191B"/>
        </w:rPr>
        <w:t xml:space="preserve"> </w:t>
      </w:r>
      <w:r>
        <w:rPr>
          <w:rFonts w:eastAsia="Calibri" w:cs="Times-Roman" w:ascii="Times-Roman" w:hAnsi="Times-Roman"/>
          <w:color w:val="18191B"/>
          <w:lang w:val="en-US"/>
        </w:rPr>
        <w:t>Nucleotide</w:t>
      </w:r>
      <w:r>
        <w:rPr>
          <w:rFonts w:eastAsia="Calibri" w:cs="Times-Roman" w:ascii="Times-Roman" w:hAnsi="Times-Roman"/>
          <w:color w:val="18191B"/>
        </w:rPr>
        <w:t xml:space="preserve"> </w:t>
      </w:r>
      <w:r>
        <w:rPr>
          <w:rFonts w:eastAsia="Calibri" w:cs="Times-Roman" w:ascii="Times-Roman" w:hAnsi="Times-Roman"/>
          <w:color w:val="18191B"/>
          <w:lang w:val="en-US"/>
        </w:rPr>
        <w:t>Polymorphisms</w:t>
      </w:r>
      <w:r>
        <w:rPr>
          <w:rFonts w:eastAsia="Calibri" w:cs="Times-Roman" w:ascii="Times-Roman" w:hAnsi="Times-Roman"/>
          <w:color w:val="18191B"/>
        </w:rPr>
        <w:t xml:space="preserve">-SNPs) να συνεισφέρουν στην ανάπτυξη του παχύσαρκου φαινοτύπου, εάν αλληλεπιδρούν με επιγενετικές εισροές. Πράγματι, η πολυγονιδιακή παχυσαρκία είναι η πιο κοινή μορφή της παιδικής νόσου, που προκύπτει από εκατοντάδες SNPs και παρατηρεί ένα πρότυπο κληρονομικότητας παρόμοιο με αυτό άλλων πολύπλοκων χαρακτηριστικών και ασθενειών </w:t>
      </w:r>
      <w:r>
        <w:fldChar w:fldCharType="begin"/>
      </w:r>
      <w:r>
        <w:rPr>
          <w:rFonts w:eastAsia="Calibri" w:cs="Times-Roman" w:ascii="Times-Roman" w:hAnsi="Times-Roman"/>
          <w:color w:val="18191B"/>
        </w:rPr>
        <w:instrText xml:space="preserve">ADDIN ZOTERO_ITEM CSL_CITATION {"citationID":"kTZMKeOm","properties":{"formattedCitation":"[98]","plainCitation":"[98]","noteIndex":0},"citationItems":[{"id":2982,"uris":["http://zotero.org/users/local/WDVvZTBM/items/GZ6MGZV5"],"itemData":{"id":2982,"type":"article-journal","abstract":"We showed that large-scale data are needed to validate the impact of mutations observed in small-scale and case-focused studies. Furthermore, we observed that despite the key role of MC4R in obesity, the effects of pathogenic MC4R mutations may be countered, at least in part, by a low polygenic risk …","container-title":"PLoS medicine","DOI":"10.1371/journal.pmed.1003196","ISSN":"1549-1676","issue":"7","language":"en","note":"publisher: PLoS Med\nPMID: 32692746","source":"pubmed.ncbi.nlm.nih.gov","title":"The role of polygenic susceptibility to obesity among carriers of pathogenic mutations in MC4R in the UK Biobank population","URL":"https://pubmed.ncbi.nlm.nih.gov/32692746/","volume":"17","author":[{"family":"N","given":"Chami"},{"family":"M","given":"Preuss"},{"family":"Rw","given":"Walker"},{"family":"A","given":"Moscati"},{"family":"Rjf","given":"Loos"}],"accessed":{"date-parts":[["2023",11,19]]},"issued":{"date-parts":[["2020",7,21]]}}}],"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[98]</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Τα στοιχεία δείχνουν ότι η έκφραση μεταλλάξεων που προκαλούν μονογονιδιακή παχυσαρκία μπορεί, τουλάχιστον εν μέρει, να επηρεαστεί από την πολυγονιδιακή ευαισθησία του ατόμου στην παχυσαρκία </w:t>
      </w:r>
      <w:r>
        <w:fldChar w:fldCharType="begin"/>
      </w:r>
      <w:r>
        <w:rPr>
          <w:rFonts w:eastAsia="Calibri" w:cs="Times-Roman" w:ascii="Times-Roman" w:hAnsi="Times-Roman"/>
          <w:color w:val="18191B"/>
        </w:rPr>
        <w:instrText xml:space="preserve">ADDIN ZOTERO_ITEM CSL_CITATION {"citationID":"aoIYb741","properties":{"formattedCitation":"[98]","plainCitation":"[98]","noteIndex":0},"citationItems":[{"id":2982,"uris":["http://zotero.org/users/local/WDVvZTBM/items/GZ6MGZV5"],"itemData":{"id":2982,"type":"article-journal","abstract":"We showed that large-scale data are needed to validate the impact of mutations observed in small-scale and case-focused studies. Furthermore, we observed that despite the key role of MC4R in obesity, the effects of pathogenic MC4R mutations may be countered, at least in part, by a low polygenic risk …","container-title":"PLoS medicine","DOI":"10.1371/journal.pmed.1003196","ISSN":"1549-1676","issue":"7","language":"en","note":"publisher: PLoS Med\nPMID: 32692746","source":"pubmed.ncbi.nlm.nih.gov","title":"The role of polygenic susceptibility to obesity among carriers of pathogenic mutations in MC4R in the UK Biobank population","URL":"https://pubmed.ncbi.nlm.nih.gov/32692746/","volume":"17","author":[{"family":"N","given":"Chami"},{"family":"M","given":"Preuss"},{"family":"Rw","given":"Walker"},{"family":"A","given":"Moscati"},{"family":"Rjf","given":"Loos"}],"accessed":{"date-parts":[["2023",11,19]]},"issued":{"date-parts":[["2020",7,21]]}}}],"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[98]</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w:t>
      </w:r>
    </w:p>
    <w:p>
      <w:pPr>
        <w:pStyle w:val="Normal"/>
        <w:spacing w:lineRule="auto" w:line="360"/>
        <w:jc w:val="both"/>
        <w:rPr>
          <w:rFonts w:ascii="Times-Roman" w:hAnsi="Times-Roman" w:eastAsia="Calibri" w:cs="Times-Roman"/>
          <w:color w:val="18191B"/>
        </w:rPr>
      </w:pPr>
      <w:r>
        <w:rPr>
          <w:rFonts w:eastAsia="Calibri" w:cs="Times-Roman" w:ascii="Times-Roman" w:hAnsi="Times-Roman"/>
          <w:color w:val="18191B"/>
        </w:rPr>
        <w:tab/>
        <w:t xml:space="preserve">Μια γενετική μελέτη από 573 άτομα με σοβαρή παχυσαρκία πρώιμης έναρξης ανακάλυψε 40 πολύ σπάνιες προβλεπόμενες λειτουργικές παραλλαγές σε 13 γονίδια που κωδικοποιούν τα Sema3s (Semaphorin 3 Ligands) και τους υποδοχείς τους σε σοβαρές παχύσαρκες περιπτώσεις σε σύγκριση με τους ελέγχους. Δεδομένου ότι η σηματοδότηση και ο εντοπισμός του Sema3 είναι ζωτικής σημασίας για την ανάπτυξη και λειτουργία της απελευθέρωσης της ορμόνης γοναδοτροπίνης, η μελέτη τόνισε ότι οι κρίσιμες διαταραχές στην ανάπτυξη νευρώνων της μελανοκορτίνης στον υποθάλαμο, είναι επίσης ζωτικής σημασίας για το έλεγχο βάρους ή/και λίπους στο σώμα </w:t>
      </w:r>
      <w:r>
        <w:fldChar w:fldCharType="begin"/>
      </w:r>
      <w:r>
        <w:rPr>
          <w:rFonts w:eastAsia="Calibri" w:cs="Times-Roman" w:ascii="Times-Roman" w:hAnsi="Times-Roman"/>
          <w:color w:val="18191B"/>
        </w:rPr>
        <w:instrText xml:space="preserve">ADDIN ZOTERO_ITEM CSL_CITATION {"citationID":"WSVe7phd","properties":{"formattedCitation":"[99]","plainCitation":"[99]","noteIndex":0},"citationItems":[{"id":2988,"uris":["http://zotero.org/users/local/WDVvZTBM/items/EENCJ323"],"itemData":{"id":2988,"type":"article-journal","abstract":"Hypothalamic melanocortin neurons play a pivotal role in weight regulation. Here, we examined the contribution of Semaphorin 3 (SEMA3) signaling to the development of these circuits. In genetic studies, we found 40 rare variants in SEMA3A-G and their receptors (PLXNA1-4; NRP1-2) in 573 severely obes …","container-title":"Cell","DOI":"10.1016/j.cell.2018.12.009","ISSN":"1097-4172","issue":"4","language":"en","note":"publisher: Cell\nPMID: 30661757","source":"pubmed.ncbi.nlm.nih.gov","title":"Human Semaphorin 3 Variants Link Melanocortin Circuit Development and Energy Balance","URL":"https://pubmed.ncbi.nlm.nih.gov/30661757/","volume":"176","author":[{"family":"Aa","given":"van der Klaauw"},{"family":"S","given":"Croizier"},{"family":"E","given":"Mendes de Oliveira"},{"family":"Lkj","given":"Stadler"},{"family":"S","given":"Park"},{"family":"Y","given":"Kong"},{"family":"Mc","given":"Banton"},{"family":"P","given":"Tandon"},{"family":"Ae","given":"Hendricks"},{"family":"Jm","given":"Keogh"},{"family":"Se","given":"Riley"},{"family":"S","given":"Papadia"},{"family":"E","given":"Henning"},{"family":"R","given":"Bounds"},{"family":"Eg","given":"Bochukova"},{"family":"V","given":"Mistry"},{"family":"S","given":"O'Rahilly"},{"family":"Rb","given":"Simerly"},{"family":"Jen","given":"Minchin"},{"family":"I","given":"Barroso"},{"family":"Ey","given":"Jones"},{"family":"Sg","given":"Bouret"},{"family":"Is","given":"Farooqi"}],"accessed":{"date-parts":[["2023",11,19]]},"issued":{"date-parts":[["2019",7,2]]}}}],"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[99]</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w:t>
      </w:r>
    </w:p>
    <w:p>
      <w:pPr>
        <w:pStyle w:val="Normal"/>
        <w:spacing w:lineRule="auto" w:line="360"/>
        <w:ind w:firstLine="720"/>
        <w:jc w:val="both"/>
        <w:rPr>
          <w:rFonts w:ascii="Times-Roman" w:hAnsi="Times-Roman" w:eastAsia="Calibri" w:cs="Times-Roman"/>
          <w:color w:val="18191B"/>
        </w:rPr>
      </w:pPr>
      <w:r>
        <w:rPr>
          <w:rFonts w:eastAsia="Calibri" w:cs="Times-Roman" w:ascii="Times-Roman" w:hAnsi="Times-Roman"/>
          <w:color w:val="18191B"/>
        </w:rPr>
        <w:t>Οι μελέτες συσχέτισης σε όλο το γονιδίωμα (G</w:t>
      </w:r>
      <w:r>
        <w:rPr>
          <w:rFonts w:eastAsia="Calibri" w:cs="Times-Roman" w:ascii="Times-Roman" w:hAnsi="Times-Roman"/>
          <w:color w:val="18191B"/>
          <w:lang w:val="en-US"/>
        </w:rPr>
        <w:t>enome</w:t>
      </w:r>
      <w:r>
        <w:rPr>
          <w:rFonts w:eastAsia="Calibri" w:cs="Times-Roman" w:ascii="Times-Roman" w:hAnsi="Times-Roman"/>
          <w:color w:val="18191B"/>
        </w:rPr>
        <w:t>-</w:t>
      </w:r>
      <w:r>
        <w:rPr>
          <w:rFonts w:eastAsia="Calibri" w:cs="Times-Roman" w:ascii="Times-Roman" w:hAnsi="Times-Roman"/>
          <w:color w:val="18191B"/>
          <w:lang w:val="en-US"/>
        </w:rPr>
        <w:t>Wide</w:t>
      </w:r>
      <w:r>
        <w:rPr>
          <w:rFonts w:eastAsia="Calibri" w:cs="Times-Roman" w:ascii="Times-Roman" w:hAnsi="Times-Roman"/>
          <w:color w:val="18191B"/>
        </w:rPr>
        <w:t xml:space="preserve"> </w:t>
      </w:r>
      <w:r>
        <w:rPr>
          <w:rFonts w:eastAsia="Calibri" w:cs="Times-Roman" w:ascii="Times-Roman" w:hAnsi="Times-Roman"/>
          <w:color w:val="18191B"/>
          <w:lang w:val="en-US"/>
        </w:rPr>
        <w:t>Association</w:t>
      </w:r>
      <w:r>
        <w:rPr>
          <w:rFonts w:eastAsia="Calibri" w:cs="Times-Roman" w:ascii="Times-Roman" w:hAnsi="Times-Roman"/>
          <w:color w:val="18191B"/>
        </w:rPr>
        <w:t xml:space="preserve"> </w:t>
      </w:r>
      <w:r>
        <w:rPr>
          <w:rFonts w:eastAsia="Calibri" w:cs="Times-Roman" w:ascii="Times-Roman" w:hAnsi="Times-Roman"/>
          <w:color w:val="18191B"/>
          <w:lang w:val="en-US"/>
        </w:rPr>
        <w:t>Studies</w:t>
      </w:r>
      <w:r>
        <w:rPr>
          <w:rFonts w:eastAsia="Calibri" w:cs="Times-Roman" w:ascii="Times-Roman" w:hAnsi="Times-Roman"/>
          <w:color w:val="18191B"/>
        </w:rPr>
        <w:t xml:space="preserve">-GWASs) είναι ιδιαίτερα αποτελεσματικές για τον εντοπισμό και την ανάλυση νέων γενετικών παραλλαγών που σχετίζονται με την αύξηση βάρους </w:t>
      </w:r>
      <w:r>
        <w:fldChar w:fldCharType="begin"/>
      </w:r>
      <w:r>
        <w:rPr>
          <w:rFonts w:eastAsia="Calibri" w:cs="Times-Roman" w:ascii="Times-Roman" w:hAnsi="Times-Roman"/>
          <w:color w:val="18191B"/>
        </w:rPr>
        <w:instrText xml:space="preserve">ADDIN ZOTERO_ITEM CSL_CITATION {"citationID":"PwDzwu3X","properties":{"formattedCitation":"[100]","plainCitation":"[100]","noteIndex":0},"citationItems":[{"id":2986,"uris":["http://zotero.org/users/local/WDVvZTBM/items/9I93LFFV"],"itemData":{"id":2986,"type":"article-journal","abstract":"Recent genome-wide association studies (GWAS) of height and body mass index (BMI) in ∼250000 European participants have led to the discovery of ∼700 and ∼100 nearly independent single nucleotide polymorphisms (SNPs) associated with these traits, respectively. Here we combine summary statistics from …","container-title":"Human molecular genetics","DOI":"10.1093/hmg/ddy271","ISSN":"1460-2083","issue":"20","language":"en","note":"publisher: Hum Mol Genet\nPMID: 30124842","source":"pubmed.ncbi.nlm.nih.gov","title":"Meta-analysis of genome-wide association studies for height and body mass index in ∼700000 individuals of European ancestry","URL":"https://pubmed.ncbi.nlm.nih.gov/30124842/","volume":"27","author":[{"family":"L","given":"Yengo"},{"family":"J","given":"Sidorenko"},{"family":"Ke","given":"Kemper"},{"family":"Z","given":"Zheng"},{"family":"Ar","given":"Wood"},{"family":"Mn","given":"Weedon"},{"family":"Tm","given":"Frayling"},{"family":"J","given":"Hirschhorn"},{"family":"J","given":"Yang"},{"family":"Pm","given":"Visscher"}],"accessed":{"date-parts":[["2023",11,19]]},"issued":{"date-parts":[["2018",10,15]]}}}],"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[100]</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Οι γενετικοί  καθοριστικοί παράγοντες της πολυγονιδιακής παχυσαρκίας στα παιδιά αναφέρονται στον Πίνακα 3.</w:t>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Caption1"/>
        <w:keepNext w:val="true"/>
        <w:jc w:val="center"/>
        <w:rPr>
          <w:lang w:val="en-US"/>
        </w:rPr>
      </w:pPr>
      <w:bookmarkStart w:id="65" w:name="_Toc151291302"/>
      <w:r>
        <w:rPr/>
        <w:t xml:space="preserve">Πίνακας </w:t>
      </w:r>
      <w:r>
        <w:rPr/>
        <w:fldChar w:fldCharType="begin"/>
      </w:r>
      <w:r>
        <w:rPr/>
        <w:instrText xml:space="preserve"> SEQ Πίνακας \* ARABIC </w:instrText>
      </w:r>
      <w:r>
        <w:rPr/>
        <w:fldChar w:fldCharType="separate"/>
      </w:r>
      <w:r>
        <w:rPr/>
        <w:t>3</w:t>
      </w:r>
      <w:r>
        <w:rPr/>
        <w:fldChar w:fldCharType="end"/>
      </w:r>
      <w:r>
        <w:rPr/>
        <w:t xml:space="preserve">: </w:t>
      </w:r>
      <w:r>
        <w:rPr>
          <w:b w:val="false"/>
          <w:bCs w:val="false"/>
          <w:i/>
          <w:iCs/>
          <w:sz w:val="18"/>
          <w:szCs w:val="18"/>
        </w:rPr>
        <w:t>Γενετικοί καθοριστικοί παράγοντες στην πολυγονιδιακή παχυσαρκία των παιδιών.</w:t>
      </w:r>
      <w:r>
        <w:fldChar w:fldCharType="begin"/>
      </w:r>
      <w:r>
        <w:rPr>
          <w:sz w:val="18"/>
          <w:i/>
          <w:b w:val="false"/>
          <w:szCs w:val="18"/>
          <w:iCs/>
          <w:bCs w:val="false"/>
        </w:rPr>
        <w:instrText xml:space="preserve">ADDIN ZOTERO_ITEM CSL_CITATION {"citationID":"3PkBIZjT","properties":{"formattedCitation":"[54]","plainCitation":"[54]","noteIndex":0},"citationItems":[{"id":2425,"uris":["http://zotero.org/users/local/WDVvZTBM/items/ANNDCRDK"],"itemData":{"id":2425,"type":"article-journal","abstract":"Sedentary lifestyle and consumption of high-calorie foods have caused a relentless increase of overweight and obesity prevalence at all ages. Its presently epidemic proportion is disquieting due to the tight relationship of obesity with metabolic syndrome and several other comorbidities which do call for urgent workarounds. The usual ineffectiveness of present therapies and failure of prevention campaigns triggered overtime a number of research studies which have unveiled some relevant aspects of obesity genetic and epigenetic inheritable profiles. These findings are revealing extremely precious mainly to serve as a likely extra arrow to allow the clinician’s bow to achieve still hitherto unmet preventive goals. Evidence now exists that maternal obesity/overnutrition during pregnancy and lactation convincingly appears associated with several disorders in the offspring independently of the transmission of a purely genetic predisposition. Even the pre-conception direct exposure of either father or mother gametes to environmental factors can reprogram the epigenetic architecture of cells. Such phenomena lie behind the transfer of the obesity susceptibility to future generations through a mechanism of epigenetic inheritance. Moreover, a growing number of studies suggests that several environmental factors such as maternal malnutrition, hypoxia, and exposure to excess hormones and endocrine disruptors during pregnancy and the early postnatal period may play critical roles in programming childhood adipose tissue and obesity. A deeper understanding of how inherited genetics and epigenetics may generate an obesogenic environment at pediatric age might strengthen our knowledge about pathogenetic mechanisms and improve the clinical management of patients. Therefore, in this narrative review, we attempt to provide a general overview of the contribution of heritable genetic and epigenetic patterns to the obesity susceptibility in children, placing a particular emphasis on the mother-child dyad.","container-title":"Frontiers in Endocrinology","DOI":"10.3389/fendo.2022.1006008","ISSN":"1664-2392","journalAbbreviation":"Front. Endocrinol.","language":"en","page":"1006008","source":"DOI.org (Crossref)","title":"Genetics, epigenetics and transgenerational transmission of obesity in children","volume":"13","author":[{"family":"Panera","given":"Nadia"},{"family":"Mandato","given":"Claudia"},{"family":"Crudele","given":"Annalisa"},{"family":"Bertrando","given":"Sara"},{"family":"Vajro","given":"Pietro"},{"family":"Alisi","given":"Anna"}],"issued":{"date-parts":[["2022",11,14]]}}}],"schema":"https://github.com/citation-style-language/schema/raw/master/csl-citation.json"}</w:instrText>
      </w:r>
      <w:r>
        <w:rPr>
          <w:b w:val="false"/>
          <w:bCs w:val="false"/>
          <w:i/>
          <w:iCs/>
          <w:sz w:val="18"/>
          <w:szCs w:val="18"/>
        </w:rPr>
      </w:r>
      <w:r>
        <w:rPr>
          <w:sz w:val="18"/>
          <w:i/>
          <w:b w:val="false"/>
          <w:szCs w:val="18"/>
          <w:iCs/>
          <w:bCs w:val="false"/>
        </w:rPr>
        <w:fldChar w:fldCharType="separate"/>
      </w:r>
      <w:r>
        <w:rPr>
          <w:b w:val="false"/>
          <w:bCs w:val="false"/>
          <w:i/>
          <w:iCs/>
          <w:sz w:val="18"/>
          <w:szCs w:val="18"/>
        </w:rPr>
      </w:r>
      <w:r>
        <w:rPr>
          <w:b w:val="false"/>
          <w:bCs w:val="false"/>
          <w:i/>
          <w:iCs/>
          <w:sz w:val="18"/>
          <w:szCs w:val="18"/>
          <w:lang w:val="en-US"/>
        </w:rPr>
        <w:t>[54]</w:t>
      </w:r>
      <w:r/>
      <w:r>
        <w:rPr>
          <w:sz w:val="18"/>
          <w:i/>
          <w:b w:val="false"/>
          <w:szCs w:val="18"/>
          <w:iCs/>
          <w:bCs w:val="false"/>
        </w:rPr>
        <w:fldChar w:fldCharType="end"/>
      </w:r>
      <w:r>
        <w:rPr>
          <w:b w:val="false"/>
          <w:bCs w:val="false"/>
          <w:i/>
          <w:iCs/>
          <w:sz w:val="18"/>
          <w:szCs w:val="18"/>
        </w:rPr>
      </w:r>
      <w:bookmarkEnd w:id="65"/>
    </w:p>
    <w:tbl>
      <w:tblPr>
        <w:tblStyle w:val="ae"/>
        <w:tblW w:w="8303"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660"/>
        <w:gridCol w:w="1661"/>
        <w:gridCol w:w="1660"/>
        <w:gridCol w:w="1661"/>
        <w:gridCol w:w="1661"/>
      </w:tblGrid>
      <w:tr>
        <w:trPr/>
        <w:tc>
          <w:tcPr>
            <w:tcW w:w="1660" w:type="dxa"/>
            <w:tcBorders/>
            <w:vAlign w:val="center"/>
          </w:tcPr>
          <w:p>
            <w:pPr>
              <w:pStyle w:val="Normal"/>
              <w:widowControl/>
              <w:spacing w:before="0" w:after="0"/>
              <w:jc w:val="center"/>
              <w:rPr>
                <w:rFonts w:eastAsia="Calibri"/>
                <w:b/>
                <w:bCs/>
                <w:sz w:val="21"/>
                <w:szCs w:val="21"/>
                <w:lang w:val="en-US"/>
              </w:rPr>
            </w:pPr>
            <w:r>
              <w:rPr>
                <w:rFonts w:eastAsia="Calibri" w:cs="Times New Roman"/>
                <w:b/>
                <w:bCs/>
                <w:kern w:val="0"/>
                <w:sz w:val="21"/>
                <w:szCs w:val="21"/>
                <w:lang w:val="en-US" w:eastAsia="el-GR" w:bidi="ar-SA"/>
              </w:rPr>
              <w:t>GENE</w:t>
            </w:r>
          </w:p>
          <w:p>
            <w:pPr>
              <w:pStyle w:val="Normal"/>
              <w:widowControl/>
              <w:spacing w:before="0" w:after="0"/>
              <w:jc w:val="center"/>
              <w:rPr>
                <w:rFonts w:ascii="Times-Roman" w:hAnsi="Times-Roman" w:eastAsia="Calibri" w:cs="Times-Roman"/>
                <w:b/>
                <w:bCs/>
                <w:color w:val="18191B"/>
                <w:sz w:val="21"/>
                <w:szCs w:val="21"/>
                <w:lang w:val="en-US"/>
              </w:rPr>
            </w:pPr>
            <w:r>
              <w:rPr>
                <w:rFonts w:eastAsia="Calibri" w:cs="Times New Roman"/>
                <w:b/>
                <w:bCs/>
                <w:kern w:val="0"/>
                <w:sz w:val="21"/>
                <w:szCs w:val="21"/>
                <w:lang w:val="en-US" w:eastAsia="el-GR" w:bidi="ar-SA"/>
              </w:rPr>
              <w:t>NAME</w:t>
            </w:r>
          </w:p>
        </w:tc>
        <w:tc>
          <w:tcPr>
            <w:tcW w:w="1661" w:type="dxa"/>
            <w:tcBorders/>
            <w:vAlign w:val="center"/>
          </w:tcPr>
          <w:p>
            <w:pPr>
              <w:pStyle w:val="Normal"/>
              <w:widowControl/>
              <w:spacing w:before="0" w:after="0"/>
              <w:jc w:val="center"/>
              <w:rPr>
                <w:rFonts w:ascii="Times-Roman" w:hAnsi="Times-Roman" w:eastAsia="Calibri" w:cs="Times-Roman"/>
                <w:b/>
                <w:bCs/>
                <w:color w:val="18191B"/>
                <w:sz w:val="21"/>
                <w:szCs w:val="21"/>
                <w:lang w:val="en-US"/>
              </w:rPr>
            </w:pPr>
            <w:r>
              <w:rPr>
                <w:rFonts w:eastAsia="Calibri" w:cs="Times New Roman"/>
                <w:b/>
                <w:bCs/>
                <w:kern w:val="0"/>
                <w:sz w:val="21"/>
                <w:szCs w:val="21"/>
                <w:lang w:val="en-US" w:eastAsia="el-GR" w:bidi="ar-SA"/>
              </w:rPr>
              <w:t>GENE’S PRODUCT FUNCTION</w:t>
            </w:r>
          </w:p>
        </w:tc>
        <w:tc>
          <w:tcPr>
            <w:tcW w:w="1660" w:type="dxa"/>
            <w:tcBorders/>
            <w:vAlign w:val="center"/>
          </w:tcPr>
          <w:p>
            <w:pPr>
              <w:pStyle w:val="Normal"/>
              <w:widowControl/>
              <w:spacing w:before="0" w:after="0"/>
              <w:jc w:val="center"/>
              <w:rPr>
                <w:rFonts w:ascii="Times-Roman" w:hAnsi="Times-Roman" w:eastAsia="Calibri" w:cs="Times-Roman"/>
                <w:b/>
                <w:bCs/>
                <w:color w:val="18191B"/>
                <w:sz w:val="21"/>
                <w:szCs w:val="21"/>
                <w:lang w:val="en-US"/>
              </w:rPr>
            </w:pPr>
            <w:r>
              <w:rPr>
                <w:rFonts w:eastAsia="Calibri" w:cs="Times New Roman"/>
                <w:b/>
                <w:bCs/>
                <w:kern w:val="0"/>
                <w:sz w:val="21"/>
                <w:szCs w:val="21"/>
                <w:lang w:val="en-US" w:eastAsia="el-GR" w:bidi="ar-SA"/>
              </w:rPr>
              <w:t>MUTATION</w:t>
            </w:r>
          </w:p>
        </w:tc>
        <w:tc>
          <w:tcPr>
            <w:tcW w:w="1661" w:type="dxa"/>
            <w:tcBorders/>
            <w:vAlign w:val="center"/>
          </w:tcPr>
          <w:p>
            <w:pPr>
              <w:pStyle w:val="Normal"/>
              <w:widowControl/>
              <w:spacing w:before="0" w:after="0"/>
              <w:jc w:val="center"/>
              <w:rPr>
                <w:rFonts w:ascii="Times-Roman" w:hAnsi="Times-Roman" w:eastAsia="Calibri" w:cs="Times-Roman"/>
                <w:b/>
                <w:bCs/>
                <w:color w:val="18191B"/>
                <w:sz w:val="21"/>
                <w:szCs w:val="21"/>
                <w:lang w:val="en-US"/>
              </w:rPr>
            </w:pPr>
            <w:r>
              <w:rPr>
                <w:rFonts w:eastAsia="Calibri" w:cs="Times New Roman"/>
                <w:b/>
                <w:bCs/>
                <w:kern w:val="0"/>
                <w:sz w:val="21"/>
                <w:szCs w:val="21"/>
                <w:lang w:val="en-US" w:eastAsia="el-GR" w:bidi="ar-SA"/>
              </w:rPr>
              <w:t>PHENOTYPE</w:t>
            </w:r>
          </w:p>
        </w:tc>
        <w:tc>
          <w:tcPr>
            <w:tcW w:w="1661" w:type="dxa"/>
            <w:tcBorders/>
            <w:vAlign w:val="center"/>
          </w:tcPr>
          <w:p>
            <w:pPr>
              <w:pStyle w:val="Normal"/>
              <w:widowControl/>
              <w:spacing w:before="0" w:after="0"/>
              <w:jc w:val="center"/>
              <w:rPr>
                <w:rFonts w:ascii="Times-Roman" w:hAnsi="Times-Roman" w:eastAsia="Calibri" w:cs="Times-Roman"/>
                <w:b/>
                <w:bCs/>
                <w:color w:val="18191B"/>
                <w:sz w:val="21"/>
                <w:szCs w:val="21"/>
                <w:lang w:val="en-US"/>
              </w:rPr>
            </w:pPr>
            <w:r>
              <w:rPr>
                <w:rFonts w:eastAsia="Calibri" w:cs="Times New Roman"/>
                <w:b/>
                <w:bCs/>
                <w:kern w:val="0"/>
                <w:sz w:val="21"/>
                <w:szCs w:val="21"/>
                <w:lang w:val="en-US" w:eastAsia="el-GR" w:bidi="ar-SA"/>
              </w:rPr>
              <w:t>REFERENCE</w:t>
            </w:r>
          </w:p>
        </w:tc>
      </w:tr>
      <w:tr>
        <w:trPr/>
        <w:tc>
          <w:tcPr>
            <w:tcW w:w="1660" w:type="dxa"/>
            <w:tcBorders/>
            <w:vAlign w:val="center"/>
          </w:tcPr>
          <w:p>
            <w:pPr>
              <w:pStyle w:val="Normal"/>
              <w:widowControl/>
              <w:spacing w:before="0" w:after="0"/>
              <w:jc w:val="left"/>
              <w:rPr>
                <w:rFonts w:eastAsia="Calibri"/>
                <w:sz w:val="15"/>
                <w:szCs w:val="15"/>
                <w:lang w:val="en-US"/>
              </w:rPr>
            </w:pPr>
            <w:r>
              <w:rPr>
                <w:rFonts w:eastAsia="Calibri" w:cs="Times New Roman"/>
                <w:kern w:val="0"/>
                <w:sz w:val="15"/>
                <w:szCs w:val="15"/>
                <w:lang w:val="en-US" w:eastAsia="el-GR" w:bidi="ar-SA"/>
              </w:rPr>
              <w:t>Fat-mass and</w:t>
            </w:r>
          </w:p>
          <w:p>
            <w:pPr>
              <w:pStyle w:val="Normal"/>
              <w:widowControl/>
              <w:spacing w:before="0" w:after="0"/>
              <w:jc w:val="left"/>
              <w:rPr>
                <w:rFonts w:eastAsia="Calibri"/>
                <w:sz w:val="15"/>
                <w:szCs w:val="15"/>
                <w:lang w:val="en-US"/>
              </w:rPr>
            </w:pPr>
            <w:r>
              <w:rPr>
                <w:rFonts w:eastAsia="Calibri" w:cs="Times New Roman"/>
                <w:kern w:val="0"/>
                <w:sz w:val="15"/>
                <w:szCs w:val="15"/>
                <w:lang w:val="en-US" w:eastAsia="el-GR" w:bidi="ar-SA"/>
              </w:rPr>
              <w:t>obesityassociated</w:t>
            </w:r>
          </w:p>
          <w:p>
            <w:pPr>
              <w:pStyle w:val="Normal"/>
              <w:widowControl/>
              <w:spacing w:before="0" w:after="0"/>
              <w:jc w:val="left"/>
              <w:rPr>
                <w:rFonts w:eastAsia="Calibri"/>
                <w:sz w:val="15"/>
                <w:szCs w:val="15"/>
                <w:lang w:val="en-US"/>
              </w:rPr>
            </w:pPr>
            <w:r>
              <w:rPr>
                <w:rFonts w:eastAsia="Calibri" w:cs="Times New Roman"/>
                <w:kern w:val="0"/>
                <w:sz w:val="15"/>
                <w:szCs w:val="15"/>
                <w:lang w:val="en-US" w:eastAsia="el-GR" w:bidi="ar-SA"/>
              </w:rPr>
              <w:t>gene</w:t>
            </w:r>
          </w:p>
          <w:p>
            <w:pPr>
              <w:pStyle w:val="Normal"/>
              <w:widowControl/>
              <w:spacing w:before="0" w:after="0"/>
              <w:jc w:val="left"/>
              <w:rPr>
                <w:rFonts w:ascii="Times-Roman" w:hAnsi="Times-Roman" w:eastAsia="Calibri" w:cs="Times-Roman"/>
                <w:color w:val="18191B"/>
                <w:sz w:val="15"/>
                <w:szCs w:val="15"/>
                <w:lang w:val="en-US"/>
              </w:rPr>
            </w:pPr>
            <w:r>
              <w:rPr>
                <w:rFonts w:eastAsia="Calibri" w:cs="Times New Roman"/>
                <w:kern w:val="0"/>
                <w:sz w:val="15"/>
                <w:szCs w:val="15"/>
                <w:lang w:val="en-US" w:eastAsia="el-GR" w:bidi="ar-SA"/>
              </w:rPr>
              <w:t>(FTO)</w:t>
            </w:r>
          </w:p>
        </w:tc>
        <w:tc>
          <w:tcPr>
            <w:tcW w:w="1661" w:type="dxa"/>
            <w:tcBorders/>
            <w:vAlign w:val="center"/>
          </w:tcPr>
          <w:p>
            <w:pPr>
              <w:pStyle w:val="Normal"/>
              <w:widowControl/>
              <w:spacing w:before="0" w:after="0"/>
              <w:jc w:val="left"/>
              <w:rPr>
                <w:rFonts w:eastAsia="Calibri"/>
                <w:sz w:val="15"/>
                <w:szCs w:val="15"/>
                <w:lang w:val="en-US"/>
              </w:rPr>
            </w:pPr>
            <w:r>
              <w:rPr>
                <w:rFonts w:eastAsia="Calibri" w:cs="Times New Roman"/>
                <w:kern w:val="0"/>
                <w:sz w:val="15"/>
                <w:szCs w:val="15"/>
                <w:lang w:val="en-US" w:eastAsia="el-GR" w:bidi="ar-SA"/>
              </w:rPr>
              <w:t>RNA demethylase that mediates oxidative</w:t>
            </w:r>
          </w:p>
          <w:p>
            <w:pPr>
              <w:pStyle w:val="Normal"/>
              <w:widowControl/>
              <w:spacing w:before="0" w:after="0"/>
              <w:jc w:val="left"/>
              <w:rPr>
                <w:rFonts w:eastAsia="Calibri"/>
                <w:sz w:val="15"/>
                <w:szCs w:val="15"/>
                <w:lang w:val="en-US"/>
              </w:rPr>
            </w:pPr>
            <w:r>
              <w:rPr>
                <w:rFonts w:eastAsia="Calibri" w:cs="Times New Roman"/>
                <w:kern w:val="0"/>
                <w:sz w:val="15"/>
                <w:szCs w:val="15"/>
                <w:lang w:val="en-US" w:eastAsia="el-GR" w:bidi="ar-SA"/>
              </w:rPr>
              <w:t>RNA demethylation that acts as a regulator</w:t>
            </w:r>
          </w:p>
          <w:p>
            <w:pPr>
              <w:pStyle w:val="Normal"/>
              <w:widowControl/>
              <w:spacing w:before="0" w:after="0"/>
              <w:jc w:val="left"/>
              <w:rPr>
                <w:rFonts w:ascii="Times-Roman" w:hAnsi="Times-Roman" w:eastAsia="Calibri" w:cs="Times-Roman"/>
                <w:color w:val="18191B"/>
                <w:sz w:val="15"/>
                <w:szCs w:val="15"/>
                <w:lang w:val="en-US"/>
              </w:rPr>
            </w:pPr>
            <w:r>
              <w:rPr>
                <w:rFonts w:eastAsia="Calibri" w:cs="Times New Roman"/>
                <w:kern w:val="0"/>
                <w:sz w:val="15"/>
                <w:szCs w:val="15"/>
                <w:lang w:val="en-US" w:eastAsia="el-GR" w:bidi="ar-SA"/>
              </w:rPr>
              <w:t>of fat mass and energy homeostasis</w:t>
            </w:r>
          </w:p>
        </w:tc>
        <w:tc>
          <w:tcPr>
            <w:tcW w:w="1660" w:type="dxa"/>
            <w:tcBorders/>
            <w:vAlign w:val="center"/>
          </w:tcPr>
          <w:p>
            <w:pPr>
              <w:pStyle w:val="Normal"/>
              <w:widowControl/>
              <w:spacing w:before="0" w:after="0"/>
              <w:jc w:val="left"/>
              <w:rPr>
                <w:rFonts w:eastAsia="Calibri"/>
                <w:sz w:val="15"/>
                <w:szCs w:val="15"/>
                <w:lang w:val="en-US"/>
              </w:rPr>
            </w:pPr>
            <w:r>
              <w:rPr>
                <w:rFonts w:eastAsia="Calibri" w:cs="Times New Roman"/>
                <w:kern w:val="0"/>
                <w:sz w:val="15"/>
                <w:szCs w:val="15"/>
                <w:lang w:val="en-US" w:eastAsia="el-GR" w:bidi="ar-SA"/>
              </w:rPr>
              <w:t>Variants:</w:t>
            </w:r>
          </w:p>
          <w:p>
            <w:pPr>
              <w:pStyle w:val="Normal"/>
              <w:widowControl/>
              <w:spacing w:before="0" w:after="0"/>
              <w:jc w:val="left"/>
              <w:rPr>
                <w:rFonts w:eastAsia="Calibri"/>
                <w:sz w:val="15"/>
                <w:szCs w:val="15"/>
                <w:lang w:val="en-US"/>
              </w:rPr>
            </w:pPr>
            <w:r>
              <w:rPr>
                <w:rFonts w:eastAsia="Calibri" w:cs="Times New Roman"/>
                <w:kern w:val="0"/>
                <w:sz w:val="15"/>
                <w:szCs w:val="15"/>
                <w:lang w:val="en-US" w:eastAsia="el-GR" w:bidi="ar-SA"/>
              </w:rPr>
              <w:t>- rs9939609</w:t>
            </w:r>
          </w:p>
          <w:p>
            <w:pPr>
              <w:pStyle w:val="Normal"/>
              <w:widowControl/>
              <w:spacing w:before="0" w:after="0"/>
              <w:jc w:val="left"/>
              <w:rPr>
                <w:rFonts w:eastAsia="Calibri"/>
                <w:sz w:val="15"/>
                <w:szCs w:val="15"/>
                <w:lang w:val="en-US"/>
              </w:rPr>
            </w:pPr>
            <w:r>
              <w:rPr>
                <w:rFonts w:eastAsia="Calibri" w:cs="Times New Roman"/>
                <w:kern w:val="0"/>
                <w:sz w:val="15"/>
                <w:szCs w:val="15"/>
                <w:lang w:val="en-US" w:eastAsia="el-GR" w:bidi="ar-SA"/>
              </w:rPr>
              <w:t>(intronic variant)</w:t>
            </w:r>
          </w:p>
          <w:p>
            <w:pPr>
              <w:pStyle w:val="Normal"/>
              <w:widowControl/>
              <w:spacing w:before="0" w:after="0"/>
              <w:jc w:val="left"/>
              <w:rPr>
                <w:rFonts w:eastAsia="Calibri"/>
                <w:sz w:val="15"/>
                <w:szCs w:val="15"/>
                <w:lang w:val="en-US"/>
              </w:rPr>
            </w:pPr>
            <w:r>
              <w:rPr>
                <w:rFonts w:eastAsia="Calibri" w:cs="Times New Roman"/>
                <w:kern w:val="0"/>
                <w:sz w:val="15"/>
                <w:szCs w:val="15"/>
                <w:lang w:val="en-US" w:eastAsia="el-GR" w:bidi="ar-SA"/>
              </w:rPr>
              <w:t>- rs9930506</w:t>
            </w:r>
          </w:p>
          <w:p>
            <w:pPr>
              <w:pStyle w:val="Normal"/>
              <w:widowControl/>
              <w:spacing w:before="0" w:after="0"/>
              <w:jc w:val="left"/>
              <w:rPr>
                <w:rFonts w:eastAsia="Calibri"/>
                <w:sz w:val="15"/>
                <w:szCs w:val="15"/>
                <w:lang w:val="en-US"/>
              </w:rPr>
            </w:pPr>
            <w:r>
              <w:rPr>
                <w:rFonts w:eastAsia="Calibri" w:cs="Times New Roman"/>
                <w:kern w:val="0"/>
                <w:sz w:val="15"/>
                <w:szCs w:val="15"/>
                <w:lang w:val="en-US" w:eastAsia="el-GR" w:bidi="ar-SA"/>
              </w:rPr>
              <w:t>(intronic variant)</w:t>
            </w:r>
          </w:p>
          <w:p>
            <w:pPr>
              <w:pStyle w:val="Normal"/>
              <w:widowControl/>
              <w:spacing w:before="0" w:after="0"/>
              <w:jc w:val="left"/>
              <w:rPr>
                <w:rFonts w:eastAsia="Calibri"/>
                <w:sz w:val="15"/>
                <w:szCs w:val="15"/>
                <w:lang w:val="en-US"/>
              </w:rPr>
            </w:pPr>
            <w:r>
              <w:rPr>
                <w:rFonts w:eastAsia="Calibri" w:cs="Times New Roman"/>
                <w:kern w:val="0"/>
                <w:sz w:val="15"/>
                <w:szCs w:val="15"/>
                <w:lang w:val="en-US" w:eastAsia="el-GR" w:bidi="ar-SA"/>
              </w:rPr>
              <w:t>- rs1421085</w:t>
            </w:r>
          </w:p>
          <w:p>
            <w:pPr>
              <w:pStyle w:val="Normal"/>
              <w:widowControl/>
              <w:spacing w:before="0" w:after="0"/>
              <w:jc w:val="left"/>
              <w:rPr>
                <w:rFonts w:eastAsia="Calibri"/>
                <w:sz w:val="15"/>
                <w:szCs w:val="15"/>
                <w:lang w:val="en-US"/>
              </w:rPr>
            </w:pPr>
            <w:r>
              <w:rPr>
                <w:rFonts w:eastAsia="Calibri" w:cs="Times New Roman"/>
                <w:kern w:val="0"/>
                <w:sz w:val="15"/>
                <w:szCs w:val="15"/>
                <w:lang w:val="en-US" w:eastAsia="el-GR" w:bidi="ar-SA"/>
              </w:rPr>
              <w:t>(intronic variant)</w:t>
            </w:r>
          </w:p>
          <w:p>
            <w:pPr>
              <w:pStyle w:val="Normal"/>
              <w:widowControl/>
              <w:spacing w:before="0" w:after="0"/>
              <w:jc w:val="left"/>
              <w:rPr>
                <w:rFonts w:eastAsia="Calibri"/>
                <w:sz w:val="15"/>
                <w:szCs w:val="15"/>
                <w:lang w:val="en-US"/>
              </w:rPr>
            </w:pPr>
            <w:r>
              <w:rPr>
                <w:rFonts w:eastAsia="Calibri" w:cs="Times New Roman"/>
                <w:kern w:val="0"/>
                <w:sz w:val="15"/>
                <w:szCs w:val="15"/>
                <w:lang w:val="en-US" w:eastAsia="el-GR" w:bidi="ar-SA"/>
              </w:rPr>
              <w:t>- rs8050136</w:t>
            </w:r>
          </w:p>
          <w:p>
            <w:pPr>
              <w:pStyle w:val="Normal"/>
              <w:widowControl/>
              <w:spacing w:before="0" w:after="0"/>
              <w:jc w:val="left"/>
              <w:rPr>
                <w:rFonts w:ascii="Times-Roman" w:hAnsi="Times-Roman" w:eastAsia="Calibri" w:cs="Times-Roman"/>
                <w:color w:val="18191B"/>
                <w:sz w:val="15"/>
                <w:szCs w:val="15"/>
                <w:lang w:val="en-US"/>
              </w:rPr>
            </w:pPr>
            <w:r>
              <w:rPr>
                <w:rFonts w:eastAsia="Calibri" w:cs="Times New Roman"/>
                <w:kern w:val="0"/>
                <w:sz w:val="15"/>
                <w:szCs w:val="15"/>
                <w:lang w:val="en-US" w:eastAsia="el-GR" w:bidi="ar-SA"/>
              </w:rPr>
              <w:t>(intronic variant)</w:t>
            </w:r>
          </w:p>
        </w:tc>
        <w:tc>
          <w:tcPr>
            <w:tcW w:w="1661" w:type="dxa"/>
            <w:tcBorders/>
            <w:vAlign w:val="center"/>
          </w:tcPr>
          <w:p>
            <w:pPr>
              <w:pStyle w:val="Normal"/>
              <w:widowControl/>
              <w:spacing w:before="0" w:after="0"/>
              <w:jc w:val="left"/>
              <w:rPr>
                <w:rFonts w:eastAsia="Calibri"/>
                <w:i/>
                <w:i/>
                <w:iCs/>
                <w:sz w:val="14"/>
                <w:szCs w:val="14"/>
                <w:lang w:val="en-US"/>
              </w:rPr>
            </w:pPr>
            <w:r>
              <w:rPr>
                <w:rFonts w:eastAsia="Calibri" w:cs="Times New Roman"/>
                <w:i/>
                <w:iCs/>
                <w:kern w:val="0"/>
                <w:sz w:val="14"/>
                <w:szCs w:val="14"/>
                <w:lang w:val="en-US" w:eastAsia="el-GR" w:bidi="ar-SA"/>
              </w:rPr>
              <w:t>Overweight and severe</w:t>
            </w:r>
          </w:p>
          <w:p>
            <w:pPr>
              <w:pStyle w:val="Normal"/>
              <w:widowControl/>
              <w:spacing w:before="0" w:after="0"/>
              <w:jc w:val="left"/>
              <w:rPr>
                <w:rFonts w:eastAsia="Calibri"/>
                <w:i/>
                <w:i/>
                <w:iCs/>
                <w:sz w:val="14"/>
                <w:szCs w:val="14"/>
                <w:lang w:val="en-US"/>
              </w:rPr>
            </w:pPr>
            <w:r>
              <w:rPr>
                <w:rFonts w:eastAsia="Calibri" w:cs="Times New Roman"/>
                <w:i/>
                <w:iCs/>
                <w:kern w:val="0"/>
                <w:sz w:val="14"/>
                <w:szCs w:val="14"/>
                <w:lang w:val="en-US" w:eastAsia="el-GR" w:bidi="ar-SA"/>
              </w:rPr>
              <w:t>obese phenotype in</w:t>
            </w:r>
          </w:p>
          <w:p>
            <w:pPr>
              <w:pStyle w:val="Normal"/>
              <w:widowControl/>
              <w:spacing w:before="0" w:after="0"/>
              <w:jc w:val="left"/>
              <w:rPr>
                <w:rFonts w:eastAsia="Calibri"/>
                <w:i/>
                <w:i/>
                <w:iCs/>
                <w:sz w:val="14"/>
                <w:szCs w:val="14"/>
                <w:lang w:val="en-US"/>
              </w:rPr>
            </w:pPr>
            <w:r>
              <w:rPr>
                <w:rFonts w:eastAsia="Calibri" w:cs="Times New Roman"/>
                <w:i/>
                <w:iCs/>
                <w:kern w:val="0"/>
                <w:sz w:val="14"/>
                <w:szCs w:val="14"/>
                <w:lang w:val="en-US" w:eastAsia="el-GR" w:bidi="ar-SA"/>
              </w:rPr>
              <w:t>different pediatric</w:t>
            </w:r>
          </w:p>
          <w:p>
            <w:pPr>
              <w:pStyle w:val="Normal"/>
              <w:widowControl/>
              <w:spacing w:before="0" w:after="0"/>
              <w:jc w:val="left"/>
              <w:rPr>
                <w:rFonts w:ascii="Times-Roman" w:hAnsi="Times-Roman" w:eastAsia="Calibri" w:cs="Times-Roman"/>
                <w:color w:val="18191B"/>
                <w:lang w:val="en-US"/>
              </w:rPr>
            </w:pPr>
            <w:r>
              <w:rPr>
                <w:rFonts w:eastAsia="Calibri" w:cs="Times New Roman"/>
                <w:i/>
                <w:iCs/>
                <w:kern w:val="0"/>
                <w:sz w:val="14"/>
                <w:szCs w:val="14"/>
                <w:lang w:val="en-US" w:eastAsia="el-GR" w:bidi="ar-SA"/>
              </w:rPr>
              <w:t>populations</w:t>
            </w:r>
          </w:p>
        </w:tc>
        <w:tc>
          <w:tcPr>
            <w:tcW w:w="1661" w:type="dxa"/>
            <w:tcBorders/>
            <w:vAlign w:val="center"/>
          </w:tcPr>
          <w:p>
            <w:pPr>
              <w:pStyle w:val="Normal"/>
              <w:widowControl/>
              <w:spacing w:before="0" w:after="0"/>
              <w:jc w:val="center"/>
              <w:rPr>
                <w:rFonts w:eastAsia="Calibri"/>
                <w:sz w:val="14"/>
                <w:szCs w:val="14"/>
                <w:lang w:val="en-US"/>
              </w:rPr>
            </w:pPr>
            <w:r>
              <w:rPr>
                <w:rFonts w:eastAsia="Calibri" w:cs="Times New Roman"/>
                <w:kern w:val="0"/>
                <w:sz w:val="14"/>
                <w:szCs w:val="14"/>
                <w:lang w:val="en-US" w:eastAsia="el-GR" w:bidi="ar-SA"/>
              </w:rPr>
              <w:t>[Frayling TM, 2007; Wardle J, 2008; Cecil JE, 2008;</w:t>
            </w:r>
          </w:p>
          <w:p>
            <w:pPr>
              <w:pStyle w:val="Normal"/>
              <w:widowControl/>
              <w:spacing w:before="0" w:after="0"/>
              <w:jc w:val="center"/>
              <w:rPr>
                <w:rFonts w:eastAsia="Calibri"/>
                <w:sz w:val="14"/>
                <w:szCs w:val="14"/>
                <w:lang w:val="en-US"/>
              </w:rPr>
            </w:pPr>
            <w:r>
              <w:rPr>
                <w:rFonts w:eastAsia="Calibri" w:cs="Times New Roman"/>
                <w:kern w:val="0"/>
                <w:sz w:val="14"/>
                <w:szCs w:val="14"/>
                <w:lang w:val="en-US" w:eastAsia="el-GR" w:bidi="ar-SA"/>
              </w:rPr>
              <w:t>Rutters F, 2011; Jacobsson JA, 2008; Mangge H, 2011; XI</w:t>
            </w:r>
          </w:p>
          <w:p>
            <w:pPr>
              <w:pStyle w:val="Normal"/>
              <w:widowControl/>
              <w:spacing w:before="0" w:after="0"/>
              <w:jc w:val="center"/>
              <w:rPr>
                <w:rFonts w:eastAsia="Calibri"/>
                <w:sz w:val="14"/>
                <w:szCs w:val="14"/>
                <w:lang w:val="en-US"/>
              </w:rPr>
            </w:pPr>
            <w:r>
              <w:rPr>
                <w:rFonts w:eastAsia="Calibri" w:cs="Times New Roman"/>
                <w:kern w:val="0"/>
                <w:sz w:val="14"/>
                <w:szCs w:val="14"/>
                <w:lang w:val="en-US" w:eastAsia="el-GR" w:bidi="ar-SA"/>
              </w:rPr>
              <w:t>et al., 2010; Todendi PF, 2020; Reuter ÉM, 2021]</w:t>
            </w:r>
          </w:p>
          <w:p>
            <w:pPr>
              <w:pStyle w:val="Normal"/>
              <w:widowControl/>
              <w:spacing w:before="0" w:after="0"/>
              <w:jc w:val="center"/>
              <w:rPr>
                <w:rFonts w:eastAsia="Calibri"/>
                <w:sz w:val="14"/>
                <w:szCs w:val="14"/>
                <w:lang w:val="en-US"/>
              </w:rPr>
            </w:pPr>
            <w:r>
              <w:rPr>
                <w:rFonts w:eastAsia="Calibri" w:cs="Times New Roman"/>
                <w:kern w:val="0"/>
                <w:sz w:val="14"/>
                <w:szCs w:val="14"/>
                <w:lang w:val="en-US" w:eastAsia="el-GR" w:bidi="ar-SA"/>
              </w:rPr>
              <w:t>Scuteri A, 2007</w:t>
            </w:r>
          </w:p>
          <w:p>
            <w:pPr>
              <w:pStyle w:val="Normal"/>
              <w:widowControl/>
              <w:spacing w:before="0" w:after="0"/>
              <w:jc w:val="center"/>
              <w:rPr>
                <w:rFonts w:eastAsia="Calibri"/>
                <w:sz w:val="14"/>
                <w:szCs w:val="14"/>
                <w:lang w:val="en-US"/>
              </w:rPr>
            </w:pPr>
            <w:r>
              <w:rPr>
                <w:rFonts w:eastAsia="Calibri" w:cs="Times New Roman"/>
                <w:kern w:val="0"/>
                <w:sz w:val="14"/>
                <w:szCs w:val="14"/>
                <w:lang w:val="en-US" w:eastAsia="el-GR" w:bidi="ar-SA"/>
              </w:rPr>
              <w:t>[Grant SF, 2008; Mejı́a-Benı́tez A, 2013, Albuquerque D</w:t>
            </w:r>
          </w:p>
          <w:p>
            <w:pPr>
              <w:pStyle w:val="Normal"/>
              <w:widowControl/>
              <w:spacing w:before="0" w:after="0"/>
              <w:jc w:val="center"/>
              <w:rPr>
                <w:rFonts w:ascii="Times-Roman" w:hAnsi="Times-Roman" w:eastAsia="Calibri" w:cs="Times-Roman"/>
                <w:color w:val="18191B"/>
                <w:lang w:val="en-US"/>
              </w:rPr>
            </w:pPr>
            <w:r>
              <w:rPr>
                <w:rFonts w:eastAsia="Calibri" w:cs="Times New Roman"/>
                <w:kern w:val="0"/>
                <w:sz w:val="14"/>
                <w:szCs w:val="14"/>
                <w:lang w:val="en-US" w:eastAsia="el-GR" w:bidi="ar-SA"/>
              </w:rPr>
              <w:t>2013; Inandiklioğlu N and Yaşar A, 2021]</w:t>
            </w:r>
          </w:p>
        </w:tc>
      </w:tr>
      <w:tr>
        <w:trPr/>
        <w:tc>
          <w:tcPr>
            <w:tcW w:w="1660" w:type="dxa"/>
            <w:tcBorders/>
            <w:vAlign w:val="center"/>
          </w:tcPr>
          <w:p>
            <w:pPr>
              <w:pStyle w:val="Normal"/>
              <w:widowControl/>
              <w:spacing w:before="0" w:after="0"/>
              <w:jc w:val="left"/>
              <w:rPr>
                <w:rFonts w:eastAsia="Calibri"/>
                <w:sz w:val="15"/>
                <w:szCs w:val="15"/>
                <w:lang w:val="en-US"/>
              </w:rPr>
            </w:pPr>
            <w:r>
              <w:rPr>
                <w:rFonts w:eastAsia="Calibri" w:cs="Times New Roman"/>
                <w:kern w:val="0"/>
                <w:sz w:val="15"/>
                <w:szCs w:val="15"/>
                <w:lang w:val="en-US" w:eastAsia="el-GR" w:bidi="ar-SA"/>
              </w:rPr>
              <w:t>Melanocortin</w:t>
            </w:r>
          </w:p>
          <w:p>
            <w:pPr>
              <w:pStyle w:val="Normal"/>
              <w:widowControl/>
              <w:spacing w:before="0" w:after="0"/>
              <w:jc w:val="left"/>
              <w:rPr>
                <w:rFonts w:eastAsia="Calibri"/>
                <w:sz w:val="15"/>
                <w:szCs w:val="15"/>
                <w:lang w:val="en-US"/>
              </w:rPr>
            </w:pPr>
            <w:r>
              <w:rPr>
                <w:rFonts w:eastAsia="Calibri" w:cs="Times New Roman"/>
                <w:kern w:val="0"/>
                <w:sz w:val="15"/>
                <w:szCs w:val="15"/>
                <w:lang w:val="en-US" w:eastAsia="el-GR" w:bidi="ar-SA"/>
              </w:rPr>
              <w:t>receptor 4</w:t>
            </w:r>
          </w:p>
          <w:p>
            <w:pPr>
              <w:pStyle w:val="Normal"/>
              <w:widowControl/>
              <w:tabs>
                <w:tab w:val="clear" w:pos="720"/>
                <w:tab w:val="left" w:pos="1357" w:leader="none"/>
              </w:tabs>
              <w:spacing w:before="0" w:after="0"/>
              <w:jc w:val="left"/>
              <w:rPr>
                <w:rFonts w:ascii="Times-Roman" w:hAnsi="Times-Roman" w:eastAsia="Calibri" w:cs="Times-Roman"/>
                <w:color w:val="18191B"/>
                <w:sz w:val="15"/>
                <w:szCs w:val="15"/>
                <w:lang w:val="en-US"/>
              </w:rPr>
            </w:pPr>
            <w:r>
              <w:rPr>
                <w:rFonts w:eastAsia="Calibri" w:cs="Times New Roman"/>
                <w:kern w:val="0"/>
                <w:sz w:val="15"/>
                <w:szCs w:val="15"/>
                <w:lang w:val="en-US" w:eastAsia="el-GR" w:bidi="ar-SA"/>
              </w:rPr>
              <w:t>(MC4R)</w:t>
            </w:r>
          </w:p>
        </w:tc>
        <w:tc>
          <w:tcPr>
            <w:tcW w:w="1661" w:type="dxa"/>
            <w:tcBorders/>
            <w:vAlign w:val="center"/>
          </w:tcPr>
          <w:p>
            <w:pPr>
              <w:pStyle w:val="Normal"/>
              <w:widowControl/>
              <w:spacing w:before="0" w:after="0"/>
              <w:jc w:val="left"/>
              <w:rPr>
                <w:rFonts w:eastAsia="Calibri"/>
                <w:sz w:val="15"/>
                <w:szCs w:val="15"/>
                <w:lang w:val="en-US"/>
              </w:rPr>
            </w:pPr>
            <w:r>
              <w:rPr>
                <w:rFonts w:eastAsia="Calibri" w:cs="Times New Roman"/>
                <w:kern w:val="0"/>
                <w:sz w:val="15"/>
                <w:szCs w:val="15"/>
                <w:lang w:val="en-US" w:eastAsia="el-GR" w:bidi="ar-SA"/>
              </w:rPr>
              <w:t>Energy homeostasis, food intake and body</w:t>
            </w:r>
          </w:p>
          <w:p>
            <w:pPr>
              <w:pStyle w:val="Normal"/>
              <w:widowControl/>
              <w:spacing w:before="0" w:after="0"/>
              <w:jc w:val="left"/>
              <w:rPr>
                <w:rFonts w:ascii="Times-Roman" w:hAnsi="Times-Roman" w:eastAsia="Calibri" w:cs="Times-Roman"/>
                <w:color w:val="18191B"/>
                <w:sz w:val="15"/>
                <w:szCs w:val="15"/>
                <w:lang w:val="en-US"/>
              </w:rPr>
            </w:pPr>
            <w:r>
              <w:rPr>
                <w:rFonts w:eastAsia="Calibri" w:cs="Times New Roman"/>
                <w:kern w:val="0"/>
                <w:sz w:val="15"/>
                <w:szCs w:val="15"/>
                <w:lang w:val="en-US" w:eastAsia="el-GR" w:bidi="ar-SA"/>
              </w:rPr>
              <w:t>weight regulator</w:t>
            </w:r>
          </w:p>
        </w:tc>
        <w:tc>
          <w:tcPr>
            <w:tcW w:w="1660" w:type="dxa"/>
            <w:tcBorders/>
            <w:vAlign w:val="center"/>
          </w:tcPr>
          <w:p>
            <w:pPr>
              <w:pStyle w:val="Normal"/>
              <w:widowControl/>
              <w:spacing w:before="0" w:after="0"/>
              <w:jc w:val="left"/>
              <w:rPr>
                <w:rFonts w:ascii="Times-Roman" w:hAnsi="Times-Roman" w:eastAsia="Calibri" w:cs="Times-Roman"/>
                <w:color w:val="18191B"/>
                <w:sz w:val="15"/>
                <w:szCs w:val="15"/>
                <w:lang w:val="en-US"/>
              </w:rPr>
            </w:pPr>
            <w:r>
              <w:rPr>
                <w:rFonts w:eastAsia="Calibri" w:cs="Times New Roman"/>
                <w:kern w:val="0"/>
                <w:sz w:val="15"/>
                <w:szCs w:val="15"/>
                <w:lang w:val="en-US" w:eastAsia="el-GR" w:bidi="ar-SA"/>
              </w:rPr>
              <w:t>rs17782313</w:t>
            </w:r>
          </w:p>
        </w:tc>
        <w:tc>
          <w:tcPr>
            <w:tcW w:w="1661" w:type="dxa"/>
            <w:tcBorders/>
            <w:vAlign w:val="center"/>
          </w:tcPr>
          <w:p>
            <w:pPr>
              <w:pStyle w:val="Normal"/>
              <w:widowControl/>
              <w:spacing w:before="0" w:after="0"/>
              <w:jc w:val="left"/>
              <w:rPr>
                <w:rFonts w:eastAsia="Calibri"/>
                <w:i/>
                <w:i/>
                <w:iCs/>
                <w:sz w:val="14"/>
                <w:szCs w:val="14"/>
                <w:lang w:val="en-US"/>
              </w:rPr>
            </w:pPr>
            <w:r>
              <w:rPr>
                <w:rFonts w:eastAsia="Calibri" w:cs="Times New Roman"/>
                <w:i/>
                <w:iCs/>
                <w:kern w:val="0"/>
                <w:sz w:val="14"/>
                <w:szCs w:val="14"/>
                <w:lang w:val="en-US" w:eastAsia="el-GR" w:bidi="ar-SA"/>
              </w:rPr>
              <w:t>Obesity traits and</w:t>
            </w:r>
          </w:p>
          <w:p>
            <w:pPr>
              <w:pStyle w:val="Normal"/>
              <w:widowControl/>
              <w:spacing w:before="0" w:after="0"/>
              <w:jc w:val="left"/>
              <w:rPr>
                <w:rFonts w:eastAsia="Calibri"/>
                <w:i/>
                <w:i/>
                <w:iCs/>
                <w:sz w:val="14"/>
                <w:szCs w:val="14"/>
                <w:lang w:val="en-US"/>
              </w:rPr>
            </w:pPr>
            <w:r>
              <w:rPr>
                <w:rFonts w:eastAsia="Calibri" w:cs="Times New Roman"/>
                <w:i/>
                <w:iCs/>
                <w:kern w:val="0"/>
                <w:sz w:val="14"/>
                <w:szCs w:val="14"/>
                <w:lang w:val="en-US" w:eastAsia="el-GR" w:bidi="ar-SA"/>
              </w:rPr>
              <w:t>metabolic phenotypes in</w:t>
            </w:r>
          </w:p>
          <w:p>
            <w:pPr>
              <w:pStyle w:val="Normal"/>
              <w:widowControl/>
              <w:spacing w:before="0" w:after="0"/>
              <w:jc w:val="left"/>
              <w:rPr>
                <w:rFonts w:eastAsia="Calibri"/>
                <w:i/>
                <w:i/>
                <w:iCs/>
                <w:sz w:val="14"/>
                <w:szCs w:val="14"/>
                <w:lang w:val="en-US"/>
              </w:rPr>
            </w:pPr>
            <w:r>
              <w:rPr>
                <w:rFonts w:eastAsia="Calibri" w:cs="Times New Roman"/>
                <w:i/>
                <w:iCs/>
                <w:kern w:val="0"/>
                <w:sz w:val="14"/>
                <w:szCs w:val="14"/>
                <w:lang w:val="en-US" w:eastAsia="el-GR" w:bidi="ar-SA"/>
              </w:rPr>
              <w:t>Portuguese school</w:t>
            </w:r>
          </w:p>
          <w:p>
            <w:pPr>
              <w:pStyle w:val="Normal"/>
              <w:widowControl/>
              <w:spacing w:before="0" w:after="0"/>
              <w:jc w:val="left"/>
              <w:rPr>
                <w:rFonts w:ascii="Times-Roman" w:hAnsi="Times-Roman" w:eastAsia="Calibri" w:cs="Times-Roman"/>
                <w:color w:val="18191B"/>
                <w:lang w:val="en-US"/>
              </w:rPr>
            </w:pPr>
            <w:r>
              <w:rPr>
                <w:rFonts w:eastAsia="Calibri" w:cs="Times New Roman"/>
                <w:i/>
                <w:iCs/>
                <w:kern w:val="0"/>
                <w:sz w:val="14"/>
                <w:szCs w:val="14"/>
                <w:lang w:val="en-US" w:eastAsia="el-GR" w:bidi="ar-SA"/>
              </w:rPr>
              <w:t>children</w:t>
            </w:r>
          </w:p>
        </w:tc>
        <w:tc>
          <w:tcPr>
            <w:tcW w:w="1661" w:type="dxa"/>
            <w:tcBorders/>
            <w:vAlign w:val="center"/>
          </w:tcPr>
          <w:p>
            <w:pPr>
              <w:pStyle w:val="Normal"/>
              <w:widowControl/>
              <w:spacing w:before="0" w:after="0"/>
              <w:jc w:val="center"/>
              <w:rPr>
                <w:rFonts w:ascii="Times-Roman" w:hAnsi="Times-Roman" w:eastAsia="Calibri" w:cs="Times-Roman"/>
                <w:color w:val="18191B"/>
                <w:lang w:val="en-US"/>
              </w:rPr>
            </w:pPr>
            <w:r>
              <w:rPr>
                <w:rFonts w:eastAsia="Calibri" w:cs="Times-Roman" w:ascii="Times-Roman" w:hAnsi="Times-Roman"/>
                <w:color w:val="18191B"/>
                <w:kern w:val="0"/>
                <w:lang w:val="en-US" w:eastAsia="el-GR" w:bidi="ar-SA"/>
              </w:rPr>
            </w:r>
          </w:p>
          <w:p>
            <w:pPr>
              <w:pStyle w:val="Normal"/>
              <w:widowControl/>
              <w:spacing w:before="0" w:after="0"/>
              <w:jc w:val="center"/>
              <w:rPr>
                <w:rFonts w:ascii="Times-Roman" w:hAnsi="Times-Roman" w:eastAsia="Calibri" w:cs="Times-Roman"/>
                <w:lang w:val="en-US"/>
              </w:rPr>
            </w:pPr>
            <w:r>
              <w:rPr>
                <w:rFonts w:eastAsia="Calibri" w:cs="Times New Roman"/>
                <w:kern w:val="0"/>
                <w:sz w:val="14"/>
                <w:szCs w:val="14"/>
                <w:lang w:val="en-US" w:eastAsia="el-GR" w:bidi="ar-SA"/>
              </w:rPr>
              <w:t>[Almeida SM, 2018]</w:t>
            </w:r>
          </w:p>
        </w:tc>
      </w:tr>
      <w:tr>
        <w:trPr/>
        <w:tc>
          <w:tcPr>
            <w:tcW w:w="1660" w:type="dxa"/>
            <w:tcBorders/>
            <w:vAlign w:val="center"/>
          </w:tcPr>
          <w:p>
            <w:pPr>
              <w:pStyle w:val="Normal"/>
              <w:widowControl/>
              <w:spacing w:before="0" w:after="0"/>
              <w:jc w:val="left"/>
              <w:rPr>
                <w:rFonts w:eastAsia="Calibri"/>
                <w:sz w:val="15"/>
                <w:szCs w:val="15"/>
                <w:lang w:val="en-US"/>
              </w:rPr>
            </w:pPr>
            <w:r>
              <w:rPr>
                <w:rFonts w:eastAsia="Calibri" w:cs="Times New Roman"/>
                <w:kern w:val="0"/>
                <w:sz w:val="15"/>
                <w:szCs w:val="15"/>
                <w:lang w:val="en-US" w:eastAsia="el-GR" w:bidi="ar-SA"/>
              </w:rPr>
              <w:t>Tumor necrosis</w:t>
            </w:r>
          </w:p>
          <w:p>
            <w:pPr>
              <w:pStyle w:val="Normal"/>
              <w:widowControl/>
              <w:spacing w:before="0" w:after="0"/>
              <w:jc w:val="left"/>
              <w:rPr>
                <w:rFonts w:ascii="Times-Roman" w:hAnsi="Times-Roman" w:eastAsia="Calibri" w:cs="Times-Roman"/>
                <w:color w:val="18191B"/>
                <w:sz w:val="15"/>
                <w:szCs w:val="15"/>
                <w:lang w:val="en-US"/>
              </w:rPr>
            </w:pPr>
            <w:r>
              <w:rPr>
                <w:rFonts w:eastAsia="Calibri" w:cs="Times New Roman"/>
                <w:kern w:val="0"/>
                <w:sz w:val="15"/>
                <w:szCs w:val="15"/>
                <w:lang w:val="en-US" w:eastAsia="el-GR" w:bidi="ar-SA"/>
              </w:rPr>
              <w:t>factor (TNF)-a</w:t>
            </w:r>
          </w:p>
        </w:tc>
        <w:tc>
          <w:tcPr>
            <w:tcW w:w="1661" w:type="dxa"/>
            <w:tcBorders/>
            <w:vAlign w:val="center"/>
          </w:tcPr>
          <w:p>
            <w:pPr>
              <w:pStyle w:val="Normal"/>
              <w:widowControl/>
              <w:spacing w:before="0" w:after="0"/>
              <w:jc w:val="left"/>
              <w:rPr>
                <w:rFonts w:eastAsia="Calibri"/>
                <w:sz w:val="15"/>
                <w:szCs w:val="15"/>
                <w:lang w:val="en-US"/>
              </w:rPr>
            </w:pPr>
            <w:r>
              <w:rPr>
                <w:rFonts w:eastAsia="Calibri" w:cs="Times New Roman"/>
                <w:kern w:val="0"/>
                <w:sz w:val="15"/>
                <w:szCs w:val="15"/>
                <w:lang w:val="en-US" w:eastAsia="el-GR" w:bidi="ar-SA"/>
              </w:rPr>
              <w:t>Pleiotropic cytokine, important mediator of</w:t>
            </w:r>
          </w:p>
          <w:p>
            <w:pPr>
              <w:pStyle w:val="Normal"/>
              <w:widowControl/>
              <w:spacing w:before="0" w:after="0"/>
              <w:jc w:val="left"/>
              <w:rPr>
                <w:rFonts w:ascii="Times-Roman" w:hAnsi="Times-Roman" w:eastAsia="Calibri" w:cs="Times-Roman"/>
                <w:color w:val="18191B"/>
                <w:sz w:val="15"/>
                <w:szCs w:val="15"/>
                <w:lang w:val="en-US"/>
              </w:rPr>
            </w:pPr>
            <w:r>
              <w:rPr>
                <w:rFonts w:eastAsia="Calibri" w:cs="Times New Roman"/>
                <w:kern w:val="0"/>
                <w:sz w:val="15"/>
                <w:szCs w:val="15"/>
                <w:lang w:val="en-US" w:eastAsia="el-GR" w:bidi="ar-SA"/>
              </w:rPr>
              <w:t>inflammation</w:t>
            </w:r>
          </w:p>
        </w:tc>
        <w:tc>
          <w:tcPr>
            <w:tcW w:w="1660" w:type="dxa"/>
            <w:tcBorders/>
            <w:vAlign w:val="center"/>
          </w:tcPr>
          <w:p>
            <w:pPr>
              <w:pStyle w:val="Normal"/>
              <w:widowControl/>
              <w:spacing w:before="0" w:after="0"/>
              <w:jc w:val="left"/>
              <w:rPr>
                <w:rFonts w:ascii="Times-Roman" w:hAnsi="Times-Roman" w:eastAsia="Calibri" w:cs="Times-Roman"/>
                <w:color w:val="18191B"/>
                <w:sz w:val="15"/>
                <w:szCs w:val="15"/>
                <w:lang w:val="en-US"/>
              </w:rPr>
            </w:pPr>
            <w:r>
              <w:rPr>
                <w:rFonts w:eastAsia="Calibri" w:cs="Times New Roman"/>
                <w:kern w:val="0"/>
                <w:sz w:val="15"/>
                <w:szCs w:val="15"/>
                <w:lang w:val="en-US" w:eastAsia="el-GR" w:bidi="ar-SA"/>
              </w:rPr>
              <w:t>rs1800629</w:t>
            </w:r>
          </w:p>
        </w:tc>
        <w:tc>
          <w:tcPr>
            <w:tcW w:w="1661" w:type="dxa"/>
            <w:tcBorders/>
            <w:vAlign w:val="center"/>
          </w:tcPr>
          <w:p>
            <w:pPr>
              <w:pStyle w:val="Normal"/>
              <w:widowControl/>
              <w:spacing w:before="0" w:after="0"/>
              <w:jc w:val="left"/>
              <w:rPr>
                <w:rFonts w:eastAsia="Calibri"/>
                <w:i/>
                <w:i/>
                <w:iCs/>
                <w:sz w:val="14"/>
                <w:szCs w:val="14"/>
                <w:lang w:val="en-US"/>
              </w:rPr>
            </w:pPr>
            <w:r>
              <w:rPr>
                <w:rFonts w:eastAsia="Calibri" w:cs="Times New Roman"/>
                <w:i/>
                <w:iCs/>
                <w:kern w:val="0"/>
                <w:sz w:val="14"/>
                <w:szCs w:val="14"/>
                <w:lang w:val="en-US" w:eastAsia="el-GR" w:bidi="ar-SA"/>
              </w:rPr>
              <w:t>Males Portuguese obese</w:t>
            </w:r>
          </w:p>
          <w:p>
            <w:pPr>
              <w:pStyle w:val="Normal"/>
              <w:widowControl/>
              <w:spacing w:before="0" w:after="0"/>
              <w:jc w:val="left"/>
              <w:rPr>
                <w:rFonts w:eastAsia="Calibri"/>
                <w:i/>
                <w:i/>
                <w:iCs/>
                <w:sz w:val="14"/>
                <w:szCs w:val="14"/>
                <w:lang w:val="en-US"/>
              </w:rPr>
            </w:pPr>
            <w:r>
              <w:rPr>
                <w:rFonts w:eastAsia="Calibri" w:cs="Times New Roman"/>
                <w:i/>
                <w:iCs/>
                <w:kern w:val="0"/>
                <w:sz w:val="14"/>
                <w:szCs w:val="14"/>
                <w:lang w:val="en-US" w:eastAsia="el-GR" w:bidi="ar-SA"/>
              </w:rPr>
              <w:t>adolescents</w:t>
            </w:r>
          </w:p>
          <w:p>
            <w:pPr>
              <w:pStyle w:val="Normal"/>
              <w:widowControl/>
              <w:spacing w:before="0" w:after="0"/>
              <w:jc w:val="left"/>
              <w:rPr>
                <w:rFonts w:eastAsia="Calibri"/>
                <w:i/>
                <w:i/>
                <w:iCs/>
                <w:sz w:val="14"/>
                <w:szCs w:val="14"/>
                <w:lang w:val="en-US"/>
              </w:rPr>
            </w:pPr>
            <w:r>
              <w:rPr>
                <w:rFonts w:eastAsia="Calibri" w:cs="Times New Roman"/>
                <w:i/>
                <w:iCs/>
                <w:kern w:val="0"/>
                <w:sz w:val="14"/>
                <w:szCs w:val="14"/>
                <w:lang w:val="en-US" w:eastAsia="el-GR" w:bidi="ar-SA"/>
              </w:rPr>
              <w:t>Normal weight Romanian</w:t>
            </w:r>
          </w:p>
          <w:p>
            <w:pPr>
              <w:pStyle w:val="Normal"/>
              <w:widowControl/>
              <w:spacing w:before="0" w:after="0"/>
              <w:jc w:val="left"/>
              <w:rPr>
                <w:rFonts w:ascii="Times-Roman" w:hAnsi="Times-Roman" w:eastAsia="Calibri" w:cs="Times-Roman"/>
                <w:color w:val="18191B"/>
                <w:lang w:val="en-US"/>
              </w:rPr>
            </w:pPr>
            <w:r>
              <w:rPr>
                <w:rFonts w:eastAsia="Calibri" w:cs="Times New Roman"/>
                <w:i/>
                <w:iCs/>
                <w:kern w:val="0"/>
                <w:sz w:val="14"/>
                <w:szCs w:val="14"/>
                <w:lang w:val="en-US" w:eastAsia="el-GR" w:bidi="ar-SA"/>
              </w:rPr>
              <w:t>children</w:t>
            </w:r>
          </w:p>
        </w:tc>
        <w:tc>
          <w:tcPr>
            <w:tcW w:w="1661" w:type="dxa"/>
            <w:tcBorders/>
            <w:vAlign w:val="center"/>
          </w:tcPr>
          <w:p>
            <w:pPr>
              <w:pStyle w:val="Normal"/>
              <w:widowControl/>
              <w:spacing w:before="0" w:after="0"/>
              <w:jc w:val="center"/>
              <w:rPr>
                <w:rFonts w:ascii="Times-Roman" w:hAnsi="Times-Roman" w:eastAsia="Calibri" w:cs="Times-Roman"/>
                <w:color w:val="18191B"/>
                <w:lang w:val="en-US"/>
              </w:rPr>
            </w:pPr>
            <w:r>
              <w:rPr>
                <w:rFonts w:eastAsia="Calibri" w:cs="Times-Roman" w:ascii="Times-Roman" w:hAnsi="Times-Roman"/>
                <w:color w:val="18191B"/>
                <w:kern w:val="0"/>
                <w:lang w:val="en-US" w:eastAsia="el-GR" w:bidi="ar-SA"/>
              </w:rPr>
            </w:r>
          </w:p>
          <w:p>
            <w:pPr>
              <w:pStyle w:val="Normal"/>
              <w:widowControl/>
              <w:spacing w:before="0" w:after="0"/>
              <w:jc w:val="center"/>
              <w:rPr>
                <w:rFonts w:eastAsia="Calibri"/>
                <w:sz w:val="14"/>
                <w:szCs w:val="14"/>
                <w:lang w:val="en-US"/>
              </w:rPr>
            </w:pPr>
            <w:r>
              <w:rPr>
                <w:rFonts w:eastAsia="Calibri" w:cs="Times New Roman"/>
                <w:kern w:val="0"/>
                <w:sz w:val="14"/>
                <w:szCs w:val="14"/>
                <w:lang w:val="en-US" w:eastAsia="el-GR" w:bidi="ar-SA"/>
              </w:rPr>
              <w:t>[Nascimento H, 2016;</w:t>
            </w:r>
          </w:p>
          <w:p>
            <w:pPr>
              <w:pStyle w:val="Normal"/>
              <w:widowControl/>
              <w:spacing w:before="0" w:after="0"/>
              <w:jc w:val="center"/>
              <w:rPr>
                <w:rFonts w:ascii="Times-Roman" w:hAnsi="Times-Roman" w:eastAsia="Calibri" w:cs="Times-Roman"/>
                <w:lang w:val="en-US"/>
              </w:rPr>
            </w:pPr>
            <w:r>
              <w:rPr>
                <w:rFonts w:eastAsia="Calibri" w:cs="Times New Roman"/>
                <w:kern w:val="0"/>
                <w:sz w:val="14"/>
                <w:szCs w:val="14"/>
                <w:lang w:val="en-US" w:eastAsia="el-GR" w:bidi="ar-SA"/>
              </w:rPr>
              <w:t>Mărginean CO, 2019].</w:t>
            </w:r>
          </w:p>
        </w:tc>
      </w:tr>
      <w:tr>
        <w:trPr/>
        <w:tc>
          <w:tcPr>
            <w:tcW w:w="1660" w:type="dxa"/>
            <w:tcBorders/>
            <w:vAlign w:val="center"/>
          </w:tcPr>
          <w:p>
            <w:pPr>
              <w:pStyle w:val="Normal"/>
              <w:widowControl/>
              <w:spacing w:before="0" w:after="0"/>
              <w:jc w:val="left"/>
              <w:rPr>
                <w:rFonts w:eastAsia="Calibri"/>
                <w:sz w:val="15"/>
                <w:szCs w:val="15"/>
                <w:lang w:val="en-US"/>
              </w:rPr>
            </w:pPr>
            <w:r>
              <w:rPr>
                <w:rFonts w:eastAsia="Calibri" w:cs="Times New Roman"/>
                <w:kern w:val="0"/>
                <w:sz w:val="15"/>
                <w:szCs w:val="15"/>
                <w:lang w:val="en-US" w:eastAsia="el-GR" w:bidi="ar-SA"/>
              </w:rPr>
              <w:t>Interleukin</w:t>
            </w:r>
          </w:p>
          <w:p>
            <w:pPr>
              <w:pStyle w:val="Normal"/>
              <w:widowControl/>
              <w:spacing w:before="0" w:after="0"/>
              <w:jc w:val="left"/>
              <w:rPr>
                <w:rFonts w:ascii="Times-Roman" w:hAnsi="Times-Roman" w:eastAsia="Calibri" w:cs="Times-Roman"/>
                <w:color w:val="18191B"/>
                <w:sz w:val="15"/>
                <w:szCs w:val="15"/>
                <w:lang w:val="en-US"/>
              </w:rPr>
            </w:pPr>
            <w:r>
              <w:rPr>
                <w:rFonts w:eastAsia="Calibri" w:cs="Times New Roman"/>
                <w:kern w:val="0"/>
                <w:sz w:val="15"/>
                <w:szCs w:val="15"/>
                <w:lang w:val="en-US" w:eastAsia="el-GR" w:bidi="ar-SA"/>
              </w:rPr>
              <w:t>(IL)-6</w:t>
            </w:r>
          </w:p>
        </w:tc>
        <w:tc>
          <w:tcPr>
            <w:tcW w:w="1661" w:type="dxa"/>
            <w:tcBorders/>
            <w:vAlign w:val="center"/>
          </w:tcPr>
          <w:p>
            <w:pPr>
              <w:pStyle w:val="Normal"/>
              <w:widowControl/>
              <w:spacing w:before="0" w:after="0"/>
              <w:jc w:val="left"/>
              <w:rPr>
                <w:rFonts w:eastAsia="Calibri"/>
                <w:sz w:val="15"/>
                <w:szCs w:val="15"/>
                <w:lang w:val="en-US"/>
              </w:rPr>
            </w:pPr>
            <w:r>
              <w:rPr>
                <w:rFonts w:eastAsia="Calibri" w:cs="Times New Roman"/>
                <w:kern w:val="0"/>
                <w:sz w:val="15"/>
                <w:szCs w:val="15"/>
                <w:lang w:val="en-US" w:eastAsia="el-GR" w:bidi="ar-SA"/>
              </w:rPr>
              <w:t>Pleiotropic cytokine important in regulating</w:t>
            </w:r>
          </w:p>
          <w:p>
            <w:pPr>
              <w:pStyle w:val="Normal"/>
              <w:widowControl/>
              <w:spacing w:before="0" w:after="0"/>
              <w:jc w:val="left"/>
              <w:rPr>
                <w:rFonts w:ascii="Times-Roman" w:hAnsi="Times-Roman" w:eastAsia="Calibri" w:cs="Times-Roman"/>
                <w:color w:val="18191B"/>
                <w:sz w:val="15"/>
                <w:szCs w:val="15"/>
                <w:lang w:val="en-US"/>
              </w:rPr>
            </w:pPr>
            <w:r>
              <w:rPr>
                <w:rFonts w:eastAsia="Calibri" w:cs="Times New Roman"/>
                <w:kern w:val="0"/>
                <w:sz w:val="15"/>
                <w:szCs w:val="15"/>
                <w:lang w:val="en-US" w:eastAsia="el-GR" w:bidi="ar-SA"/>
              </w:rPr>
              <w:t>immunological and inflammatory responses</w:t>
            </w:r>
          </w:p>
        </w:tc>
        <w:tc>
          <w:tcPr>
            <w:tcW w:w="1660" w:type="dxa"/>
            <w:tcBorders/>
            <w:vAlign w:val="center"/>
          </w:tcPr>
          <w:p>
            <w:pPr>
              <w:pStyle w:val="Normal"/>
              <w:widowControl/>
              <w:spacing w:before="0" w:after="0"/>
              <w:jc w:val="left"/>
              <w:rPr>
                <w:rFonts w:ascii="Times-Roman" w:hAnsi="Times-Roman" w:eastAsia="Calibri" w:cs="Times-Roman"/>
                <w:color w:val="18191B"/>
                <w:sz w:val="15"/>
                <w:szCs w:val="15"/>
                <w:lang w:val="en-US"/>
              </w:rPr>
            </w:pPr>
            <w:r>
              <w:rPr>
                <w:rFonts w:eastAsia="Calibri" w:cs="Times New Roman"/>
                <w:kern w:val="0"/>
                <w:sz w:val="15"/>
                <w:szCs w:val="15"/>
                <w:lang w:val="en-US" w:eastAsia="el-GR" w:bidi="ar-SA"/>
              </w:rPr>
              <w:t>rs1800795</w:t>
            </w:r>
          </w:p>
        </w:tc>
        <w:tc>
          <w:tcPr>
            <w:tcW w:w="1661" w:type="dxa"/>
            <w:tcBorders/>
            <w:vAlign w:val="center"/>
          </w:tcPr>
          <w:p>
            <w:pPr>
              <w:pStyle w:val="Normal"/>
              <w:widowControl/>
              <w:spacing w:before="0" w:after="0"/>
              <w:jc w:val="left"/>
              <w:rPr>
                <w:rFonts w:eastAsia="Calibri"/>
                <w:i/>
                <w:i/>
                <w:iCs/>
                <w:sz w:val="14"/>
                <w:szCs w:val="14"/>
                <w:lang w:val="en-US"/>
              </w:rPr>
            </w:pPr>
            <w:r>
              <w:rPr>
                <w:rFonts w:eastAsia="Calibri" w:cs="Times New Roman"/>
                <w:i/>
                <w:iCs/>
                <w:kern w:val="0"/>
                <w:sz w:val="14"/>
                <w:szCs w:val="14"/>
                <w:lang w:val="en-US" w:eastAsia="el-GR" w:bidi="ar-SA"/>
              </w:rPr>
              <w:t>Obesity in Egyptian</w:t>
            </w:r>
          </w:p>
          <w:p>
            <w:pPr>
              <w:pStyle w:val="Normal"/>
              <w:widowControl/>
              <w:spacing w:before="0" w:after="0"/>
              <w:jc w:val="left"/>
              <w:rPr>
                <w:rFonts w:ascii="Times-Roman" w:hAnsi="Times-Roman" w:eastAsia="Calibri" w:cs="Times-Roman"/>
                <w:color w:val="18191B"/>
                <w:lang w:val="en-US"/>
              </w:rPr>
            </w:pPr>
            <w:r>
              <w:rPr>
                <w:rFonts w:eastAsia="Calibri" w:cs="Times New Roman"/>
                <w:i/>
                <w:iCs/>
                <w:kern w:val="0"/>
                <w:sz w:val="14"/>
                <w:szCs w:val="14"/>
                <w:lang w:val="en-US" w:eastAsia="el-GR" w:bidi="ar-SA"/>
              </w:rPr>
              <w:t>children</w:t>
            </w:r>
          </w:p>
        </w:tc>
        <w:tc>
          <w:tcPr>
            <w:tcW w:w="1661" w:type="dxa"/>
            <w:tcBorders/>
            <w:vAlign w:val="center"/>
          </w:tcPr>
          <w:p>
            <w:pPr>
              <w:pStyle w:val="Normal"/>
              <w:widowControl/>
              <w:spacing w:before="0" w:after="0"/>
              <w:jc w:val="center"/>
              <w:rPr>
                <w:rFonts w:ascii="Times-Roman" w:hAnsi="Times-Roman" w:eastAsia="Calibri" w:cs="Times-Roman"/>
                <w:color w:val="18191B"/>
                <w:lang w:val="en-US"/>
              </w:rPr>
            </w:pPr>
            <w:r>
              <w:rPr>
                <w:rFonts w:eastAsia="Calibri" w:cs="Times New Roman"/>
                <w:kern w:val="0"/>
                <w:sz w:val="14"/>
                <w:szCs w:val="14"/>
                <w:lang w:val="en-US" w:eastAsia="el-GR" w:bidi="ar-SA"/>
              </w:rPr>
              <w:t>[Ibrahim OM, 2017]</w:t>
            </w:r>
          </w:p>
        </w:tc>
      </w:tr>
      <w:tr>
        <w:trPr/>
        <w:tc>
          <w:tcPr>
            <w:tcW w:w="1660" w:type="dxa"/>
            <w:tcBorders/>
            <w:vAlign w:val="center"/>
          </w:tcPr>
          <w:p>
            <w:pPr>
              <w:pStyle w:val="Normal"/>
              <w:widowControl/>
              <w:spacing w:before="0" w:after="0"/>
              <w:jc w:val="left"/>
              <w:rPr>
                <w:rFonts w:eastAsia="Calibri"/>
                <w:sz w:val="15"/>
                <w:szCs w:val="15"/>
                <w:lang w:val="en-US"/>
              </w:rPr>
            </w:pPr>
            <w:r>
              <w:rPr>
                <w:rFonts w:eastAsia="Calibri" w:cs="Times New Roman"/>
                <w:kern w:val="0"/>
                <w:sz w:val="15"/>
                <w:szCs w:val="15"/>
                <w:lang w:val="en-US" w:eastAsia="el-GR" w:bidi="ar-SA"/>
              </w:rPr>
              <w:t>Long</w:t>
            </w:r>
          </w:p>
          <w:p>
            <w:pPr>
              <w:pStyle w:val="Normal"/>
              <w:widowControl/>
              <w:spacing w:before="0" w:after="0"/>
              <w:jc w:val="left"/>
              <w:rPr>
                <w:rFonts w:eastAsia="Calibri"/>
                <w:sz w:val="15"/>
                <w:szCs w:val="15"/>
                <w:lang w:val="en-US"/>
              </w:rPr>
            </w:pPr>
            <w:r>
              <w:rPr>
                <w:rFonts w:eastAsia="Calibri" w:cs="Times New Roman"/>
                <w:kern w:val="0"/>
                <w:sz w:val="15"/>
                <w:szCs w:val="15"/>
                <w:lang w:val="en-US" w:eastAsia="el-GR" w:bidi="ar-SA"/>
              </w:rPr>
              <w:t>noncoding</w:t>
            </w:r>
          </w:p>
          <w:p>
            <w:pPr>
              <w:pStyle w:val="Normal"/>
              <w:widowControl/>
              <w:spacing w:before="0" w:after="0"/>
              <w:jc w:val="left"/>
              <w:rPr>
                <w:rFonts w:ascii="Times-Roman" w:hAnsi="Times-Roman" w:eastAsia="Calibri" w:cs="Times-Roman"/>
                <w:color w:val="18191B"/>
                <w:sz w:val="15"/>
                <w:szCs w:val="15"/>
                <w:lang w:val="en-US"/>
              </w:rPr>
            </w:pPr>
            <w:r>
              <w:rPr>
                <w:rFonts w:eastAsia="Calibri" w:cs="Times New Roman"/>
                <w:kern w:val="0"/>
                <w:sz w:val="15"/>
                <w:szCs w:val="15"/>
                <w:lang w:val="en-US" w:eastAsia="el-GR" w:bidi="ar-SA"/>
              </w:rPr>
              <w:t>(LncOb) RNA</w:t>
            </w:r>
          </w:p>
        </w:tc>
        <w:tc>
          <w:tcPr>
            <w:tcW w:w="1661" w:type="dxa"/>
            <w:tcBorders/>
            <w:vAlign w:val="center"/>
          </w:tcPr>
          <w:p>
            <w:pPr>
              <w:pStyle w:val="Normal"/>
              <w:widowControl/>
              <w:spacing w:before="0" w:after="0"/>
              <w:jc w:val="left"/>
              <w:rPr>
                <w:rFonts w:ascii="Times-Roman" w:hAnsi="Times-Roman" w:eastAsia="Calibri" w:cs="Times-Roman"/>
                <w:color w:val="18191B"/>
                <w:sz w:val="15"/>
                <w:szCs w:val="15"/>
                <w:lang w:val="en-US"/>
              </w:rPr>
            </w:pPr>
            <w:r>
              <w:rPr>
                <w:rFonts w:eastAsia="Calibri" w:cs="Times New Roman"/>
                <w:kern w:val="0"/>
                <w:sz w:val="15"/>
                <w:szCs w:val="15"/>
                <w:lang w:val="en-US" w:eastAsia="el-GR" w:bidi="ar-SA"/>
              </w:rPr>
              <w:t>Regulator of white adipogenesis</w:t>
            </w:r>
          </w:p>
        </w:tc>
        <w:tc>
          <w:tcPr>
            <w:tcW w:w="1660" w:type="dxa"/>
            <w:tcBorders/>
            <w:vAlign w:val="center"/>
          </w:tcPr>
          <w:p>
            <w:pPr>
              <w:pStyle w:val="Normal"/>
              <w:widowControl/>
              <w:spacing w:before="0" w:after="0"/>
              <w:jc w:val="left"/>
              <w:rPr>
                <w:rFonts w:ascii="Times-Roman" w:hAnsi="Times-Roman" w:eastAsia="Calibri" w:cs="Times-Roman"/>
                <w:color w:val="18191B"/>
                <w:sz w:val="15"/>
                <w:szCs w:val="15"/>
                <w:lang w:val="en-US"/>
              </w:rPr>
            </w:pPr>
            <w:r>
              <w:rPr>
                <w:rFonts w:eastAsia="Calibri" w:cs="Times New Roman"/>
                <w:kern w:val="0"/>
                <w:sz w:val="15"/>
                <w:szCs w:val="15"/>
                <w:lang w:val="en-US" w:eastAsia="el-GR" w:bidi="ar-SA"/>
              </w:rPr>
              <w:t>rs10487505</w:t>
            </w:r>
          </w:p>
        </w:tc>
        <w:tc>
          <w:tcPr>
            <w:tcW w:w="1661" w:type="dxa"/>
            <w:tcBorders/>
            <w:vAlign w:val="center"/>
          </w:tcPr>
          <w:p>
            <w:pPr>
              <w:pStyle w:val="Normal"/>
              <w:widowControl/>
              <w:spacing w:before="0" w:after="0"/>
              <w:jc w:val="left"/>
              <w:rPr>
                <w:rFonts w:eastAsia="Calibri"/>
                <w:i/>
                <w:i/>
                <w:iCs/>
                <w:sz w:val="14"/>
                <w:szCs w:val="14"/>
                <w:lang w:val="en-US"/>
              </w:rPr>
            </w:pPr>
            <w:r>
              <w:rPr>
                <w:rFonts w:eastAsia="Calibri" w:cs="Times New Roman"/>
                <w:i/>
                <w:iCs/>
                <w:kern w:val="0"/>
                <w:sz w:val="14"/>
                <w:szCs w:val="14"/>
                <w:lang w:val="en-US" w:eastAsia="el-GR" w:bidi="ar-SA"/>
              </w:rPr>
              <w:t>BMI and leptin levels in</w:t>
            </w:r>
          </w:p>
          <w:p>
            <w:pPr>
              <w:pStyle w:val="Normal"/>
              <w:widowControl/>
              <w:spacing w:before="0" w:after="0"/>
              <w:jc w:val="left"/>
              <w:rPr>
                <w:rFonts w:ascii="Times-Roman" w:hAnsi="Times-Roman" w:eastAsia="Calibri" w:cs="Times-Roman"/>
                <w:color w:val="18191B"/>
                <w:lang w:val="en-US"/>
              </w:rPr>
            </w:pPr>
            <w:r>
              <w:rPr>
                <w:rFonts w:eastAsia="Calibri" w:cs="Times New Roman"/>
                <w:i/>
                <w:iCs/>
                <w:kern w:val="0"/>
                <w:sz w:val="14"/>
                <w:szCs w:val="14"/>
                <w:lang w:val="en-US" w:eastAsia="el-GR" w:bidi="ar-SA"/>
              </w:rPr>
              <w:t>Italian children</w:t>
            </w:r>
          </w:p>
        </w:tc>
        <w:tc>
          <w:tcPr>
            <w:tcW w:w="1661" w:type="dxa"/>
            <w:tcBorders/>
            <w:vAlign w:val="center"/>
          </w:tcPr>
          <w:p>
            <w:pPr>
              <w:pStyle w:val="Normal"/>
              <w:widowControl/>
              <w:spacing w:before="0" w:after="0"/>
              <w:jc w:val="center"/>
              <w:rPr>
                <w:rFonts w:ascii="Times-Roman" w:hAnsi="Times-Roman" w:eastAsia="Calibri" w:cs="Times-Roman"/>
                <w:color w:val="18191B"/>
                <w:lang w:val="en-US"/>
              </w:rPr>
            </w:pPr>
            <w:r>
              <w:rPr>
                <w:rFonts w:eastAsia="Calibri" w:cs="Times New Roman"/>
                <w:kern w:val="0"/>
                <w:sz w:val="14"/>
                <w:szCs w:val="14"/>
                <w:lang w:val="en-US" w:eastAsia="el-GR" w:bidi="ar-SA"/>
              </w:rPr>
              <w:t>[Manco M, 2022]</w:t>
            </w:r>
          </w:p>
        </w:tc>
      </w:tr>
    </w:tbl>
    <w:p>
      <w:pPr>
        <w:pStyle w:val="Normal"/>
        <w:jc w:val="both"/>
        <w:rPr>
          <w:rFonts w:ascii="Times-Roman" w:hAnsi="Times-Roman" w:eastAsia="Calibri" w:cs="Times-Roman"/>
          <w:color w:val="18191B"/>
          <w:lang w:val="en-US"/>
        </w:rPr>
      </w:pPr>
      <w:r>
        <w:rPr>
          <w:rFonts w:eastAsia="Calibri" w:cs="Times-Roman" w:ascii="Times-Roman" w:hAnsi="Times-Roman"/>
          <w:color w:val="18191B"/>
          <w:lang w:val="en-US"/>
        </w:rPr>
      </w:r>
    </w:p>
    <w:p>
      <w:pPr>
        <w:pStyle w:val="Normal"/>
        <w:spacing w:lineRule="auto" w:line="360"/>
        <w:jc w:val="both"/>
        <w:rPr>
          <w:rFonts w:ascii="Times-Roman" w:hAnsi="Times-Roman" w:eastAsia="Calibri" w:cs="Times-Roman"/>
          <w:color w:val="18191B"/>
        </w:rPr>
      </w:pPr>
      <w:r>
        <w:rPr>
          <w:rFonts w:eastAsia="Calibri" w:cs="Times-Roman" w:ascii="Times-Roman" w:hAnsi="Times-Roman"/>
          <w:color w:val="18191B"/>
          <w:lang w:val="en-US"/>
        </w:rPr>
        <w:tab/>
      </w:r>
      <w:r>
        <w:rPr>
          <w:rFonts w:eastAsia="Calibri" w:cs="Times-Roman" w:ascii="Times-Roman" w:hAnsi="Times-Roman"/>
          <w:color w:val="18191B"/>
        </w:rPr>
        <w:t xml:space="preserve">Μεταξύ των γενετικών παραλλαγών που σχετίζονται με την παχυσαρκία, αυτές που βρίσκονται σε γονιδιακός τόπους που σχετίζονται με τη μάζα λίπους και την παχυσαρκία (FTO), ήταν οι πρώτες που έδειξαν ισχυρή συσχέτιση με το ΔΜΣ. Το FTO γονίδιο, που εκφράζεται στον υποθάλαμο, βρίσκεται στο χρωμόσωμα 16 και κωδικοποιεί ένα ένζυμο απομεθυλίωσης που εμπλέκεται στον έλεγχο της ενεργειακής ομοιόστασης, της πρόσληψης τροφής και των ενεργειακών δαπανών </w:t>
      </w:r>
      <w:r>
        <w:fldChar w:fldCharType="begin"/>
      </w:r>
      <w:r>
        <w:rPr>
          <w:rFonts w:eastAsia="Calibri" w:cs="Times-Roman" w:ascii="Times-Roman" w:hAnsi="Times-Roman"/>
          <w:color w:val="18191B"/>
        </w:rPr>
        <w:instrText xml:space="preserve">ADDIN ZOTERO_ITEM CSL_CITATION {"citationID":"vNcZ3gZr","properties":{"formattedCitation":"[54]","plainCitation":"[54]","noteIndex":0},"citationItems":[{"id":2425,"uris":["http://zotero.org/users/local/WDVvZTBM/items/ANNDCRDK"],"itemData":{"id":2425,"type":"article-journal","abstract":"Sedentary lifestyle and consumption of high-calorie foods have caused a relentless increase of overweight and obesity prevalence at all ages. Its presently epidemic proportion is disquieting due to the tight relationship of obesity with metabolic syndrome and several other comorbidities which do call for urgent workarounds. The usual ineffectiveness of present therapies and failure of prevention campaigns triggered overtime a number of research studies which have unveiled some relevant aspects of obesity genetic and epigenetic inheritable profiles. These findings are revealing extremely precious mainly to serve as a likely extra arrow to allow the clinician’s bow to achieve still hitherto unmet preventive goals. Evidence now exists that maternal obesity/overnutrition during pregnancy and lactation convincingly appears associated with several disorders in the offspring independently of the transmission of a purely genetic predisposition. Even the pre-conception direct exposure of either father or mother gametes to environmental factors can reprogram the epigenetic architecture of cells. Such phenomena lie behind the transfer of the obesity susceptibility to future generations through a mechanism of epigenetic inheritance. Moreover, a growing number of studies suggests that several environmental factors such as maternal malnutrition, hypoxia, and exposure to excess hormones and endocrine disruptors during pregnancy and the early postnatal period may play critical roles in programming childhood adipose tissue and obesity. A deeper understanding of how inherited genetics and epigenetics may generate an obesogenic environment at pediatric age might strengthen our knowledge about pathogenetic mechanisms and improve the clinical management of patients. Therefore, in this narrative review, we attempt to provide a general overview of the contribution of heritable genetic and epigenetic patterns to the obesity susceptibility in children, placing a particular emphasis on the mother-child dyad.","container-title":"Frontiers in Endocrinology","DOI":"10.3389/fendo.2022.1006008","ISSN":"1664-2392","journalAbbreviation":"Front. Endocrinol.","language":"en","page":"1006008","source":"DOI.org (Crossref)","title":"Genetics, epigenetics and transgenerational transmission of obesity in children","volume":"13","author":[{"family":"Panera","given":"Nadia"},{"family":"Mandato","given":"Claudia"},{"family":"Crudele","given":"Annalisa"},{"family":"Bertrando","given":"Sara"},{"family":"Vajro","given":"Pietro"},{"family":"Alisi","given":"Anna"}],"issued":{"date-parts":[["2022",11,14]]}}}],"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[54]</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Συγκεκριμένα, δύο μελέτες έδειξαν ότι οι παραλλαγές rs9939609 και rs9930506 στο πρώτο εσώνιο του γονιδίου FTO σχετίζονται σημαντικά με το ΔΜΣ, υποδηλώνοντας έτσι ότι η παρουσία αυτών των παραλλαγών μπορεί να αυξήσει τον κίνδυνο παχυσαρκίας τόσο σε ενήλικες όσο και σε παιδιά </w:t>
      </w:r>
      <w:r>
        <w:fldChar w:fldCharType="begin"/>
      </w:r>
      <w:r>
        <w:rPr>
          <w:rFonts w:eastAsia="Calibri" w:cs="Times-Roman" w:ascii="Times-Roman" w:hAnsi="Times-Roman"/>
          <w:color w:val="18191B"/>
        </w:rPr>
        <w:instrText xml:space="preserve">ADDIN ZOTERO_ITEM CSL_CITATION {"citationID":"zFtqZBCr","properties":{"formattedCitation":"[101], [102]","plainCitation":"[101], [102]","noteIndex":0},"citationItems":[{"id":2992,"uris":["http://zotero.org/users/local/WDVvZTBM/items/BIEPT7J9"],"itemData":{"id":2992,"type":"article-journal","abstract":"Obesity is a serious international health problem that increases the risk of several common diseases. The genetic factors predisposing to obesity are poorly understood. A genome-wide search for type 2 diabetes-susceptibility genes identified a common variant in the FTO (fat mass and obesity associat …","container-title":"Science (New York, N.Y.)","DOI":"10.1126/science.1141634","ISSN":"1095-9203","issue":"5826","language":"en","note":"publisher: Science\nPMID: 17434869","source":"pubmed.ncbi.nlm.nih.gov","title":"A common variant in the FTO gene is associated with body mass index and predisposes to childhood and adult obesity","URL":"https://pubmed.ncbi.nlm.nih.gov/17434869/","volume":"316","author":[{"family":"Tm","given":"Frayling"},{"family":"Nj","given":"Timpson"},{"family":"Mn","given":"Weedon"},{"family":"E","given":"Zeggini"},{"family":"Rm","given":"Freathy"},{"family":"Cm","given":"Lindgren"},{"family":"Jr","given":"Perry"},{"family":"Ks","given":"Elliott"},{"family":"H","given":"Lango"},{"family":"Nw","given":"Rayner"},{"family":"B","given":"Shields"},{"family":"Lw","given":"Harries"},{"family":"Jc","given":"Barrett"},{"family":"S","given":"Ellard"},{"family":"Cj","given":"Groves"},{"family":"B","given":"Knight"},{"family":"Am","given":"Patch"},{"family":"Ar","given":"Ness"},{"family":"S","given":"Ebrahim"},{"family":"Da","given":"Lawlor"},{"family":"Sm","given":"Ring"},{"family":"Y","given":"Ben-Shlomo"},{"family":"Mr","given":"Jarvelin"},{"family":"U","given":"Sovio"},{"family":"Aj","given":"Bennett"},{"family":"D","given":"Melzer"},{"family":"L","given":"Ferrucci"},{"family":"Rj","given":"Loos"},{"family":"I","given":"Barroso"},{"family":"Nj","given":"Wareham"},{"family":"F","given":"Karpe"},{"family":"Kr","given":"Owen"},{"family":"Lr","given":"Cardon"},{"family":"M","given":"Walker"},{"family":"Ga","given":"Hitman"},{"family":"Cn","given":"Palmer"},{"family":"As","given":"Doney"},{"family":"Ad","given":"Morris"},{"family":"Gd","given":"Smith"},{"family":"At","given":"Hattersley"},{"family":"Mi","given":"McCarthy"}],"accessed":{"date-parts":[["2023",11,19]]},"issued":{"date-parts":[["2007",11,5]]}}},{"id":2994,"uris":["http://zotero.org/users/local/WDVvZTBM/items/G5Q4L4G6"],"itemData":{"id":2994,"type":"article-journal","abstract":"The obesity epidemic is responsible for a substantial economic burden in developed countries and is a major risk factor for type 2 diabetes and cardiovascular disease. The disease is the result not only of several environmental risk factors, but also of genetic predisposition. To take advantage of r …","container-title":"PLoS genetics","DOI":"10.1371/journal.pgen.0030115","ISSN":"1553-7404","issue":"7","language":"en","note":"publisher: PLoS Genet\nPMID: 17658951","source":"pubmed.ncbi.nlm.nih.gov","title":"Genome-wide association scan shows genetic variants in the FTO gene are associated with obesity-related traits","URL":"https://pubmed.ncbi.nlm.nih.gov/17658951/","volume":"3","author":[{"family":"A","given":"Scuteri"},{"family":"S","given":"Sanna"},{"family":"Wm","given":"Chen"},{"family":"M","given":"Uda"},{"family":"G","given":"Albai"},{"family":"J","given":"Strait"},{"family":"S","given":"Najjar"},{"family":"R","given":"Nagaraja"},{"family":"M","given":"Orrú"},{"family":"G","given":"Usala"},{"family":"M","given":"Dei"},{"family":"S","given":"Lai"},{"family":"A","given":"Maschio"},{"family":"F","given":"Busonero"},{"family":"A","given":"Mulas"},{"family":"Gb","given":"Ehret"},{"family":"Aa","given":"Fink"},{"family":"Ab","given":"Weder"},{"family":"Rs","given":"Cooper"},{"family":"P","given":"Galan"},{"family":"A","given":"Chakravarti"},{"family":"D","given":"Schlessinger"},{"family":"A","given":"Cao"},{"family":"E","given":"Lakatta"},{"family":"Gr","given":"Abecasis"}],"accessed":{"date-parts":[["2023",11,19]]},"issued":{"date-parts":[["2007",7]]}}}],"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[101], [102]</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Αντίστοιχα, η παραλλαγή rs9939609 βρέθηκε να σχετίζεται με αυξημένο λίπος, μάζα και ΔΜΣ σε παιδιά της Σκωτίας </w:t>
      </w:r>
      <w:r>
        <w:fldChar w:fldCharType="begin"/>
      </w:r>
      <w:r>
        <w:rPr>
          <w:rFonts w:eastAsia="Calibri" w:cs="Times-Roman" w:ascii="Times-Roman" w:hAnsi="Times-Roman"/>
          <w:color w:val="18191B"/>
        </w:rPr>
        <w:instrText xml:space="preserve">ADDIN ZOTERO_ITEM CSL_CITATION {"citationID":"WQZsOJmq","properties":{"formattedCitation":"[103]","plainCitation":"[103]","noteIndex":0},"citationItems":[{"id":2998,"uris":["http://zotero.org/users/local/WDVvZTBM/items/XZT3AE7T"],"itemData":{"id":2998,"type":"article-journal","abstract":"The FTO variant that confers a predisposition to obesity does not appear to be involved in the regulation of energy expenditure but may have a role in the control of food intake and food choice, suggesting a link to a hyperphagic phenotype or a preference for energy-dense foods.","container-title":"The New England journal of medicine","DOI":"10.1056/NEJMoa0803839","ISSN":"1533-4406","issue":"24","language":"en","note":"publisher: N Engl J Med\nPMID: 19073975","source":"pubmed.ncbi.nlm.nih.gov","title":"An obesity-associated FTO gene variant and increased energy intake in children","URL":"https://pubmed.ncbi.nlm.nih.gov/19073975/","volume":"359","author":[{"family":"Je","given":"Cecil"},{"family":"R","given":"Tavendale"},{"family":"P","given":"Watt"},{"family":"Mm","given":"Hetherington"},{"family":"Cn","given":"Palmer"}],"accessed":{"date-parts":[["2023",11,19]]},"issued":{"date-parts":[["2008",11,12]]}}}],"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[103]</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και στον φαινότυπο της παχυσαρκίας σε παιδιά από την Ολλανδία </w:t>
      </w:r>
      <w:r>
        <w:fldChar w:fldCharType="begin"/>
      </w:r>
      <w:r>
        <w:rPr>
          <w:rFonts w:eastAsia="Calibri" w:cs="Times-Roman" w:ascii="Times-Roman" w:hAnsi="Times-Roman"/>
          <w:color w:val="18191B"/>
        </w:rPr>
        <w:instrText xml:space="preserve">ADDIN ZOTERO_ITEM CSL_CITATION {"citationID":"EBUQJqtc","properties":{"formattedCitation":"[104]","plainCitation":"[104]","noteIndex":0},"citationItems":[{"id":3001,"uris":["http://zotero.org/users/local/WDVvZTBM/items/TMIJH6T4"],"itemData":{"id":3001,"type":"article-journal","abstract":"BACKGROUND: The influence of single nucleotide polymorphisms (SNP) of the FTO gene has been shown to change over time.\nOBJECTIVE: The aim was to investigate the relationship between a SNP of the FTO gene (rs9939609) and obesity-related characteristics longitudinally during childhood and puberty.\nDESIGN: From 101 children (58 boys and 43 girls), the FTO (rs9939609) genotype and yearly anthropometric data from birth to age 7 yr were determined. From ages 12 to 17 yr, we measured anthropometry, body composition, leptin concentrations, physical activity, hours watching television, and attitude toward eating yearly; parental characteristics were determined as well.\nRESULTS: At age 17 yr, 20% of the children were overweight/obese, and 88% of the overweight/obese children had the A allele in contrast to 45% of the lean children (P &lt; 0.001). The A allele carriers had a higher fat mass index (kilograms per square meter) and higher leptin concentrations (micrograms per liter) during puberty, except at age 14 yr. Multiple regression analyses with body mass index (BMI; kilograms per square meter) as the dependent variable showed that at ages 12 and 17 yr, dietary restraint score, disinhibition score, BMI of the mother, and the FTO A allele significantly contributed to the model (R(2) = 0.29, P &lt; 0.002; and R(2) = 0.39, P &lt; 0.001). At age 14 yr, dietary restraint score, disinhibition score, and leptin concentrations per kilogram of fat mass significantly contributed to the model (R(2) = 0.25; P &lt; 0.02).\nCONCLUSION: The FTO A allele (rs9939609) is associated with higher BMI, fat mass index, and leptin concentrations from the age of 12 yr, whereas the associations show a dip at ages 13-14 yr and become stronger at age 17 yr. The dip is presumably caused by the dominating endocrinological changes at midpuberty.","container-title":"The Journal of Clinical Endocrinology and Metabolism","DOI":"10.1210/jc.2010-2413","ISSN":"1945-7197","issue":"6","journalAbbreviation":"J Clin Endocrinol Metab","language":"eng","note":"PMID: 21411553","page":"E939-942","source":"PubMed","title":"Associations between a single nucleotide polymorphism of the FTO Gene (rs9939609) and obesity-related characteristics over time during puberty in a Dutch children cohort","volume":"96","author":[{"family":"Rutters","given":"Femke"},{"family":"Nieuwenhuizen","given":"Arie G."},{"family":"Bouwman","given":"Freek"},{"family":"Mariman","given":"Edwin"},{"family":"Westerterp-Plantenga","given":"Margriet S."}],"issued":{"date-parts":[["2011",6]]}}}],"schema":"https://github.com/citation-style-language/schema/raw/master/csl-citation.json"}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[104]</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Μια περαιτέρω μελέτη ανέφερε ότι το αλληλόμορφο rs9939609 μπορεί να προδιαθέτει τον κίνδυνο παιδικής παχυσαρκίας, με το να ενεργεί στην ανταπόκριση του κορεσμού </w:t>
      </w:r>
      <w:r>
        <w:fldChar w:fldCharType="begin"/>
      </w:r>
      <w:r>
        <w:rPr>
          <w:rFonts w:eastAsia="Calibri" w:cs="Times-Roman" w:ascii="Times-Roman" w:hAnsi="Times-Roman"/>
          <w:color w:val="18191B"/>
        </w:rPr>
        <w:instrText xml:space="preserve">ADDIN ZOTERO_ITEM CSL_CITATION {"citationID":"O4Nttzj6","properties":{"formattedCitation":"[105]","plainCitation":"[105]","noteIndex":0},"citationItems":[{"id":3006,"uris":["http://zotero.org/users/local/WDVvZTBM/items/G9ZVL5RJ"],"itemData":{"id":3006,"type":"article-journal","abstract":"We have used a unique dataset to examine the relationship between a validated measure of children's habitual appetitive behavior and FTO obesity risk genotype and conclude that the commonest known risk allele for obesity is likely to exert at least some of its effects by influencing appetite.","container-title":"The Journal of clinical endocrinology and metabolism","DOI":"10.1210/jc.2008-0472","ISSN":"0021-972X","issue":"9","language":"en","note":"publisher: J Clin Endocrinol Metab\nPMID: 18583465","source":"pubmed.ncbi.nlm.nih.gov","title":"Obesity associated genetic variation in FTO is associated with diminished satiety","URL":"https://pubmed.ncbi.nlm.nih.gov/18583465/","volume":"93","author":[{"family":"J","given":"Wardle"},{"family":"S","given":"Carnell"},{"family":"Cm","given":"Haworth"},{"family":"Is","given":"Farooqi"},{"family":"S","given":"O'Rahilly"},{"family":"R","given":"Plomin"}],"accessed":{"date-parts":[["2023",11,19]]},"issued":{"date-parts":[["2008",9]]}}}],"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[105]</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Μια ενδιαφέρουσα μελέτη των Jacobsson et al. επισήμανε ότι η παραλλαγή rs9939609 συσχετίστηκε με την παχυσαρκία και το φύλο στα Σουηδικά παιδιά </w:t>
      </w:r>
      <w:r>
        <w:fldChar w:fldCharType="begin"/>
      </w:r>
      <w:r>
        <w:rPr>
          <w:rFonts w:eastAsia="Calibri" w:cs="Times-Roman" w:ascii="Times-Roman" w:hAnsi="Times-Roman"/>
          <w:color w:val="18191B"/>
        </w:rPr>
        <w:instrText xml:space="preserve">ADDIN ZOTERO_ITEM CSL_CITATION {"citationID":"MQ5pSpFe","properties":{"formattedCitation":"[54]","plainCitation":"[54]","noteIndex":0},"citationItems":[{"id":2425,"uris":["http://zotero.org/users/local/WDVvZTBM/items/ANNDCRDK"],"itemData":{"id":2425,"type":"article-journal","abstract":"Sedentary lifestyle and consumption of high-calorie foods have caused a relentless increase of overweight and obesity prevalence at all ages. Its presently epidemic proportion is disquieting due to the tight relationship of obesity with metabolic syndrome and several other comorbidities which do call for urgent workarounds. The usual ineffectiveness of present therapies and failure of prevention campaigns triggered overtime a number of research studies which have unveiled some relevant aspects of obesity genetic and epigenetic inheritable profiles. These findings are revealing extremely precious mainly to serve as a likely extra arrow to allow the clinician’s bow to achieve still hitherto unmet preventive goals. Evidence now exists that maternal obesity/overnutrition during pregnancy and lactation convincingly appears associated with several disorders in the offspring independently of the transmission of a purely genetic predisposition. Even the pre-conception direct exposure of either father or mother gametes to environmental factors can reprogram the epigenetic architecture of cells. Such phenomena lie behind the transfer of the obesity susceptibility to future generations through a mechanism of epigenetic inheritance. Moreover, a growing number of studies suggests that several environmental factors such as maternal malnutrition, hypoxia, and exposure to excess hormones and endocrine disruptors during pregnancy and the early postnatal period may play critical roles in programming childhood adipose tissue and obesity. A deeper understanding of how inherited genetics and epigenetics may generate an obesogenic environment at pediatric age might strengthen our knowledge about pathogenetic mechanisms and improve the clinical management of patients. Therefore, in this narrative review, we attempt to provide a general overview of the contribution of heritable genetic and epigenetic patterns to the obesity susceptibility in children, placing a particular emphasis on the mother-child dyad.","container-title":"Frontiers in Endocrinology","DOI":"10.3389/fendo.2022.1006008","ISSN":"1664-2392","journalAbbreviation":"Front. Endocrinol.","language":"en","page":"1006008","source":"DOI.org (Crossref)","title":"Genetics, epigenetics and transgenerational transmission of obesity in children","volume":"13","author":[{"family":"Panera","given":"Nadia"},{"family":"Mandato","given":"Claudia"},{"family":"Crudele","given":"Annalisa"},{"family":"Bertrando","given":"Sara"},{"family":"Vajro","given":"Pietro"},{"family":"Alisi","given":"Anna"}],"issued":{"date-parts":[["2022",11,14]]}}}],"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[54]</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Εξάλλου, σε Ευρωπαίους εφήβους με παχυσαρκία, η ομοζυγωτία για το rs9939609 FTO SNP συσχετίστηκε σε μεγάλο βαθμό με το βαρύ κορμό στο σώμα των παιδιών </w:t>
      </w:r>
      <w:r>
        <w:fldChar w:fldCharType="begin"/>
      </w:r>
      <w:r>
        <w:rPr>
          <w:rFonts w:eastAsia="Calibri" w:cs="Times-Roman" w:ascii="Times-Roman" w:hAnsi="Times-Roman"/>
          <w:color w:val="18191B"/>
        </w:rPr>
        <w:instrText xml:space="preserve">ADDIN ZOTERO_ITEM CSL_CITATION {"citationID":"HWDdNzwN","properties":{"formattedCitation":"[106]","plainCitation":"[106]","noteIndex":0},"citationItems":[{"id":3007,"uris":["http://zotero.org/users/local/WDVvZTBM/items/YAJ7TG3H"],"itemData":{"id":3007,"type":"article-journal","abstract":"A common T/A polymorphism (rs9939609) in the fat mass and obesity associated (FTO) gene was found associated with early-onset and severe obesity in both adults and children. However, recent observations failed to find associations of FTO with obesity. To investigate the genetic background of early o …","container-title":"Journal of obesity","DOI":"10.1155/2011/186368","ISSN":"2090-0716","language":"en","note":"publisher: J Obes\nPMID: 21318054","source":"pubmed.ncbi.nlm.nih.gov","title":"Rs9939609 variant of the fat mass and obesity-associated gene and trunk obesity in adolescents","URL":"https://pubmed.ncbi.nlm.nih.gov/21318054/","volume":"2011","author":[{"family":"H","given":"Mangge"},{"family":"W","given":"Renner"},{"family":"G","given":"Almer"},{"family":"D","given":"Weghuber"},{"family":"R","given":"Möller"},{"family":"R","given":"Horejsi"}],"accessed":{"date-parts":[["2023",11,19]]},"issued":{"date-parts":[["2011"]]}}}],"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[106]</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Εκτός από τον πληθυσμό της Ευρώπης, η παρουσία του κοινού κινδύνου του πολυμορφισμού του rs9939609 έχει συσχετιστεί σημαντικά με το ΔΜΣ και τη παχυσαρκία, έρευνα που πραγματοποιήθηκε σε μεγάλο πληθυσμό με παιδιά από την Κίνα, όπου ο πολυμορφισμός συσχετίστηκε με το βάρος, το ΔΜΣ, τη περίμετρο μέσης, την αναλογία μέσης προς ύψος και το ποσοστό μάζας λίπους </w:t>
      </w:r>
      <w:r>
        <w:fldChar w:fldCharType="begin"/>
      </w:r>
      <w:r>
        <w:rPr>
          <w:rFonts w:eastAsia="Calibri" w:cs="Times-Roman" w:ascii="Times-Roman" w:hAnsi="Times-Roman"/>
          <w:color w:val="18191B"/>
        </w:rPr>
        <w:instrText xml:space="preserve">ADDIN ZOTERO_ITEM CSL_CITATION {"citationID":"iqCQwReZ","properties":{"formattedCitation":"[48]","plainCitation":"[48]","noteIndex":0},"citationItems":[{"id":3008,"uris":["http://zotero.org/users/local/WDVvZTBM/items/6PN75KWQ"],"itemData":{"id":3008,"type":"article-journal","abstract":"Previous genome-wide association studies for type 2 diabetes susceptibility genes have confirmed that a common variant, rs9939609, in the fat mass and obesity associated (FTO) gene region is associated with body mass index (BMI) in European children and ...","container-title":"BMC Medical Genetics","DOI":"10.1186/1471-2350-11-107","language":"en","note":"publisher: BMC\nPMID: 20598163","page":"107","source":"www.ncbi.nlm.nih.gov","title":"The common rs9939609 variant of the fat mass and obesity-associated gene is associated with obesity risk in children and adolescents of Beijing, China","volume":"11","author":[{"family":"Xi","given":"Bo"},{"family":"Shen","given":"Yue"},{"family":"Zhang","given":"Meixian"},{"family":"Liu","given":"Xin"},{"family":"Zhao","given":"Xiaoyuan"},{"family":"Wu","given":"Lijun"},{"family":"Cheng","given":"Hong"},{"family":"Hou","given":"Dongqing"},{"family":"Lindpaintner","given":"Klaus"},{"family":"Liu","given":"Lisheng"},{"family":"Mi","given":"Jie"},{"family":"Wang","given":"Xingyu"}],"issued":{"date-parts":[["2010"]]}}}],"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[48]</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Μια μετα-ανάλυση συγκέντρωσε και ανέλυσε όλες αυτές τις μελέτες που υποδηλώνουν ότι το rs9939609 πρέπει να θεωρηθεί ως η κύρια παραλλαγή του γονιδίου FTO που σχετίζεται με υπέρβαρους και παχυσαρκία σε πολλαπλούς παιδιατρικούς πληθυσμούς </w:t>
      </w:r>
      <w:r>
        <w:fldChar w:fldCharType="begin"/>
      </w:r>
      <w:r>
        <w:rPr>
          <w:rFonts w:eastAsia="Calibri" w:cs="Times-Roman" w:ascii="Times-Roman" w:hAnsi="Times-Roman"/>
          <w:color w:val="18191B"/>
        </w:rPr>
        <w:instrText xml:space="preserve">ADDIN ZOTERO_ITEM CSL_CITATION {"citationID":"KJv30UKV","properties":{"formattedCitation":"[49]","plainCitation":"[49]","noteIndex":0},"citationItems":[{"id":3011,"uris":["http://zotero.org/users/local/WDVvZTBM/items/S9L68NT6"],"itemData":{"id":3011,"type":"article-journal","abstract":"The present meta-analysis suggested a positive association between FTO gene polymorphism and overweight/obesity risk among children and adolescents. Further prospective studies should be recommended to confirm the observed association, and underlying mechanism should be investigated to clarify the a …","container-title":"PloS one","DOI":"10.1371/journal.pone.0082133","ISSN":"1932-6203","issue":"11","language":"en","note":"publisher: PLoS One\nPMID: 24278475","source":"pubmed.ncbi.nlm.nih.gov","title":"FTO gene variant and risk of overweight and obesity among children and adolescents: a systematic review and meta-analysis","title-short":"FTO gene variant and risk of overweight and obesity among children and adolescents","URL":"https://pubmed.ncbi.nlm.nih.gov/24278475/","volume":"8","author":[{"family":"C","given":"Liu"},{"family":"S","given":"Mou"},{"family":"Y","given":"Cai"}],"accessed":{"date-parts":[["2023",11,19]]},"issued":{"date-parts":[["2013",11,22]]}}}],"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[49]</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Ωστόσο, μελέτες σχετικά με τον αντίκτυπο της παραλλαγής rs9939609 πραγματοποιήθηκαν επίσης σε παιδιά και εφήβους από τη Βραζιλία (65, 66). Οι Todendi et al. ανέφεραν συσχέτιση μεταξύ του γονότυπου ΑΑ για την παραλλαγή rs9939609 και αλλαγή περιφέρειας μέσης και παχυσαρκία τόσο στα παιδιά όσο και στους γονείς τους, κάτι που επιβεβαιώνεται τη συμβολή των γονέων στην εμφάνιση παχυσαρκίας </w:t>
      </w:r>
      <w:r>
        <w:fldChar w:fldCharType="begin"/>
      </w:r>
      <w:r>
        <w:rPr>
          <w:rFonts w:eastAsia="Calibri" w:cs="Times-Roman" w:ascii="Times-Roman" w:hAnsi="Times-Roman"/>
          <w:color w:val="18191B"/>
        </w:rPr>
        <w:instrText xml:space="preserve">ADDIN ZOTERO_ITEM CSL_CITATION {"citationID":"USyZ5vEl","properties":{"formattedCitation":"[107]","plainCitation":"[107]","noteIndex":0},"citationItems":[{"id":3014,"uris":["http://zotero.org/users/local/WDVvZTBM/items/EQ8H3TK8"],"itemData":{"id":3014,"type":"article-journal","abstract":"Objectives Evaluate the influence of the genetic variant rs9939609 of the FTO gene on anthropometric characteristics and whether parental obesity is related to children and adolescents being overweight. Methods A total of 2,364 children and adolescents between 6 and 17 years old were genotyped and t …","container-title":"Journal of pediatric endocrinology &amp; metabolism : JPEM","DOI":"10.1515/jpem-2019-0594","ISSN":"2191-0251","language":"en","note":"publisher: J Pediatr Endocrinol Metab\nPMID: 32697757","source":"pubmed.ncbi.nlm.nih.gov","title":"Influence of FTO (Fat mass and obesity) gene and parental obesity on Brazilian children and adolescents adiposity","URL":"https://pubmed.ncbi.nlm.nih.gov/32697757/","author":[{"family":"Pf","given":"Todendi"},{"family":"Ja","given":"Martínez"},{"family":"Cp","given":"Reuter"},{"family":"Ei","given":"Klinger"},{"family":"M","given":"Fiegenbaum"},{"family":"A","given":"Rosane de Moura Valim"}],"accessed":{"date-parts":[["2023",11,19]]},"issued":{"date-parts":[["2020",7,22]]}}}],"schema":"https://github.com/citation-style-language/schema/raw/master/csl-citation.json"}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[107]</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Μια πιο πρόσφατη διαχρονική μελέτη από τους Reuter et al. έχει επιβεβαιώσει τη συσχέτιση της παραλλαγής rs9939609 και του κοιλιακού λίπους σε σχολικούς μαθητές από τη Βραζιλία, μεταξύ 7 και 15 ετών </w:t>
      </w:r>
      <w:r>
        <w:fldChar w:fldCharType="begin"/>
      </w:r>
      <w:r>
        <w:rPr>
          <w:rFonts w:eastAsia="Calibri" w:cs="Times-Roman" w:ascii="Times-Roman" w:hAnsi="Times-Roman"/>
          <w:color w:val="18191B"/>
        </w:rPr>
        <w:instrText xml:space="preserve">ADDIN ZOTERO_ITEM CSL_CITATION {"citationID":"FB6tqCrl","properties":{"formattedCitation":"[108]","plainCitation":"[108]","noteIndex":0},"citationItems":[{"id":3018,"uris":["http://zotero.org/users/local/WDVvZTBM/items/4PLV2A53"],"itemData":{"id":3018,"type":"article-journal","abstract":"The fat mass and obesity-associated gene (FTO) has been extensively reported in the literature related to nutritional status, but there has been limited description of the genetic contribution to obesity risk during childhood and adolescence, especially in Latin Americans. This study aims to associa …","container-title":"European journal of pediatrics","DOI":"10.1007/s00431-021-04120-0","ISSN":"1432-1076","issue":"11","language":"en","note":"publisher: Eur J Pediatr\nPMID: 34021399","source":"pubmed.ncbi.nlm.nih.gov","title":"FTO gene polymorphism and longitudinal changes in nutritional/obesity status in children and adolescents: Schoolchildren's health cohort study","title-short":"FTO gene polymorphism and longitudinal changes in nutritional/obesity status in children and adolescents","URL":"https://pubmed.ncbi.nlm.nih.gov/34021399/","volume":"180","author":[{"family":"Ém","given":"Reuter"},{"family":"Cp","given":"Reuter"},{"family":"Jf","given":"de Castro Silveira"},{"family":"S","given":"Carroll"},{"family":"Jp","given":"Hobkirk"},{"family":"Pf","given":"Todendi"},{"family":"Ar","given":"de Moura Valim"},{"family":"Ed","given":"de Mello"}],"accessed":{"date-parts":[["2023",11,19]]},"issued":{"date-parts":[["2021",11]]}}}],"schema":"https://github.com/citation-style-language/schema/raw/master/csl-citation.json"}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[108]</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lang w:val="en-US"/>
        </w:rPr>
        <w:t>er</w:t>
      </w:r>
      <w:r>
        <w:rPr>
          <w:rFonts w:eastAsia="Calibri" w:cs="Times-Roman" w:ascii="Times-Roman" w:hAnsi="Times-Roman"/>
          <w:color w:val="18191B"/>
        </w:rPr>
        <w:t>.</w:t>
      </w:r>
    </w:p>
    <w:p>
      <w:pPr>
        <w:pStyle w:val="Normal"/>
        <w:spacing w:lineRule="auto" w:line="360"/>
        <w:jc w:val="both"/>
        <w:rPr>
          <w:rFonts w:ascii="Times-Roman" w:hAnsi="Times-Roman" w:eastAsia="Calibri" w:cs="Times-Roman"/>
          <w:color w:val="18191B"/>
        </w:rPr>
      </w:pPr>
      <w:r>
        <w:rPr>
          <w:rFonts w:eastAsia="Calibri" w:cs="Times-Roman" w:ascii="Times-Roman" w:hAnsi="Times-Roman"/>
          <w:color w:val="18191B"/>
        </w:rPr>
        <w:tab/>
        <w:t xml:space="preserve">Αξίζει να σημειωθεί ότι μια σειρά από αποδεικτικά στοιχεία δεν έδειξε καμία σχέση μεταξύ του FTO rs9939609 και του ΔΜΣ, τονίζοντας έτσι ότι η εθνικότητα  μπορεί να είναι καθοριστικής σημασίας για τον προσδιορισμό του ρόλου αυτής της παραλλαγής για κίνδυνο παχυσαρκίας </w:t>
      </w:r>
      <w:r>
        <w:fldChar w:fldCharType="begin"/>
      </w:r>
      <w:r>
        <w:rPr>
          <w:rFonts w:eastAsia="Calibri" w:cs="Times-Roman" w:ascii="Times-Roman" w:hAnsi="Times-Roman"/>
          <w:color w:val="18191B"/>
        </w:rPr>
        <w:instrText xml:space="preserve">ADDIN ZOTERO_ITEM CSL_CITATION {"citationID":"kCz6D7wx","properties":{"formattedCitation":"[109], [110]","plainCitation":"[109], [110]","noteIndex":0},"citationItems":[{"id":3024,"uris":["http://zotero.org/users/local/WDVvZTBM/items/UFDK9L5H"],"itemData":{"id":3024,"type":"article-journal","abstract":"The present results suggest that AKT1, FTO, and AKTIP polymorphisms were not associated with obesity/overweight in Brazilians children. Future studies on the genetics of obesity in Brazilian children and their environment interactions are needed.","container-title":"Jornal de pediatria","DOI":"10.1016/j.jped.2015.12.007","ISSN":"1678-4782","issue":"5","language":"en","note":"publisher: J Pediatr (Rio J)\nPMID: 27342216","source":"pubmed.ncbi.nlm.nih.gov","title":"Lack of association between genetic polymorphism of FTO, AKT1 and AKTIP in childhood overweight and obesity","URL":"https://pubmed.ncbi.nlm.nih.gov/27342216/","volume":"92","author":[{"family":"A","given":"Pereira Pde"},{"family":"Am","given":"Alvim-Soares"},{"family":"Vc","given":"Sandrim"},{"family":"Cm","given":"Lanna"},{"family":"Dc","given":"Souza-Costa"},{"family":"A","given":"Belo Vde"},{"family":"Jj","given":"de Paula"},{"family":"Je","given":"Tanus-Santos"},{"family":"Ma","given":"Romano-Silva"},{"family":"Dm","given":"Miranda"}],"accessed":{"date-parts":[["2023",11,19]]},"issued":{"date-parts":[["2016",10]]}}},{"id":3026,"uris":["http://zotero.org/users/local/WDVvZTBM/items/Z437USQN"],"itemData":{"id":3026,"type":"article-journal","abstract":"Risk variants in the FTO and MC4R genes had a higher frequency in children with EA compared with Amerindian predominance children, showing that miscegenation is associated with the frequency of obesity-related genotypes.","container-title":"Gene","DOI":"10.1016/j.gene.2020.144840","ISSN":"1879-0038","language":"en","note":"publisher: Gene\nPMID: 32505845","source":"pubmed.ncbi.nlm.nih.gov","title":"Common polymorphisms in MC4R and FTO genes are associated with BMI and metabolic indicators in Mexican children: Differences by sex and genetic ancestry","title-short":"Common polymorphisms in MC4R and FTO genes are associated with BMI and metabolic indicators in Mexican children","URL":"https://pubmed.ncbi.nlm.nih.gov/32505845/","volume":"754","author":[{"family":"G","given":"López-Rodríguez"},{"family":"A","given":"Estrada-Neria"},{"family":"T","given":"Suárez-Diéguez"},{"family":"Me","given":"Tejero"},{"family":"Jc","given":"Fernández"},{"family":"M","given":"Galván"}],"accessed":{"date-parts":[["2023",11,19]]},"issued":{"date-parts":[["2020",5,9]]}}}],"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[109], [110]</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Άλλες δύο παραλλαγές γονιδίου FTO, το rs8050136 και το rs1421085, βρέθηκαν να σχετίζονται με χαρακτηριστικά παχυσαρκίας σε διάφορους παιδικούς πληθυσμούς, είτε μόνοι τους ή σε συνδυασμό, με την καλύτερη παραλλαγή υπό έρευνα το γονίδιο rs9939609 </w:t>
      </w:r>
      <w:r>
        <w:fldChar w:fldCharType="begin"/>
      </w:r>
      <w:r>
        <w:rPr>
          <w:rFonts w:eastAsia="Calibri" w:cs="Times-Roman" w:ascii="Times-Roman" w:hAnsi="Times-Roman"/>
          <w:color w:val="18191B"/>
        </w:rPr>
        <w:instrText xml:space="preserve">ADDIN ZOTERO_ITEM CSL_CITATION {"citationID":"wzWeqeZK","properties":{"formattedCitation":"[111], [112]","plainCitation":"[111], [112]","noteIndex":0},"citationItems":[{"id":3027,"uris":["http://zotero.org/users/local/WDVvZTBM/items/I5PEX5C5"],"itemData":{"id":3027,"type":"article-journal","abstract":"Our present results suggest that some obesity-associated SNPs previously reported in Europeans also associate with risk of obesity, or metabolic quantitative traits, in Mexican children. Importantly, we found new associations between MC4R and fasting glucose levels, and between NPC1 and fasting insu …","container-title":"BMC medical genetics","DOI":"10.1186/1471-2350-14-21","ISSN":"1471-2350","language":"en","note":"publisher: BMC Med Genet\nPMID: 23375129","source":"pubmed.ncbi.nlm.nih.gov","title":"Analysis of the contribution of FTO, NPC1, ENPP1, NEGR1, GNPDA2 and MC4R genes to obesity in Mexican children","URL":"https://pubmed.ncbi.nlm.nih.gov/23375129/","volume":"14","author":[{"family":"A","given":"Mejía-Benítez"},{"family":"M","given":"Klünder-Klünder"},{"family":"L","given":"Yengo"},{"family":"D","given":"Meyre"},{"family":"C","given":"Aradillas"},{"family":"E","given":"Cruz"},{"family":"E","given":"Pérez-Luque"},{"family":"Jm","given":"Malacara"},{"family":"Me","given":"Garay"},{"family":"J","given":"Peralta-Romero"},{"family":"S","given":"Flores-Huerta"},{"family":"J","given":"García-Mena"},{"family":"P","given":"Froguel"},{"family":"M","given":"Cruz"},{"family":"A","given":"Bonnefond"}],"accessed":{"date-parts":[["2023",11,19]]},"issued":{"date-parts":[["2013",1,2]]}}},{"id":3033,"uris":["http://zotero.org/users/local/WDVvZTBM/items/26ISF3CM"],"itemData":{"id":3033,"type":"article-journal","abstract":"Several studies have shown that rs9939609 and rs1421085 in fat mass and obesity-associated ( FTO ) gene rs17782313 and rs12970134 in melanocortin-4 receptor ( MC4R ) gene influence obesity. In the present study, we aimed to determine association between rs9939609, rs1421085, rs17782313, and rs12970134 polymorphism, and their relation with body mass index (BMI), glucose, insulin, homeostasis model assessment of insulin resistance (HOMA-IR) and lipid values in obese children. We included 100 newly diagnosed obese children and 100 healthy children. The rs1421085 (CC/CT) ( p  = 0.019) and rs9939609 (AA/AT) ( p  = 0.002) polymorphism regions were higher in the obese group. Additionally, we found that both the rs1421085 (CC/CT) and rs9939609 (AA/AT) polymorphism associated with high-density lipoprotein cholesterol ( p  = 0.011 and p  = 0.003) and triglycerides ( p  = 0.01 and p  = 0.004) level, respectively. Further, the rs9939609 and rs1421085 variants of FTO gene associated with HDL-cholesterol and triglycerides levels in obese children; however, updated studies with a large sample size are required to establish strong links with genetic variants and risk factors in childhood obesity.","container-title":"Journal of Pediatric Genetics","DOI":"10.1055/s-0040-1713154","ISSN":"2146-4596","issue":"1","journalAbbreviation":"J Pediatr Genet","language":"eng","note":"PMID: 33552632\nPMCID: PMC7853911","page":"9-15","source":"PubMed","title":"Association between rs1421085 and rs9939609 Polymorphisms of Fat Mass and Obesity-Associated Gene with High-Density Lipoprotein Cholesterol and Triglyceride in Obese Turkish Children and Adolescents","volume":"10","author":[{"family":"Inandiklioğlu","given":"Nihal"},{"family":"Yaşar","given":"Adem"}],"issued":{"date-parts":[["2021",3]]}}}],"schema":"https://github.com/citation-style-language/schema/raw/master/csl-citation.json"}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[111], [112]</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Αν και ο πραγματικός ρόλος αυτών των πρόσθετων τόπων παραμένει άγνωστος και αξίζει περαιτέρω έρευνες στο επόμενο μέλλον, μια πολύ πρόσφατη μετα-ανάλυση ανέφερε αυτή και άλλες παραλλαγές στα γονίδια FTO και τη συσχέτιση τους με την παιδιατρική παχυσαρκία στο σύνολό της </w:t>
      </w:r>
      <w:r>
        <w:fldChar w:fldCharType="begin"/>
      </w:r>
      <w:r>
        <w:rPr>
          <w:rFonts w:eastAsia="Calibri" w:cs="Times-Roman" w:ascii="Times-Roman" w:hAnsi="Times-Roman"/>
          <w:color w:val="18191B"/>
        </w:rPr>
        <w:instrText xml:space="preserve">ADDIN ZOTERO_ITEM CSL_CITATION {"citationID":"cHmak64g","properties":{"formattedCitation":"[113]","plainCitation":"[113]","noteIndex":0},"citationItems":[{"id":3035,"uris":["http://zotero.org/users/local/WDVvZTBM/items/YA6IP95T"],"itemData":{"id":3035,"type":"article-journal","abstract":"BACKGROUND AND AIM: The aim of this study was to evaluate the association of MC4R rs17782313 and FTO rs9939609 polymorphisms with childhood obesity.\nMETHODS: A universal search was performed up to May 2021.\nRESULTS: A total of 31 studies including 13 studies with 9565 cases and 11956 controls on MC4R rs17782313 and 18 studies with 4789 cases and 15918 controls on FTO rs9939609 were selected.\nCONCLUSIONS: Pooled data showed that FTO rs9930506 and MC4R rs17782313 polymorphisms were significantly associated with obesity in children. Stratified analyses revealed that these genetic variants were associated with childhood obesity in Caucasian and Asian children.","container-title":"Diabetes &amp; Metabolic Syndrome","DOI":"10.1016/j.dsx.2021.102234","ISSN":"1878-0334","issue":"5","journalAbbreviation":"Diabetes Metab Syndr","language":"eng","note":"PMID: 34364300","page":"102234","source":"PubMed","title":"Evidence from a meta-analysis for association of MC4R rs17782313 and FTO rs9939609 polymorphisms with susceptibility to obesity in children","volume":"15","author":[{"family":"Dastgheib","given":"Seyed Alireza"},{"family":"Bahrami","given":"Reza"},{"family":"Setayesh","given":"Sepideh"},{"family":"Salari","given":"Seyedali"},{"family":"Mirjalili","given":"Seyed Reza"},{"family":"Noorishadkam","given":"Mahmood"},{"family":"Sadeghizadeh-Yazdi","given":"Jalal"},{"family":"Akbarian","given":"Elahe"},{"family":"Neamatzadeh","given":"Hossein"}],"issued":{"date-parts":[["2021"]]}}}],"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[113]</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Συχνά, FTO παραλλαγές έχουν διερευνηθεί με παραλλαγές στο MC4R, σχετικά με το ποιες μεταλλάξεις μπορούν να βρεθούν μεταξύ της μονογονιδιακής παχυσαρκίας και της πολυγονιδιακής παχυσαρκίας </w:t>
      </w:r>
      <w:r>
        <w:fldChar w:fldCharType="begin"/>
      </w:r>
      <w:r>
        <w:rPr>
          <w:rFonts w:eastAsia="Calibri" w:cs="Times-Roman" w:ascii="Times-Roman" w:hAnsi="Times-Roman"/>
          <w:color w:val="18191B"/>
        </w:rPr>
        <w:instrText xml:space="preserve">ADDIN ZOTERO_ITEM CSL_CITATION {"citationID":"6HOoQHzb","properties":{"formattedCitation":"[114]","plainCitation":"[114]","noteIndex":0},"citationItems":[{"id":3038,"uris":["http://zotero.org/users/local/WDVvZTBM/items/EF967GWA"],"itemData":{"id":3038,"type":"article-journal","abstract":"PURPOSE: Evaluate the relationship of leptin receptor (LEPR) rs1137101, fat mass obesity-associated (FTO) receptors 9939609, melanocortin-4 receptors (MC4R) rs2229616 and rs17782313, and proliferator-activated receptor-gamma (PPARG) rs1801282 with clinical and metabolic phenotypes in prepubertal children.\nRESEARCH QUESTION: What is the effect of polymorphisms on clinical and metabolic phenotypes in prepubertal children?\nMETHODS: A cross-sectional descriptive study was performed to evaluate anthropometric features, percentage body fat (%BF), biochemical parameters, and genotype in 773 prepubertal children.\nRESULTS: FTO rs9939609 was associated with an increase in body mass index (BMI) and BMI z-score (zBMI). MC4R rs17782313 was associated with a decrease in BMI and +0.06 units in zBMI. LEPR, and PPARG-2 polymorphisms were associated with decreases in BMI and an increase and decrease units in zBMI, respectively. The homozygous SNPs demonstrated increases (FTO rs993609 and MC4R rs17782313) and decreases (LEPR rs1137101, PPARG rs1801282) in zBMI than the homozygous form of the major allele. In the overweight/obese group, the MC4R rs17782313 CC genotype showed higher average weight, zBMI, waist circumference, waist-circumference-to-height ratio, and waist-hip ratio, and lower BMI, mid-upper arm circumference, calf circumference, and %BF (P&lt; 0.05). FTO rs9939609 AT and AA genotypes were associated with lower triglycerides (P &lt; 0.05).\nCONCLUSIONS: We showed that MC4R rs17782313 and FTO rs9939609 were positively associated with zBMI, with weak and very weak effects, respectively, suggesting a very scarce contribution to childhood obesity. LEPR rs1137101 and PPARG-2 rs1801282 had weak and medium negative effects on zBMI, respectively, and may slightly protect against childhood obesity.","container-title":"Endocrine","DOI":"10.1007/s12020-018-1587-3","ISSN":"1559-0100","issue":"3","journalAbbreviation":"Endocrine","language":"eng","note":"PMID: 29679223\nPMCID: PMC5937906","page":"466-478","source":"PubMed","title":"Association between LEPR, FTO, MC4R, and PPARG-2 polymorphisms with obesity traits and metabolic phenotypes in school-aged children","volume":"60","author":[{"family":"Almeida","given":"Sílvia M."},{"family":"Furtado","given":"José M."},{"family":"Mascarenhas","given":"Paulo"},{"family":"Ferraz","given":"Maria E."},{"family":"Ferreira","given":"José C."},{"family":"Monteiro","given":"Mariana P."},{"family":"Vilanova","given":"Manuel"},{"family":"Ferraz","given":"Fernando P."}],"issued":{"date-parts":[["2018",6]]}}}],"schema":"https://github.com/citation-style-language/schema/raw/master/csl-citation.json"}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[114]</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w:t>
      </w:r>
    </w:p>
    <w:p>
      <w:pPr>
        <w:pStyle w:val="Normal"/>
        <w:spacing w:lineRule="auto" w:line="360"/>
        <w:jc w:val="both"/>
        <w:rPr>
          <w:rFonts w:ascii="Times-Roman" w:hAnsi="Times-Roman" w:eastAsia="Calibri" w:cs="Times-Roman"/>
          <w:color w:val="18191B"/>
        </w:rPr>
      </w:pPr>
      <w:r>
        <w:rPr>
          <w:rFonts w:eastAsia="Calibri" w:cs="Times-Roman" w:ascii="Times-Roman" w:hAnsi="Times-Roman"/>
          <w:color w:val="18191B"/>
        </w:rPr>
        <w:tab/>
        <w:t xml:space="preserve">Δεδομένου ότι υπάρχουν αρκετές δημοσιευμένες μελέτες που αναφέρουν τους κρίσιμους παθογόνους ρόλους των προφλεγμονωδών κυτοκινών στη παχυσαρκία, περαιτέρω μελέτες γενετικής συσχέτισης επικεντρώθηκαν στην επιρροή παραλλαγών στα γονίδια που κωδικοποιούν αυτά τα μόρια σε παχυσαρκία </w:t>
      </w:r>
      <w:r>
        <w:fldChar w:fldCharType="begin"/>
      </w:r>
      <w:r>
        <w:rPr>
          <w:rFonts w:eastAsia="Calibri" w:cs="Times-Roman" w:ascii="Times-Roman" w:hAnsi="Times-Roman"/>
          <w:color w:val="18191B"/>
        </w:rPr>
        <w:instrText xml:space="preserve">ADDIN ZOTERO_ITEM CSL_CITATION {"citationID":"526YTO3p","properties":{"formattedCitation":"[115]","plainCitation":"[115]","noteIndex":0},"citationItems":[{"id":3041,"uris":["http://zotero.org/users/local/WDVvZTBM/items/65S4WJK3"],"itemData":{"id":3041,"type":"article-journal","abstract":"The increasing prevalence of obesity and the associated morbidity and mortality are important public health problems globally. There is an important relationship between an unhealthy lifestyle and increased serum inflammatory cytokines. Adipocytes secrete several pro-inflammatory cytokines involved …","container-title":"Advances in clinical chemistry","DOI":"10.1016/bs.acc.2020.06.004","ISSN":"2162-9471","language":"en","note":"publisher: Adv Clin Chem\nPMID: 33706888","source":"pubmed.ncbi.nlm.nih.gov","title":"Cytokines and the immune response in obesity-related disorders","URL":"https://pubmed.ncbi.nlm.nih.gov/33706888/","volume":"101","author":[{"family":"M","given":"Moghbeli"},{"family":"H","given":"Khedmatgozar"},{"family":"M","given":"Yadegari"},{"family":"A","given":"Avan"},{"family":"Ga","given":"Ferns"},{"family":"M","given":"Ghayour Mobarhan"}],"accessed":{"date-parts":[["2023",11,19]]},"issued":{"date-parts":[["2021"]]}}}],"schema":"https://github.com/citation-style-language/schema/raw/master/csl-citation.json"}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[115]</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Στην παχυσαρκία η αυξημένη παραγωγή και έκκριση ενός ευρέος φάσματος φλεγμονωδών μορίων, συμπεριλαμβανομένου του παράγοντα νέκρωσης του όγκου (TNF)-a και της ιντερλευκίνης-6 (IL-6), βρέθηκε σε λευκό λιπώδη ιστό </w:t>
      </w:r>
      <w:r>
        <w:fldChar w:fldCharType="begin"/>
      </w:r>
      <w:r>
        <w:rPr>
          <w:rFonts w:eastAsia="Calibri" w:cs="Times-Roman" w:ascii="Times-Roman" w:hAnsi="Times-Roman"/>
          <w:color w:val="18191B"/>
        </w:rPr>
        <w:instrText xml:space="preserve">ADDIN ZOTERO_ITEM CSL_CITATION {"citationID":"JiIGn6G7","properties":{"formattedCitation":"[116]","plainCitation":"[116]","noteIndex":0},"citationItems":[{"id":3043,"uris":["http://zotero.org/users/local/WDVvZTBM/items/EDAPHZJE"],"itemData":{"id":3043,"type":"article-journal","abstract":"White adipose tissue is now recognised to be a multifunctional organ; in addition to the central role of lipid storage, it has a major endocrine function secreting several hormones, notably leptin and adiponectin, and a diverse range of other protein factors. These various protein signals have been …","container-title":"The British journal of nutrition","DOI":"10.1079/bjn20041213","ISSN":"0007-1145","issue":"3","language":"en","note":"publisher: Br J Nutr\nPMID: 15469638","source":"pubmed.ncbi.nlm.nih.gov","title":"Adipokines: inflammation and the pleiotropic role of white adipose tissue","title-short":"Adipokines","URL":"https://pubmed.ncbi.nlm.nih.gov/15469638/","volume":"92","author":[{"family":"P","given":"Trayhurn"},{"family":"Is","given":"Wood"}],"accessed":{"date-parts":[["2023",11,19]]},"issued":{"date-parts":[["2004",9]]}}}],"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[116]</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Ο TNF-a βρέθηκε ότι εμπλέκεται στα λιπίδια μεταβολισμού που οδηγούν σε υπερτριγλυκεριδαιμία ως αποτέλεσμα, μειώνοντας τη δραστηριότητα της λιποπρωτεϊνικής λιπάσης και αυξάνοντας την ηπατική de novo σύνθεση λιπαρών οξέων, ενώ η IL-6 σχετίζεται κυρίως με φλεγμονή του ήπατος και του λιπώδους ιστού </w:t>
      </w:r>
      <w:r>
        <w:fldChar w:fldCharType="begin"/>
      </w:r>
      <w:r>
        <w:rPr>
          <w:rFonts w:eastAsia="Calibri" w:cs="Times-Roman" w:ascii="Times-Roman" w:hAnsi="Times-Roman"/>
          <w:color w:val="18191B"/>
        </w:rPr>
        <w:instrText xml:space="preserve">ADDIN ZOTERO_ITEM CSL_CITATION {"citationID":"qFX9ryir","properties":{"formattedCitation":"[117]","plainCitation":"[117]","noteIndex":0},"citationItems":[{"id":3046,"uris":["http://zotero.org/users/local/WDVvZTBM/items/KWVCWTSY"],"itemData":{"id":3046,"type":"article-journal","abstract":"Non-alcoholic fatty liver disease (NAFLD) is currently considered the main cause of chronic liver disease worldwide. Mechanisms leading to the development and progression of this disease are topics of great interest for researchers and clinicians. The current multi-hit hypothesis has thrown the cros …","container-title":"Expert review of gastroenterology &amp; hepatology","DOI":"10.1586/17474124.2016.1110485","ISSN":"1747-4132","issue":"3","language":"en","note":"publisher: Expert Rev Gastroenterol Hepatol\nPMID: 26654761","source":"pubmed.ncbi.nlm.nih.gov","title":"Recent advances in understanding the role of adipocytokines during non-alcoholic fatty liver disease pathogenesis and their link with hepatokines","URL":"https://pubmed.ncbi.nlm.nih.gov/26654761/","volume":"10","author":[{"family":"N","given":"Panera"},{"family":"C","given":"Della Corte"},{"family":"A","given":"Crudele"},{"family":"L","given":"Stronati"},{"family":"V","given":"Nobili"},{"family":"A","given":"Alisi"}],"accessed":{"date-parts":[["2023",11,19]]},"issued":{"date-parts":[["2016"]]}}}],"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[117]</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Η παραλλαγή rs1800629 στο γονίδιο TNF-a, που σχετίζεται με αυξημένη έκφραση της κυτοκίνης στον λιπώδη ιστό, βρέθηκε να είναι πιο συχνή σε παχύσαρκα παιδιά παρά σε αδύνατα άτομα </w:t>
      </w:r>
      <w:r>
        <w:fldChar w:fldCharType="begin"/>
      </w:r>
      <w:r>
        <w:rPr>
          <w:rFonts w:eastAsia="Calibri" w:cs="Times-Roman" w:ascii="Times-Roman" w:hAnsi="Times-Roman"/>
          <w:color w:val="18191B"/>
        </w:rPr>
        <w:instrText xml:space="preserve">ADDIN ZOTERO_ITEM CSL_CITATION {"citationID":"BDoShqhr","properties":{"formattedCitation":"[118], [119]","plainCitation":"[118], [119]","noteIndex":0},"citationItems":[{"id":3050,"uris":["http://zotero.org/users/local/WDVvZTBM/items/LVHFLQI8"],"itemData":{"id":3050,"type":"article-journal","abstract":"Obesity development is a complex process which can be influenced by genetic predisposition modified by environmental factors. Nowadays, the problem of overweight and obesity, including related complications, occurs in increasingly younger children. Thus, there is a need for new genetic markers of increased risk of excessive body mass. The aim of the present study was to examine the relation between polymorphisms located in promoter regions of IL-1beta, IL-6, and TNF-alpha genes and obesity development in children. Fifty obese and 55 normal weighing children were enrolled into the study. Genetic examination was performed using PCR-RFLP technique. We found a relation between G174C polymorphism in IL-6 gene and G308A in TNF-alpha gene with the occurrence of obesity. Allele A in G308A was more frequent in the obese group than in the control one (P = 0.04). The presence of allele C in promoter region of IL-6 gene was more frequent in obese children and connected with a statistically significant increase in the sum of 10 skin fold thickness measurements (P = 0.03). The polymorphism C3954T in IL-1beta gene showed no such relation. The examined polymorphisms of proinflammatory cytokines play a role in the regulation of body mass through their influence on metabolism and energetic homeostasis.","container-title":"European Journal of Medical Research","DOI":"10.1186/2047-783X-14-S4-59","ISSN":"2047-783X","issue":"4","journalAbbreviation":"Eur J Med Res","language":"en","license":"2009 I. Holzapfel Publishers","note":"number: 4\npublisher: BioMed Central","page":"1-4","source":"eurjmedres.biomedcentral.com","title":"Influence of proinflammatory cytokine gene polymorphism on childhood obesity","volume":"14","author":[{"family":"Popko","given":"K."},{"family":"Górska","given":"E."},{"family":"Pyrzak","given":"B."},{"family":"Telmaszczyk-Emmel","given":"A."},{"family":"Wisniewska","given":"A."},{"family":"Majcher","given":"A."},{"family":"Wasik","given":"M."},{"family":"Demkow","given":"U."}],"issued":{"date-parts":[["2009",12]]}}},{"id":3048,"uris":["http://zotero.org/users/local/WDVvZTBM/items/4NKVWZVN"],"itemData":{"id":3048,"type":"article-journal","abstract":"Our findings support the hypothesis that the G-308A polymophism of the TNF-alpha gene is associated with BMI. The G-308A polymorphism may, therefore, represent a genetic marker for increased susceptibility for obesity in Caucasians.","container-title":"International journal of obesity and related metabolic disorders : journal of the International Association for the Study of Obesity","DOI":"10.1038/sj.ijo.0801576","issue":"4","language":"en","note":"publisher: Int J Obes Relat Metab Disord\nPMID: 11319665","source":"pubmed.ncbi.nlm.nih.gov","title":"Tumor necrosis factor-alpha--308 G/A polymorphism in obese Caucasians","URL":"https://pubmed.ncbi.nlm.nih.gov/11319665/","volume":"25","author":[{"family":"E","given":"Brand"},{"family":"U","given":"Schorr"},{"family":"I","given":"Kunz"},{"family":"E","given":"Kertmen"},{"family":"J","given":"Ringel"},{"family":"A","given":"Distler"},{"family":"Am","given":"Sharma"}],"accessed":{"date-parts":[["2023",11,19]]},"issued":{"date-parts":[["2001",4]]}}}],"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[118], [119]</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Ωστόσο, μέχρι σήμερα ο ρόλος του TNF-a rs1800629 στην παιδική παχυσαρκία δεν είναι ξεκάθαρος. Μια μελέτη σε Πορτογάλους παχύσαρκους εφήβους αποκάλυψε ότι μόνο στα αρσενικά άτομα, τα επίπεδα κυκλοφορίας TNF-a διαμορφώθηκαν από το TNF-a rs1800629 </w:t>
      </w:r>
      <w:r>
        <w:fldChar w:fldCharType="begin"/>
      </w:r>
      <w:r>
        <w:rPr>
          <w:rFonts w:eastAsia="Calibri" w:cs="Times-Roman" w:ascii="Times-Roman" w:hAnsi="Times-Roman"/>
          <w:color w:val="18191B"/>
        </w:rPr>
        <w:instrText xml:space="preserve">ADDIN ZOTERO_ITEM CSL_CITATION {"citationID":"B0UEOXCo","properties":{"formattedCitation":"[120]","plainCitation":"[120]","noteIndex":0},"citationItems":[{"id":3052,"uris":["http://zotero.org/users/local/WDVvZTBM/items/2QJP3CQH"],"itemData":{"id":3052,"type":"article-journal","abstract":"Our data demonstrate that in pediatric obese patients, some adipokine gene SNPs have an association with circulating adipokine levels and lipid profile.","container-title":"Childhood obesity (Print)","DOI":"10.1089/chi.2015.0235","ISSN":"2153-2176","issue":"4","language":"en","note":"publisher: Child Obes\nPMID: 27159547","source":"pubmed.ncbi.nlm.nih.gov","title":"Adipokine Gene Single-Nucleotide Polymorphisms in Portuguese Obese Adolescents: Associations with Plasma Concentrations of Adiponectin, Resistin, IL-6, IL-1β, and TNF-α","title-short":"Adipokine Gene Single-Nucleotide Polymorphisms in Portuguese Obese Adolescents","URL":"https://pubmed.ncbi.nlm.nih.gov/27159547/","volume":"12","author":[{"family":"H","given":"Nascimento"},{"family":"E","given":"Vieira"},{"family":"S","given":"Coimbra"},{"family":"C","given":"Catarino"},{"family":"E","given":"Costa"},{"family":"E","given":"Bronze-da-Rocha"},{"family":"P","given":"Rocha-Pereira"},{"family":"M","given":"Carvalho"},{"family":"H","given":"Ferreira Mansilha"},{"family":"C","given":"Rêgo"},{"family":"R","given":"Dos Santos"},{"family":"A","given":"Santos-Silva"},{"family":"L","given":"Belo"}],"accessed":{"date-parts":[["2023",11,19]]},"issued":{"date-parts":[["2016",8]]}}}],"schema":"https://github.com/citation-style-language/schema/raw/master/csl-citation.json"}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[120]</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Αντίθετα, μια μελέτη για παιδιά στη Ρουμανία (ηλικίας 5–18 ετών), αποκάλυψε ότι η παραλλαγή TNF-a rs1800629 ήταν πιο συχνή σε κανονικόού βάρους παιδιά από ότι σε υπέρβαρα παιδιά </w:t>
      </w:r>
      <w:r>
        <w:fldChar w:fldCharType="begin"/>
      </w:r>
      <w:r>
        <w:rPr>
          <w:rFonts w:eastAsia="Calibri" w:cs="Times-Roman" w:ascii="Times-Roman" w:hAnsi="Times-Roman"/>
          <w:color w:val="18191B"/>
        </w:rPr>
        <w:instrText xml:space="preserve">ADDIN ZOTERO_ITEM CSL_CITATION {"citationID":"Z6RWpIll","properties":{"formattedCitation":"[121]","plainCitation":"[121]","noteIndex":0},"citationItems":[{"id":3054,"uris":["http://zotero.org/users/local/WDVvZTBM/items/QX4MY69K"],"itemData":{"id":3054,"type":"article-journal","abstract":"Semantic Scholar extracted view of &amp;quot;The impact of TNF-α 308G&amp;gt;A gene polymorphism on children&amp;#39;s overweight risk and an assessment of biochemical variables: A cross-sectional single-center experience.&amp;quot; by C. Mărginean et al.","container-title":"Pediatrics and Neonatology","language":"en","source":"www.semanticscholar.org","title":"The impact of TNF-α 308G&gt;A gene polymorphism on children's overweight risk and an assessment of biochemical variables: A cross-sectional single-center experience.","title-short":"The impact of TNF-α 308G&gt;A gene polymorphism on children's overweight risk and an assessment of biochemical variables","URL":"https://www.semanticscholar.org/paper/The-impact-of-TNF-%CE%B1-308G%3EA-gene-polymorphism-on-and-M%C4%83rginean-M%C7%8Erginean/63d46f3dc823b253dba10309bef43f978764df8e","author":[{"family":"Mărginean","given":"C."},{"family":"Mǎrginean","given":"C."},{"family":"Iancu","given":"M."},{"family":"Moldovan","given":"V."},{"family":"Meliț","given":"L."},{"family":"Bănescu","given":"C."}],"accessed":{"date-parts":[["2023",11,19]]},"issued":{"date-parts":[["2019"]]}}}],"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[121]</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Λίγες μελέτες έδειξαν επίσης ότι μια  παραλλαγή στο γονίδιο IL-6 μπορεί να συσχετίζεται με τον παχύσαρκο φαινότυπο </w:t>
      </w:r>
      <w:r>
        <w:fldChar w:fldCharType="begin"/>
      </w:r>
      <w:r>
        <w:rPr>
          <w:rFonts w:eastAsia="Calibri" w:cs="Times-Roman" w:ascii="Times-Roman" w:hAnsi="Times-Roman"/>
          <w:color w:val="18191B"/>
        </w:rPr>
        <w:instrText xml:space="preserve">ADDIN ZOTERO_ITEM CSL_CITATION {"citationID":"F7NiGHEa","properties":{"formattedCitation":"[122]","plainCitation":"[122]","noteIndex":0},"citationItems":[{"id":3055,"uris":["http://zotero.org/users/local/WDVvZTBM/items/HNWILPFC"],"itemData":{"id":3055,"type":"article-journal","abstract":"&lt;span&gt;&lt;b&gt;Introduction:&lt;/b&gt; Childhood obesity is occurring at alarming rates in both developed and developing countries. \"Obesogenic\" environmental factors must be associated with variants of different risk alleles to determine polygenic or common obesity, and their impact depends on different developmenta&lt;/span&gt; …","container-title":"Frontiers in pediatrics","DOI":"10.3389/fped.2018.00271","ISSN":"2296-2360","language":"en","note":"publisher: Front Pediatr\nPMID: 30338250","source":"pubmed.ncbi.nlm.nih.gov","title":"New Insights Regarding Genetic Aspects of Childhood Obesity: A Minireview","title-short":"New Insights Regarding Genetic Aspects of Childhood Obesity","URL":"https://pubmed.ncbi.nlm.nih.gov/30338250/","volume":"6","author":[{"family":"Co","given":"Mǎrginean"},{"family":"C","given":"Mǎrginean"},{"family":"Le","given":"Meliţ"}],"accessed":{"date-parts":[["2023",11,19]]},"issued":{"date-parts":[["2018",4,10]]}}}],"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[122]</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Συγκεκριμένα, οι πολυμορφισμοί IL6 που ορίζονται ως επίσης rs1800795, συσχετίστηκαν με τον κίνδυνο ανάπτυξης παχυσαρκίας σε παιδιά της Αιγύπτου </w:t>
      </w:r>
      <w:r>
        <w:fldChar w:fldCharType="begin"/>
      </w:r>
      <w:r>
        <w:rPr>
          <w:rFonts w:eastAsia="Calibri" w:cs="Times-Roman" w:ascii="Times-Roman" w:hAnsi="Times-Roman"/>
          <w:color w:val="18191B"/>
        </w:rPr>
        <w:instrText xml:space="preserve">ADDIN ZOTERO_ITEM CSL_CITATION {"citationID":"rpBiaqDz","properties":{"formattedCitation":"[123]","plainCitation":"[123]","noteIndex":0},"citationItems":[{"id":3058,"uris":["http://zotero.org/users/local/WDVvZTBM/items/VWYFSR8F"],"itemData":{"id":3058,"type":"article-journal","abstract":"Obesity is a multi-factorial chronic disorder. A considerable number of studies have been performed to figure out whether there is an association between obesity and polymorphisms of gene IL-6 (174G/C), but the results are equivocal.This study aimed to ...","container-title":"Open Access Macedonian Journal of Medical Sciences","DOI":"10.3889/oamjms.2017.175","issue":"7","language":"en","note":"publisher: Scientific Foundation SPIROSKI\nPMID: 29362605","page":"831","source":"www.ncbi.nlm.nih.gov","title":"Influence of Interleukin-6 (174G/C) Gene Polymorphism on Obesity in Egyptian Children","volume":"5","author":[{"family":"Ibrahim","given":"Ola M."},{"family":"Gabre","given":"Azza A."},{"family":"Sallam","given":"Sara F."},{"family":"El-Alameey","given":"Inas R."},{"family":"Sabry","given":"Rania N."},{"family":"Galal","given":"Essam M."},{"family":"Tawfik","given":"Sawsan M."},{"family":"Zarouk","given":"Waheba A."},{"family":"Mosaad","given":"Rehab M."},{"family":"Ramadan","given":"Abeer"}],"issued":{"date-parts":[["2017",12,12]]}}}],"schema":"https://github.com/citation-style-language/schema/raw/master/csl-citation.json"}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[123]</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w:t>
      </w:r>
    </w:p>
    <w:p>
      <w:pPr>
        <w:pStyle w:val="Normal"/>
        <w:spacing w:lineRule="auto" w:line="360"/>
        <w:jc w:val="both"/>
        <w:rPr>
          <w:rFonts w:ascii="Times-Roman" w:hAnsi="Times-Roman" w:eastAsia="Calibri" w:cs="Times-Roman"/>
          <w:color w:val="18191B"/>
        </w:rPr>
      </w:pPr>
      <w:r>
        <w:rPr>
          <w:rFonts w:eastAsia="Calibri" w:cs="Times-Roman" w:ascii="Times-Roman" w:hAnsi="Times-Roman"/>
          <w:color w:val="18191B"/>
        </w:rPr>
        <w:tab/>
        <w:t>Τα αναφερόμενα SNPs εξηγούν μόνο το 6% της αύξησης του ΔΜΣ, επομένως οι Khera et al., ενσωματώνοντας την ανάλυση από 2.1 εκατομμύρια SNP</w:t>
      </w:r>
      <w:r>
        <w:rPr>
          <w:rFonts w:eastAsia="Calibri" w:cs="Times-Roman" w:ascii="Times-Roman" w:hAnsi="Times-Roman"/>
          <w:color w:val="18191B"/>
          <w:lang w:val="en-US"/>
        </w:rPr>
        <w:t>s</w:t>
      </w:r>
      <w:r>
        <w:rPr>
          <w:rFonts w:eastAsia="Calibri" w:cs="Times-Roman" w:ascii="Times-Roman" w:hAnsi="Times-Roman"/>
          <w:color w:val="18191B"/>
        </w:rPr>
        <w:t>, πρότειναν μια βαθμολογία πολυγονικού κινδύνου (</w:t>
      </w:r>
      <w:r>
        <w:rPr>
          <w:rFonts w:eastAsia="Calibri" w:cs="Times-Roman" w:ascii="Times-Roman" w:hAnsi="Times-Roman"/>
          <w:color w:val="18191B"/>
          <w:lang w:val="en-US"/>
        </w:rPr>
        <w:t>Polygenic</w:t>
      </w:r>
      <w:r>
        <w:rPr>
          <w:rFonts w:eastAsia="Calibri" w:cs="Times-Roman" w:ascii="Times-Roman" w:hAnsi="Times-Roman"/>
          <w:color w:val="18191B"/>
        </w:rPr>
        <w:t xml:space="preserve"> </w:t>
      </w:r>
      <w:r>
        <w:rPr>
          <w:rFonts w:eastAsia="Calibri" w:cs="Times-Roman" w:ascii="Times-Roman" w:hAnsi="Times-Roman"/>
          <w:color w:val="18191B"/>
          <w:lang w:val="en-US"/>
        </w:rPr>
        <w:t>Risk</w:t>
      </w:r>
      <w:r>
        <w:rPr>
          <w:rFonts w:eastAsia="Calibri" w:cs="Times-Roman" w:ascii="Times-Roman" w:hAnsi="Times-Roman"/>
          <w:color w:val="18191B"/>
        </w:rPr>
        <w:t xml:space="preserve"> </w:t>
      </w:r>
      <w:r>
        <w:rPr>
          <w:rFonts w:eastAsia="Calibri" w:cs="Times-Roman" w:ascii="Times-Roman" w:hAnsi="Times-Roman"/>
          <w:color w:val="18191B"/>
          <w:lang w:val="en-US"/>
        </w:rPr>
        <w:t>Sc</w:t>
      </w:r>
      <w:r>
        <w:rPr>
          <w:rFonts w:eastAsia="Calibri" w:cs="Times-Roman" w:ascii="Times-Roman" w:hAnsi="Times-Roman"/>
          <w:color w:val="18191B"/>
        </w:rPr>
        <w:t>ο</w:t>
      </w:r>
      <w:r>
        <w:rPr>
          <w:rFonts w:eastAsia="Calibri" w:cs="Times-Roman" w:ascii="Times-Roman" w:hAnsi="Times-Roman"/>
          <w:color w:val="18191B"/>
          <w:lang w:val="en-US"/>
        </w:rPr>
        <w:t>re</w:t>
      </w:r>
      <w:r>
        <w:rPr>
          <w:rFonts w:eastAsia="Calibri" w:cs="Times-Roman" w:ascii="Times-Roman" w:hAnsi="Times-Roman"/>
          <w:color w:val="18191B"/>
        </w:rPr>
        <w:t xml:space="preserve">-PRS) που αυξάνει την πρόβλεψη μεταβολής του ΔΜΣ έως και 23%. Είναι ενδιαφέρον ότι αυτή η μέθοδος  PRS συσχετίστηκε με το ΔΜΣ των ενηλίκων, αλλά αυτό έδειξε συνέπεια και στα παιδιά </w:t>
      </w:r>
      <w:r>
        <w:fldChar w:fldCharType="begin"/>
      </w:r>
      <w:r>
        <w:rPr>
          <w:rFonts w:eastAsia="Calibri" w:cs="Times-Roman" w:ascii="Times-Roman" w:hAnsi="Times-Roman"/>
          <w:color w:val="18191B"/>
        </w:rPr>
        <w:instrText xml:space="preserve">ADDIN ZOTERO_ITEM CSL_CITATION {"citationID":"Acqau65j","properties":{"formattedCitation":"[124]","plainCitation":"[124]","noteIndex":0},"citationItems":[{"id":3061,"uris":["http://zotero.org/users/local/WDVvZTBM/items/BF7R8XPT"],"itemData":{"id":3061,"type":"article-journal","abstract":"Severe obesity is a rapidly growing global health threat. Although often attributed to unhealthy lifestyle choices or environmental factors, obesity is known to be heritable and highly polygenic; the majority of inherited susceptibility is related to the cumulative effect of many common DNA variants …","container-title":"Cell","DOI":"10.1016/j.cell.2019.03.028","ISSN":"1097-4172","issue":"3","language":"en","note":"publisher: Cell\nPMID: 31002795","source":"pubmed.ncbi.nlm.nih.gov","title":"Polygenic Prediction of Weight and Obesity Trajectories from Birth to Adulthood","URL":"https://pubmed.ncbi.nlm.nih.gov/31002795/","volume":"177","author":[{"family":"Av","given":"Khera"},{"family":"M","given":"Chaffin"},{"family":"Kh","given":"Wade"},{"family":"S","given":"Zahid"},{"family":"J","given":"Brancale"},{"family":"R","given":"Xia"},{"family":"M","given":"Distefano"},{"family":"O","given":"Senol-Cosar"},{"family":"Me","given":"Haas"},{"family":"A","given":"Bick"},{"family":"Kg","given":"Aragam"},{"family":"Es","given":"Lander"},{"family":"Gd","given":"Smith"},{"family":"H","given":"Mason-Suares"},{"family":"M","given":"Fornage"},{"family":"M","given":"Lebo"},{"family":"Nj","given":"Timpson"},{"family":"Lm","given":"Kaplan"},{"family":"S","given":"Kathiresan"}],"accessed":{"date-parts":[["2023",11,19]]},"issued":{"date-parts":[["2019",4,18]]}}}],"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[124]</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Πρόσφατα, μια GWAS αναγνώρισε δεκαεννέα σημαντικές περιοχές γονιδιωμώτων που σχετίζονται με το σωματικό λίπος </w:t>
      </w:r>
      <w:r>
        <w:fldChar w:fldCharType="begin"/>
      </w:r>
      <w:r>
        <w:rPr>
          <w:rFonts w:eastAsia="Calibri" w:cs="Times-Roman" w:ascii="Times-Roman" w:hAnsi="Times-Roman"/>
          <w:color w:val="18191B"/>
        </w:rPr>
        <w:instrText xml:space="preserve">ADDIN ZOTERO_ITEM CSL_CITATION {"citationID":"jCn45CEm","properties":{"formattedCitation":"[125]","plainCitation":"[125]","noteIndex":0},"citationItems":[{"id":3063,"uris":["http://zotero.org/users/local/WDVvZTBM/items/F6IP4ZEB"],"itemData":{"id":3063,"type":"article-journal","abstract":"Additional loci that contribute to childhood adiposity were identified, further explicating its genetic architecture.","container-title":"Obesity (Silver Spring, Md.)","DOI":"10.1002/oby.23070","ISSN":"1930-739X","issue":"2","language":"en","note":"publisher: Obesity (Silver Spring)\nPMID: 33491310","source":"pubmed.ncbi.nlm.nih.gov","title":"A Genome-Wide Association Study of Childhood Body Fatness","URL":"https://pubmed.ncbi.nlm.nih.gov/33491310/","volume":"29","author":[{"family":"Et","given":"Warner"},{"family":"L","given":"Jiang"},{"family":"Dn","given":"Adjei"},{"family":"C","given":"Turman"},{"family":"W","given":"Gordon"},{"family":"L","given":"Wang"},{"family":"R","given":"Tamimi"},{"family":"P","given":"Kraft"},{"family":"S","given":"Lindström"}],"accessed":{"date-parts":[["2023",11,19]]},"issued":{"date-parts":[["2021",2]]}}}],"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[125]</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Από αυτή τη μελέτη προέκυψε, για πρώτη φορά, ο σύλλογος του BDNF, η ευαίσθητη τριάδα ιστιδίνης τριφωσφατάσης διαδενοσίνης (</w:t>
      </w:r>
      <w:r>
        <w:rPr>
          <w:rFonts w:eastAsia="Calibri" w:cs="Times-Roman" w:ascii="Times-Roman" w:hAnsi="Times-Roman"/>
          <w:color w:val="18191B"/>
          <w:lang w:val="en-US"/>
        </w:rPr>
        <w:t>Fragile</w:t>
      </w:r>
      <w:r>
        <w:rPr>
          <w:rFonts w:eastAsia="Calibri" w:cs="Times-Roman" w:ascii="Times-Roman" w:hAnsi="Times-Roman"/>
          <w:color w:val="18191B"/>
        </w:rPr>
        <w:t xml:space="preserve"> </w:t>
      </w:r>
      <w:r>
        <w:rPr>
          <w:rFonts w:eastAsia="Calibri" w:cs="Times-Roman" w:ascii="Times-Roman" w:hAnsi="Times-Roman"/>
          <w:color w:val="18191B"/>
          <w:lang w:val="en-US"/>
        </w:rPr>
        <w:t>Histidine</w:t>
      </w:r>
      <w:r>
        <w:rPr>
          <w:rFonts w:eastAsia="Calibri" w:cs="Times-Roman" w:ascii="Times-Roman" w:hAnsi="Times-Roman"/>
          <w:color w:val="18191B"/>
        </w:rPr>
        <w:t xml:space="preserve"> </w:t>
      </w:r>
      <w:r>
        <w:rPr>
          <w:rFonts w:eastAsia="Calibri" w:cs="Times-Roman" w:ascii="Times-Roman" w:hAnsi="Times-Roman"/>
          <w:color w:val="18191B"/>
          <w:lang w:val="en-US"/>
        </w:rPr>
        <w:t>Triad</w:t>
      </w:r>
      <w:r>
        <w:rPr>
          <w:rFonts w:eastAsia="Calibri" w:cs="Times-Roman" w:ascii="Times-Roman" w:hAnsi="Times-Roman"/>
          <w:color w:val="18191B"/>
        </w:rPr>
        <w:t xml:space="preserve"> </w:t>
      </w:r>
      <w:r>
        <w:rPr>
          <w:rFonts w:eastAsia="Calibri" w:cs="Times-Roman" w:ascii="Times-Roman" w:hAnsi="Times-Roman"/>
          <w:color w:val="18191B"/>
          <w:lang w:val="en-US"/>
        </w:rPr>
        <w:t>Diadenosine</w:t>
      </w:r>
      <w:r>
        <w:rPr>
          <w:rFonts w:eastAsia="Calibri" w:cs="Times-Roman" w:ascii="Times-Roman" w:hAnsi="Times-Roman"/>
          <w:color w:val="18191B"/>
        </w:rPr>
        <w:t xml:space="preserve"> </w:t>
      </w:r>
      <w:r>
        <w:rPr>
          <w:rFonts w:eastAsia="Calibri" w:cs="Times-Roman" w:ascii="Times-Roman" w:hAnsi="Times-Roman"/>
          <w:color w:val="18191B"/>
          <w:lang w:val="en-US"/>
        </w:rPr>
        <w:t>Triphosphatase</w:t>
      </w:r>
      <w:r>
        <w:rPr>
          <w:rFonts w:eastAsia="Calibri" w:cs="Times-Roman" w:ascii="Times-Roman" w:hAnsi="Times-Roman"/>
          <w:color w:val="18191B"/>
        </w:rPr>
        <w:t xml:space="preserve">-FHIT), και </w:t>
      </w:r>
      <w:r>
        <w:rPr>
          <w:rFonts w:eastAsia="Calibri" w:cs="Times-Roman" w:ascii="Times-Roman" w:hAnsi="Times-Roman"/>
          <w:color w:val="18191B"/>
          <w:lang w:val="en-US"/>
        </w:rPr>
        <w:t>o</w:t>
      </w:r>
      <w:r>
        <w:rPr>
          <w:rFonts w:eastAsia="Calibri" w:cs="Times-Roman" w:ascii="Times-Roman" w:hAnsi="Times-Roman"/>
          <w:color w:val="18191B"/>
        </w:rPr>
        <w:t>ι γονιδιακές περιοχές πρωτεϊνικής κινάσης D1 (</w:t>
      </w:r>
      <w:r>
        <w:rPr>
          <w:rFonts w:eastAsia="Calibri" w:cs="Times-Roman" w:ascii="Times-Roman" w:hAnsi="Times-Roman"/>
          <w:color w:val="18191B"/>
          <w:lang w:val="en-US"/>
        </w:rPr>
        <w:t>Protein</w:t>
      </w:r>
      <w:r>
        <w:rPr>
          <w:rFonts w:eastAsia="Calibri" w:cs="Times-Roman" w:ascii="Times-Roman" w:hAnsi="Times-Roman"/>
          <w:color w:val="18191B"/>
        </w:rPr>
        <w:t xml:space="preserve"> </w:t>
      </w:r>
      <w:r>
        <w:rPr>
          <w:rFonts w:eastAsia="Calibri" w:cs="Times-Roman" w:ascii="Times-Roman" w:hAnsi="Times-Roman"/>
          <w:color w:val="18191B"/>
          <w:lang w:val="en-US"/>
        </w:rPr>
        <w:t>Kinase</w:t>
      </w:r>
      <w:r>
        <w:rPr>
          <w:rFonts w:eastAsia="Calibri" w:cs="Times-Roman" w:ascii="Times-Roman" w:hAnsi="Times-Roman"/>
          <w:color w:val="18191B"/>
        </w:rPr>
        <w:t xml:space="preserve"> </w:t>
      </w:r>
      <w:r>
        <w:rPr>
          <w:rFonts w:eastAsia="Calibri" w:cs="Times-Roman" w:ascii="Times-Roman" w:hAnsi="Times-Roman"/>
          <w:color w:val="18191B"/>
          <w:lang w:val="en-US"/>
        </w:rPr>
        <w:t>D</w:t>
      </w:r>
      <w:r>
        <w:rPr>
          <w:rFonts w:eastAsia="Calibri" w:cs="Times-Roman" w:ascii="Times-Roman" w:hAnsi="Times-Roman"/>
          <w:color w:val="18191B"/>
        </w:rPr>
        <w:t xml:space="preserve">1-PRKD1) με ΔΜΣ σε παιδιά. </w:t>
      </w:r>
    </w:p>
    <w:p>
      <w:pPr>
        <w:pStyle w:val="Normal"/>
        <w:spacing w:lineRule="auto" w:line="360"/>
        <w:ind w:firstLine="720"/>
        <w:jc w:val="both"/>
        <w:rPr>
          <w:rFonts w:ascii="Times-Roman" w:hAnsi="Times-Roman" w:eastAsia="Calibri" w:cs="Times-Roman"/>
          <w:color w:val="18191B"/>
        </w:rPr>
      </w:pPr>
      <w:r>
        <w:rPr>
          <w:rFonts w:eastAsia="Calibri" w:cs="Times-Roman" w:ascii="Times-Roman" w:hAnsi="Times-Roman"/>
          <w:color w:val="18191B"/>
        </w:rPr>
        <w:t>Τα αυξανόμενα στοιχεία έδειξαν ότι η γενετική παραλλαγή (συνήθως SNPs) μπορεί επίσης να επηρεάσουν τα επιγενετικά προφίλ ανεξάρτητα από ή με τη συμβολή των περιβαλλοντικών παραγόντων. Ειδικότερα, έχουν αναγνωριστεί διάφορες παραλλαγές στα χαρακτηριστικά ποσοτικής μεθυλίωσης (μ</w:t>
      </w:r>
      <w:r>
        <w:rPr>
          <w:rFonts w:eastAsia="Calibri" w:cs="Times-Roman" w:ascii="Times-Roman" w:hAnsi="Times-Roman"/>
          <w:color w:val="18191B"/>
          <w:lang w:val="en-US"/>
        </w:rPr>
        <w:t>ethylation</w:t>
      </w:r>
      <w:r>
        <w:rPr>
          <w:rFonts w:eastAsia="Calibri" w:cs="Times-Roman" w:ascii="Times-Roman" w:hAnsi="Times-Roman"/>
          <w:color w:val="18191B"/>
        </w:rPr>
        <w:t xml:space="preserve"> </w:t>
      </w:r>
      <w:r>
        <w:rPr>
          <w:rFonts w:eastAsia="Calibri" w:cs="Times-Roman" w:ascii="Times-Roman" w:hAnsi="Times-Roman"/>
          <w:color w:val="18191B"/>
          <w:lang w:val="en-US"/>
        </w:rPr>
        <w:t>quantitive</w:t>
      </w:r>
      <w:r>
        <w:rPr>
          <w:rFonts w:eastAsia="Calibri" w:cs="Times-Roman" w:ascii="Times-Roman" w:hAnsi="Times-Roman"/>
          <w:color w:val="18191B"/>
        </w:rPr>
        <w:t xml:space="preserve"> </w:t>
      </w:r>
      <w:r>
        <w:rPr>
          <w:rFonts w:eastAsia="Calibri" w:cs="Times-Roman" w:ascii="Times-Roman" w:hAnsi="Times-Roman"/>
          <w:color w:val="18191B"/>
          <w:lang w:val="en-US"/>
        </w:rPr>
        <w:t>trait</w:t>
      </w:r>
      <w:r>
        <w:rPr>
          <w:rFonts w:eastAsia="Calibri" w:cs="Times-Roman" w:ascii="Times-Roman" w:hAnsi="Times-Roman"/>
          <w:color w:val="18191B"/>
        </w:rPr>
        <w:t xml:space="preserve"> </w:t>
      </w:r>
      <w:r>
        <w:rPr>
          <w:rFonts w:eastAsia="Calibri" w:cs="Times-Roman" w:ascii="Times-Roman" w:hAnsi="Times-Roman"/>
          <w:color w:val="18191B"/>
          <w:lang w:val="en-US"/>
        </w:rPr>
        <w:t>loci</w:t>
      </w:r>
      <w:r>
        <w:rPr>
          <w:rFonts w:eastAsia="Calibri" w:cs="Times-Roman" w:ascii="Times-Roman" w:hAnsi="Times-Roman"/>
          <w:color w:val="18191B"/>
        </w:rPr>
        <w:t xml:space="preserve">-meQTLs) που κατανέμονται διαφορικά σε όλο το γονιδίωμα και εμπλέκονται στην παχυσαρκία και στα μεταβολικά χαρακτηριστικά </w:t>
      </w:r>
      <w:r>
        <w:fldChar w:fldCharType="begin"/>
      </w:r>
      <w:r>
        <w:rPr>
          <w:rFonts w:eastAsia="Calibri" w:cs="Times-Roman" w:ascii="Times-Roman" w:hAnsi="Times-Roman"/>
          <w:color w:val="18191B"/>
        </w:rPr>
        <w:instrText xml:space="preserve">ADDIN ZOTERO_ITEM CSL_CITATION {"citationID":"qO28qj3j","properties":{"formattedCitation":"[126]","plainCitation":"[126]","noteIndex":0},"citationItems":[{"id":3068,"uris":["http://zotero.org/users/local/WDVvZTBM/items/NBJZE2YT"],"itemData":{"id":3068,"type":"article-journal","abstract":"Multiple recent studies highlight that genetic variants can have strong impacts on a significant proportion of the human DNA methylome. Methylation quantitative trait loci, or meQTLs, allow for the exploration of biological mechanisms that underlie complex human phenotypes, with potential insights for human disease onset and progression. In this review, we summarize recent milestones in characterizing the human genetic basis of DNA methylation variation over the last decade, including heritability findings and genome-wide identification of meQTLs. We also discuss challenges in this field and future areas of research geared to generate insights into molecular processes underlying human complex traits.","container-title":"Genome Biology","DOI":"10.1186/s13059-021-02347-6","ISSN":"1474-760X","issue":"1","journalAbbreviation":"Genome Biol","language":"en","license":"2021 The Author(s)","note":"number: 1\npublisher: BioMed Central","page":"1-35","source":"genomebiology.biomedcentral.com","title":"Genetic impacts on DNA methylation: research findings and future perspectives","title-short":"Genetic impacts on DNA methylation","volume":"22","author":[{"family":"Villicaña","given":"Sergio"},{"family":"Bell","given":"Jordana T."}],"issued":{"date-parts":[["2021",12]]}}}],"schema":"https://github.com/citation-style-language/schema/raw/master/csl-citation.json"}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[126]</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Μια μετα-ανάλυση έδειξε ότι η παραλλαγή rs17782313 μπορεί να ρυθμίζει την έκφραση του γονιδίου MC4R, επηρεάζοντας τα επίπεδα μεθυλίωσης του, συμβάλλοντας έτσι στην παιδική παχυσαρκία </w:t>
      </w:r>
      <w:r>
        <w:fldChar w:fldCharType="begin"/>
      </w:r>
      <w:r>
        <w:rPr>
          <w:rFonts w:eastAsia="Calibri" w:cs="Times-Roman" w:ascii="Times-Roman" w:hAnsi="Times-Roman"/>
          <w:color w:val="18191B"/>
        </w:rPr>
        <w:instrText xml:space="preserve">ADDIN ZOTERO_ITEM CSL_CITATION {"citationID":"EXcaOg3w","properties":{"formattedCitation":"[127]","plainCitation":"[127]","noteIndex":0},"citationItems":[{"id":3070,"uris":["http://zotero.org/users/local/WDVvZTBM/items/XVTRV377"],"itemData":{"id":3070,"type":"webpage","title":"MeQTL analysis of childhood obesity links epigenetics with a risk SNP rs17782313 near MC4R from meta-analysis - PubMed","URL":"https://pubmed.ncbi.nlm.nih.gov/27926527/","accessed":{"date-parts":[["2023",11,19]]}}}],"schema":"https://github.com/citation-style-language/schema/raw/master/csl-citation.json"}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[127]</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Περαιτέρω μελέτες από τη χρήση της ανάλυσης των meQTL με GWAS μπορεί να βοηθήσει στην κατανόηση της γενετικής προδιάθεσης και ττων περιβαλλοντικών παραγόντων που αλληλεπιδρούν μεταξύ τους, για να καθορίσουν την κατάσταση μεθυλίωσης που προδιαθέτει την ανάπτυξη παχύσαρκου φαινοτύπου στα παιδιά. Επιπλέον,  μελλοντικές έρευνες θα έπρεπε να προσπαθήσουν να επαληθεύσουν  αν τα ευρήματα μεθυλώματος της προγεννητικής έκθεσης μπορούν να ρυθμιστούν με γενετική παραλλαγή/ειδικούς απλούς πολυμορφισμούς στα μεταβολισμένα γονίδια που συσχετίζονται επίσης με την παχυσαρκία των παιδιών και των εφήβων,  επιβεβαιώνοντας έτσι τη δυνατότητα και του παθητικού και ενεργητικού ρόλου της μεθυλίωσης του DNA, στις ρυθμιστικές αλληλεπιδράσεις που επηρεάζουν έκφραση γονιδίου </w:t>
      </w:r>
      <w:r>
        <w:fldChar w:fldCharType="begin"/>
      </w:r>
      <w:r>
        <w:rPr>
          <w:rFonts w:eastAsia="Calibri" w:cs="Times-Roman" w:ascii="Times-Roman" w:hAnsi="Times-Roman"/>
          <w:color w:val="18191B"/>
        </w:rPr>
        <w:instrText xml:space="preserve">ADDIN ZOTERO_ITEM CSL_CITATION {"citationID":"Bb6zoIZY","properties":{"formattedCitation":"[128], [129]","plainCitation":"[128], [129]","noteIndex":0},"citationItems":[{"id":3071,"uris":["http://zotero.org/users/local/WDVvZTBM/items/NSDX748F"],"itemData":{"id":3071,"type":"article-journal","abstract":"DNA methylation is an essential epigenetic mark whose role in gene regulation and its dependency on genomic sequence and environment are not fully understood. In this study we provide novel insights into the mechanistic relationships between genetic variation, DNA methylation and transcriptome seque …","container-title":"eLife","DOI":"10.7554/eLife.00523","ISSN":"2050-084X","language":"en","note":"publisher: Elife\nPMID: 23755361","source":"pubmed.ncbi.nlm.nih.gov","title":"Passive and active DNA methylation and the interplay with genetic variation in gene regulation","URL":"https://pubmed.ncbi.nlm.nih.gov/23755361/","volume":"2","author":[{"family":"M","given":"Gutierrez-Arcelus"},{"family":"T","given":"Lappalainen"},{"family":"Sb","given":"Montgomery"},{"family":"A","given":"Buil"},{"family":"H","given":"Ongen"},{"family":"A","given":"Yurovsky"},{"family":"J","given":"Bryois"},{"family":"T","given":"Giger"},{"family":"L","given":"Romano"},{"family":"A","given":"Planchon"},{"family":"E","given":"Falconnet"},{"family":"D","given":"Bielser"},{"family":"M","given":"Gagnebin"},{"family":"I","given":"Padioleau"},{"family":"C","given":"Borel"},{"family":"A","given":"Letourneau"},{"family":"P","given":"Makrythanasis"},{"family":"M","given":"Guipponi"},{"family":"C","given":"Gehrig"},{"family":"Se","given":"Antonarakis"},{"family":"Et","given":"Dermitzakis"}],"accessed":{"date-parts":[["2023",11,19]]},"issued":{"date-parts":[["2013",4,6]]}}},{"id":3073,"uris":["http://zotero.org/users/local/WDVvZTBM/items/BJYJ8EV7"],"itemData":{"id":3073,"type":"article-journal","abstract":"A new study integrates genome-wide SNP genotyping, RNA-Seq and DNA methylation in human cells, revealing their relationships and posing new questions about causality.","container-title":"Genome Biology","DOI":"10.1186/gb-2013-14-7-126","ISSN":"1474-760X","issue":"7","journalAbbreviation":"Genome Biol","language":"en","license":"2013 BioMed Central Ltd","note":"number: 7\npublisher: BioMed Central","page":"1-3","source":"genomebiology.biomedcentral.com","title":"DNA methylation, genotype and gene expression: who is driving and who is along for the ride?","title-short":"DNA methylation, genotype and gene expression","volume":"14","author":[{"family":"Jones","given":"Meaghan J."},{"family":"Fejes","given":"Anthony P."},{"family":"Kobor","given":"Michael S."}],"issued":{"date-parts":[["2013",7]]}}}],"schema":"https://github.com/citation-style-language/schema/raw/master/csl-citation.json"}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[128], [129]</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w:t>
      </w:r>
    </w:p>
    <w:p>
      <w:pPr>
        <w:pStyle w:val="Caption1"/>
        <w:keepNext w:val="true"/>
        <w:jc w:val="center"/>
        <w:rPr>
          <w:lang w:val="en-US"/>
        </w:rPr>
      </w:pPr>
      <w:bookmarkStart w:id="66" w:name="_Toc151291303"/>
      <w:r>
        <w:rPr/>
        <w:t xml:space="preserve">Πίνακας </w:t>
      </w:r>
      <w:r>
        <w:rPr/>
        <w:fldChar w:fldCharType="begin"/>
      </w:r>
      <w:r>
        <w:rPr/>
        <w:instrText xml:space="preserve"> SEQ Πίνακας \* ARABIC </w:instrText>
      </w:r>
      <w:r>
        <w:rPr/>
        <w:fldChar w:fldCharType="separate"/>
      </w:r>
      <w:r>
        <w:rPr/>
        <w:t>4</w:t>
      </w:r>
      <w:r>
        <w:rPr/>
        <w:fldChar w:fldCharType="end"/>
      </w:r>
      <w:r>
        <w:rPr/>
        <w:t xml:space="preserve">: </w:t>
      </w:r>
      <w:r>
        <w:rPr>
          <w:b w:val="false"/>
          <w:bCs w:val="false"/>
          <w:i/>
          <w:iCs/>
          <w:sz w:val="16"/>
          <w:szCs w:val="16"/>
        </w:rPr>
        <w:t>Τα 10 πιο κοινά γονίδια (l</w:t>
      </w:r>
      <w:r>
        <w:rPr>
          <w:b w:val="false"/>
          <w:bCs w:val="false"/>
          <w:i/>
          <w:iCs/>
          <w:sz w:val="16"/>
          <w:szCs w:val="16"/>
          <w:lang w:val="en-US"/>
        </w:rPr>
        <w:t>oci</w:t>
      </w:r>
      <w:r>
        <w:rPr>
          <w:b w:val="false"/>
          <w:bCs w:val="false"/>
          <w:i/>
          <w:iCs/>
          <w:sz w:val="16"/>
          <w:szCs w:val="16"/>
        </w:rPr>
        <w:t>) που σχετίζονται με την παιδική παχυσαρκία.</w:t>
      </w:r>
      <w:r>
        <w:fldChar w:fldCharType="begin"/>
      </w:r>
      <w:r>
        <w:rPr>
          <w:sz w:val="16"/>
          <w:i/>
          <w:b w:val="false"/>
          <w:szCs w:val="16"/>
          <w:iCs/>
          <w:bCs w:val="false"/>
        </w:rPr>
        <w:instrText xml:space="preserve">ADDIN ZOTERO_ITEM CSL_CITATION {"citationID":"bNC6xuqW","properties":{"formattedCitation":"[71]","plainCitation":"[71]","noteIndex":0},"citationItems":[{"id":2420,"uris":["http://zotero.org/users/local/WDVvZTBM/items/TZVACEE6"],"itemData":{"id":2420,"type":"article-journal","abstract":"Obesity represents a major health burden to both developed and developing countries. Furthermore, the incidence of obesity is increasing in children. Obesity contributes substantially to mortality in the United States by increasing the risk for type 2 diabetes, cardiovascular-related diseases, and other comorbidities. Despite environmental changes over past decades, including increases in high-calorie foods and sedentary lifestyles, there is very clear evidence of a genetic predisposition to obesity risk. Childhood obesity cases can be categorized in one of two ways: syndromic or non-syndromic. Syndromic obesity includes disorders such as PraderWilli syndrome, Bardet-Biedl syndrome, and Alström syndrome. Non-syndromic cases of obesity can be further separated into rarer instances of monogenic obesity and much more common forms of polygenic obesity. The advent of genome-wide association studies (GWAS) and next-generation sequencing has driven significant advances in our understanding of the genetic contribution to childhood obesity. Many rare and common genetic variants have been shown to contribute to the heritability in obesity, although the molecular mechanisms underlying most of these variants remain unclear. An important caveat of GWAS efforts is that they do not strictly represent gene target discoveries, rather simply the uncovering of robust genetic signals. One clear example of this is with progress in understanding the key obesity signal harbored within an intronic region of the FTO gene. It has been shown that the non-coding region in which the variant actually resides in fact influences the expression of genes distal to FTO instead, specifically IRX3 and IRX5. Such discoveries suggest that associated non-coding variants can be embedded within or next to one gene, but commonly influence the expression of other, more distal effector genes. Advances in genetics and genomics are therefore contributing to a deeper understanding of childhood obesity, allowing for development of clinical tools and therapeutic agents.","container-title":"Molecular Diagnosis &amp; Therapy","DOI":"10.1007/s40291-020-00496-1","ISSN":"1177-1062, 1179-2000","issue":"6","journalAbbreviation":"Mol Diagn Ther","language":"en","page":"653-663","source":"DOI.org (Crossref)","title":"Genetic Determinants of Childhood Obesity","volume":"24","author":[{"family":"Littleton","given":"Sheridan H."},{"family":"Berkowitz","given":"Robert I."},{"family":"Grant","given":"Struan F. A."}],"issued":{"date-parts":[["2020",12]]}}}],"schema":"https://github.com/citation-style-language/schema/raw/master/csl-citation.json"}</w:instrText>
      </w:r>
      <w:r>
        <w:rPr>
          <w:b w:val="false"/>
          <w:bCs w:val="false"/>
          <w:i/>
          <w:iCs/>
          <w:sz w:val="16"/>
          <w:szCs w:val="16"/>
        </w:rPr>
      </w:r>
      <w:r>
        <w:rPr>
          <w:sz w:val="16"/>
          <w:i/>
          <w:b w:val="false"/>
          <w:szCs w:val="16"/>
          <w:iCs/>
          <w:bCs w:val="false"/>
        </w:rPr>
        <w:fldChar w:fldCharType="separate"/>
      </w:r>
      <w:r>
        <w:rPr>
          <w:b w:val="false"/>
          <w:bCs w:val="false"/>
          <w:i/>
          <w:iCs/>
          <w:sz w:val="16"/>
          <w:szCs w:val="16"/>
        </w:rPr>
      </w:r>
      <w:r>
        <w:rPr>
          <w:b w:val="false"/>
          <w:bCs w:val="false"/>
          <w:i/>
          <w:iCs/>
          <w:sz w:val="16"/>
          <w:szCs w:val="16"/>
          <w:lang w:val="en-US"/>
        </w:rPr>
        <w:t>[71]</w:t>
      </w:r>
      <w:r/>
      <w:r>
        <w:rPr>
          <w:sz w:val="16"/>
          <w:i/>
          <w:b w:val="false"/>
          <w:szCs w:val="16"/>
          <w:iCs/>
          <w:bCs w:val="false"/>
        </w:rPr>
        <w:fldChar w:fldCharType="end"/>
      </w:r>
      <w:r>
        <w:rPr>
          <w:b w:val="false"/>
          <w:bCs w:val="false"/>
          <w:i/>
          <w:iCs/>
          <w:sz w:val="16"/>
          <w:szCs w:val="16"/>
        </w:rPr>
      </w:r>
      <w:bookmarkEnd w:id="66"/>
    </w:p>
    <w:tbl>
      <w:tblPr>
        <w:tblStyle w:val="ae"/>
        <w:tblW w:w="8303"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469"/>
        <w:gridCol w:w="1512"/>
        <w:gridCol w:w="1352"/>
        <w:gridCol w:w="1351"/>
        <w:gridCol w:w="1384"/>
        <w:gridCol w:w="1234"/>
      </w:tblGrid>
      <w:tr>
        <w:trPr/>
        <w:tc>
          <w:tcPr>
            <w:tcW w:w="1469" w:type="dxa"/>
            <w:tcBorders/>
            <w:shd w:color="auto" w:fill="D9D9D9" w:themeFill="background1" w:themeFillShade="d9" w:val="clear"/>
            <w:vAlign w:val="center"/>
          </w:tcPr>
          <w:p>
            <w:pPr>
              <w:pStyle w:val="Normal"/>
              <w:widowControl/>
              <w:spacing w:lineRule="auto" w:line="360" w:before="0" w:after="0"/>
              <w:jc w:val="center"/>
              <w:rPr>
                <w:rFonts w:ascii="Times-Roman" w:hAnsi="Times-Roman" w:eastAsia="Calibri" w:cs="Times-Roman"/>
                <w:b/>
                <w:bCs/>
                <w:color w:val="18191B"/>
                <w:sz w:val="18"/>
                <w:szCs w:val="18"/>
                <w:lang w:val="en-US"/>
              </w:rPr>
            </w:pPr>
            <w:r>
              <w:rPr>
                <w:rFonts w:eastAsia="Calibri" w:cs="Times New Roman"/>
                <w:b/>
                <w:bCs/>
                <w:kern w:val="0"/>
                <w:sz w:val="18"/>
                <w:szCs w:val="18"/>
                <w:lang w:val="en-US" w:eastAsia="el-GR" w:bidi="ar-SA"/>
              </w:rPr>
              <w:t>Locus name</w:t>
            </w:r>
          </w:p>
        </w:tc>
        <w:tc>
          <w:tcPr>
            <w:tcW w:w="1512" w:type="dxa"/>
            <w:tcBorders/>
            <w:shd w:color="auto" w:fill="D9D9D9" w:themeFill="background1" w:themeFillShade="d9" w:val="clear"/>
            <w:vAlign w:val="center"/>
          </w:tcPr>
          <w:p>
            <w:pPr>
              <w:pStyle w:val="Normal"/>
              <w:widowControl/>
              <w:tabs>
                <w:tab w:val="clear" w:pos="720"/>
                <w:tab w:val="left" w:pos="275" w:leader="none"/>
              </w:tabs>
              <w:spacing w:lineRule="auto" w:line="360" w:before="0" w:after="0"/>
              <w:jc w:val="center"/>
              <w:rPr>
                <w:rFonts w:ascii="Times-Roman" w:hAnsi="Times-Roman" w:eastAsia="Calibri" w:cs="Times-Roman"/>
                <w:b/>
                <w:bCs/>
                <w:color w:val="18191B"/>
                <w:sz w:val="18"/>
                <w:szCs w:val="18"/>
                <w:lang w:val="en-US"/>
              </w:rPr>
            </w:pPr>
            <w:r>
              <w:rPr>
                <w:rFonts w:eastAsia="Calibri" w:cs="Times New Roman"/>
                <w:b/>
                <w:bCs/>
                <w:kern w:val="0"/>
                <w:sz w:val="18"/>
                <w:szCs w:val="18"/>
                <w:lang w:val="en-US" w:eastAsia="el-GR" w:bidi="ar-SA"/>
              </w:rPr>
              <w:t>Marker SNP</w:t>
            </w:r>
          </w:p>
        </w:tc>
        <w:tc>
          <w:tcPr>
            <w:tcW w:w="1352" w:type="dxa"/>
            <w:tcBorders/>
            <w:shd w:color="auto" w:fill="D9D9D9" w:themeFill="background1" w:themeFillShade="d9" w:val="clear"/>
            <w:vAlign w:val="center"/>
          </w:tcPr>
          <w:p>
            <w:pPr>
              <w:pStyle w:val="Normal"/>
              <w:widowControl/>
              <w:spacing w:lineRule="auto" w:line="360" w:before="0" w:after="0"/>
              <w:jc w:val="center"/>
              <w:rPr>
                <w:rFonts w:ascii="Times-Roman" w:hAnsi="Times-Roman" w:eastAsia="Calibri" w:cs="Times-Roman"/>
                <w:b/>
                <w:bCs/>
                <w:color w:val="18191B"/>
                <w:sz w:val="18"/>
                <w:szCs w:val="18"/>
                <w:lang w:val="en-US"/>
              </w:rPr>
            </w:pPr>
            <w:r>
              <w:rPr>
                <w:rFonts w:eastAsia="Calibri" w:cs="Times New Roman"/>
                <w:b/>
                <w:bCs/>
                <w:kern w:val="0"/>
                <w:sz w:val="18"/>
                <w:szCs w:val="18"/>
                <w:lang w:val="en-US" w:eastAsia="el-GR" w:bidi="ar-SA"/>
              </w:rPr>
              <w:t>Risk allele</w:t>
            </w:r>
          </w:p>
        </w:tc>
        <w:tc>
          <w:tcPr>
            <w:tcW w:w="1351" w:type="dxa"/>
            <w:tcBorders/>
            <w:shd w:color="auto" w:fill="D9D9D9" w:themeFill="background1" w:themeFillShade="d9" w:val="clear"/>
            <w:vAlign w:val="center"/>
          </w:tcPr>
          <w:p>
            <w:pPr>
              <w:pStyle w:val="Normal"/>
              <w:widowControl/>
              <w:spacing w:before="0" w:after="0"/>
              <w:jc w:val="center"/>
              <w:rPr>
                <w:rFonts w:eastAsia="Calibri"/>
                <w:b/>
                <w:bCs/>
                <w:sz w:val="18"/>
                <w:szCs w:val="18"/>
                <w:lang w:val="en-US"/>
              </w:rPr>
            </w:pPr>
            <w:r>
              <w:rPr>
                <w:rFonts w:eastAsia="Calibri" w:cs="Times New Roman"/>
                <w:b/>
                <w:bCs/>
                <w:kern w:val="0"/>
                <w:sz w:val="18"/>
                <w:szCs w:val="18"/>
                <w:lang w:val="en-US" w:eastAsia="el-GR" w:bidi="ar-SA"/>
              </w:rPr>
              <w:t>Non-risk</w:t>
            </w:r>
          </w:p>
          <w:p>
            <w:pPr>
              <w:pStyle w:val="Normal"/>
              <w:widowControl/>
              <w:spacing w:lineRule="auto" w:line="360" w:before="0" w:after="0"/>
              <w:jc w:val="center"/>
              <w:rPr>
                <w:rFonts w:ascii="Times-Roman" w:hAnsi="Times-Roman" w:eastAsia="Calibri" w:cs="Times-Roman"/>
                <w:b/>
                <w:bCs/>
                <w:color w:val="18191B"/>
                <w:sz w:val="18"/>
                <w:szCs w:val="18"/>
                <w:lang w:val="en-US"/>
              </w:rPr>
            </w:pPr>
            <w:r>
              <w:rPr>
                <w:rFonts w:eastAsia="Calibri" w:cs="Times New Roman"/>
                <w:b/>
                <w:bCs/>
                <w:kern w:val="0"/>
                <w:sz w:val="18"/>
                <w:szCs w:val="18"/>
                <w:lang w:val="en-US" w:eastAsia="el-GR" w:bidi="ar-SA"/>
              </w:rPr>
              <w:t>allele</w:t>
            </w:r>
          </w:p>
        </w:tc>
        <w:tc>
          <w:tcPr>
            <w:tcW w:w="1384" w:type="dxa"/>
            <w:tcBorders/>
            <w:shd w:color="auto" w:fill="D9D9D9" w:themeFill="background1" w:themeFillShade="d9" w:val="clear"/>
            <w:vAlign w:val="center"/>
          </w:tcPr>
          <w:p>
            <w:pPr>
              <w:pStyle w:val="Normal"/>
              <w:widowControl/>
              <w:spacing w:lineRule="auto" w:line="360" w:before="0" w:after="0"/>
              <w:jc w:val="center"/>
              <w:rPr>
                <w:rFonts w:ascii="Times-Roman" w:hAnsi="Times-Roman" w:eastAsia="Calibri" w:cs="Times-Roman"/>
                <w:b/>
                <w:bCs/>
                <w:color w:val="18191B"/>
                <w:sz w:val="18"/>
                <w:szCs w:val="18"/>
                <w:lang w:val="en-US"/>
              </w:rPr>
            </w:pPr>
            <w:r>
              <w:rPr>
                <w:rFonts w:eastAsia="Calibri" w:cs="Times New Roman"/>
                <w:b/>
                <w:bCs/>
                <w:kern w:val="0"/>
                <w:sz w:val="18"/>
                <w:szCs w:val="18"/>
                <w:lang w:val="en-US" w:eastAsia="el-GR" w:bidi="ar-SA"/>
              </w:rPr>
              <w:t>Bayes’ factor</w:t>
            </w:r>
          </w:p>
        </w:tc>
        <w:tc>
          <w:tcPr>
            <w:tcW w:w="1234" w:type="dxa"/>
            <w:tcBorders/>
            <w:shd w:color="auto" w:fill="D9D9D9" w:themeFill="background1" w:themeFillShade="d9" w:val="clear"/>
            <w:vAlign w:val="center"/>
          </w:tcPr>
          <w:p>
            <w:pPr>
              <w:pStyle w:val="Normal"/>
              <w:widowControl/>
              <w:spacing w:lineRule="auto" w:line="360" w:before="0" w:after="0"/>
              <w:jc w:val="center"/>
              <w:rPr>
                <w:rFonts w:eastAsia="Calibri"/>
                <w:b/>
                <w:bCs/>
                <w:sz w:val="18"/>
                <w:szCs w:val="18"/>
                <w:lang w:val="en-US"/>
              </w:rPr>
            </w:pPr>
            <w:r>
              <w:rPr>
                <w:rFonts w:eastAsia="Calibri" w:cs="Times New Roman"/>
                <w:b/>
                <w:bCs/>
                <w:kern w:val="0"/>
                <w:sz w:val="18"/>
                <w:szCs w:val="18"/>
                <w:lang w:val="en-US" w:eastAsia="el-GR" w:bidi="ar-SA"/>
              </w:rPr>
              <w:t>Reference</w:t>
            </w:r>
          </w:p>
        </w:tc>
      </w:tr>
      <w:tr>
        <w:trPr/>
        <w:tc>
          <w:tcPr>
            <w:tcW w:w="1469" w:type="dxa"/>
            <w:tcBorders/>
          </w:tcPr>
          <w:p>
            <w:pPr>
              <w:pStyle w:val="Normal"/>
              <w:widowControl/>
              <w:spacing w:lineRule="auto" w:line="360" w:before="0" w:after="0"/>
              <w:jc w:val="center"/>
              <w:rPr>
                <w:rFonts w:ascii="Times-Roman" w:hAnsi="Times-Roman" w:eastAsia="Calibri" w:cs="Times-Roman"/>
                <w:color w:val="18191B"/>
                <w:sz w:val="20"/>
                <w:szCs w:val="20"/>
                <w:lang w:val="en-US"/>
              </w:rPr>
            </w:pPr>
            <w:r>
              <w:rPr>
                <w:rFonts w:eastAsia="Calibri" w:cs="Times New Roman"/>
                <w:kern w:val="0"/>
                <w:sz w:val="20"/>
                <w:szCs w:val="20"/>
                <w:lang w:val="en-US" w:eastAsia="el-GR" w:bidi="ar-SA"/>
              </w:rPr>
              <w:t>FTO</w:t>
            </w:r>
          </w:p>
        </w:tc>
        <w:tc>
          <w:tcPr>
            <w:tcW w:w="1512" w:type="dxa"/>
            <w:tcBorders/>
          </w:tcPr>
          <w:p>
            <w:pPr>
              <w:pStyle w:val="Normal"/>
              <w:widowControl/>
              <w:spacing w:lineRule="auto" w:line="360" w:before="0" w:after="0"/>
              <w:jc w:val="center"/>
              <w:rPr>
                <w:rFonts w:ascii="Times-Roman" w:hAnsi="Times-Roman" w:eastAsia="Calibri" w:cs="Times-Roman"/>
                <w:color w:val="18191B"/>
                <w:sz w:val="20"/>
                <w:szCs w:val="20"/>
                <w:lang w:val="en-US"/>
              </w:rPr>
            </w:pPr>
            <w:r>
              <w:rPr>
                <w:rFonts w:eastAsia="Calibri" w:cs="Times New Roman"/>
                <w:kern w:val="0"/>
                <w:sz w:val="20"/>
                <w:szCs w:val="20"/>
                <w:lang w:val="en-US" w:eastAsia="el-GR" w:bidi="ar-SA"/>
              </w:rPr>
              <w:t>rs56094641</w:t>
            </w:r>
          </w:p>
        </w:tc>
        <w:tc>
          <w:tcPr>
            <w:tcW w:w="1352" w:type="dxa"/>
            <w:tcBorders/>
          </w:tcPr>
          <w:p>
            <w:pPr>
              <w:pStyle w:val="Normal"/>
              <w:widowControl/>
              <w:spacing w:lineRule="auto" w:line="360" w:before="0" w:after="0"/>
              <w:jc w:val="center"/>
              <w:rPr>
                <w:rFonts w:ascii="Times-Roman" w:hAnsi="Times-Roman" w:eastAsia="Calibri" w:cs="Times-Roman"/>
                <w:color w:val="18191B"/>
                <w:sz w:val="20"/>
                <w:szCs w:val="20"/>
                <w:lang w:val="en-US"/>
              </w:rPr>
            </w:pPr>
            <w:r>
              <w:rPr>
                <w:rFonts w:eastAsia="Calibri" w:cs="Times-Roman" w:ascii="Times-Roman" w:hAnsi="Times-Roman"/>
                <w:color w:val="18191B"/>
                <w:kern w:val="0"/>
                <w:sz w:val="20"/>
                <w:szCs w:val="20"/>
                <w:lang w:val="en-US" w:eastAsia="el-GR" w:bidi="ar-SA"/>
              </w:rPr>
              <w:t>A</w:t>
            </w:r>
          </w:p>
        </w:tc>
        <w:tc>
          <w:tcPr>
            <w:tcW w:w="1351" w:type="dxa"/>
            <w:tcBorders/>
          </w:tcPr>
          <w:p>
            <w:pPr>
              <w:pStyle w:val="Normal"/>
              <w:widowControl/>
              <w:spacing w:lineRule="auto" w:line="360" w:before="0" w:after="0"/>
              <w:jc w:val="center"/>
              <w:rPr>
                <w:rFonts w:ascii="Times-Roman" w:hAnsi="Times-Roman" w:eastAsia="Calibri" w:cs="Times-Roman"/>
                <w:color w:val="18191B"/>
                <w:sz w:val="20"/>
                <w:szCs w:val="20"/>
                <w:lang w:val="en-US"/>
              </w:rPr>
            </w:pPr>
            <w:r>
              <w:rPr>
                <w:rFonts w:eastAsia="Calibri" w:cs="Times-Roman" w:ascii="Times-Roman" w:hAnsi="Times-Roman"/>
                <w:color w:val="18191B"/>
                <w:kern w:val="0"/>
                <w:sz w:val="20"/>
                <w:szCs w:val="20"/>
                <w:lang w:val="en-US" w:eastAsia="el-GR" w:bidi="ar-SA"/>
              </w:rPr>
              <w:t>G</w:t>
            </w:r>
          </w:p>
        </w:tc>
        <w:tc>
          <w:tcPr>
            <w:tcW w:w="1384" w:type="dxa"/>
            <w:tcBorders/>
          </w:tcPr>
          <w:p>
            <w:pPr>
              <w:pStyle w:val="Normal"/>
              <w:widowControl/>
              <w:spacing w:lineRule="auto" w:line="360" w:before="0" w:after="0"/>
              <w:jc w:val="center"/>
              <w:rPr>
                <w:rFonts w:ascii="Times-Roman" w:hAnsi="Times-Roman" w:eastAsia="Calibri" w:cs="Times-Roman"/>
                <w:color w:val="18191B"/>
                <w:sz w:val="20"/>
                <w:szCs w:val="20"/>
                <w:lang w:val="en-US"/>
              </w:rPr>
            </w:pPr>
            <w:r>
              <w:rPr>
                <w:rFonts w:eastAsia="Calibri" w:cs="Times New Roman"/>
                <w:kern w:val="0"/>
                <w:sz w:val="20"/>
                <w:szCs w:val="20"/>
                <w:lang w:val="en-US" w:eastAsia="el-GR" w:bidi="ar-SA"/>
              </w:rPr>
              <w:t>31.88</w:t>
            </w:r>
          </w:p>
        </w:tc>
        <w:tc>
          <w:tcPr>
            <w:tcW w:w="1234" w:type="dxa"/>
            <w:vMerge w:val="restart"/>
            <w:tcBorders/>
            <w:vAlign w:val="center"/>
          </w:tcPr>
          <w:p>
            <w:pPr>
              <w:pStyle w:val="Normal"/>
              <w:widowControl/>
              <w:spacing w:lineRule="auto" w:line="360" w:before="0" w:after="0"/>
              <w:jc w:val="center"/>
              <w:rPr>
                <w:rFonts w:eastAsia="Calibri"/>
                <w:sz w:val="20"/>
                <w:szCs w:val="20"/>
              </w:rPr>
            </w:pPr>
            <w:r>
              <w:rPr>
                <w:rFonts w:eastAsia="Calibri" w:cs="Times New Roman"/>
                <w:kern w:val="0"/>
                <w:sz w:val="20"/>
                <w:szCs w:val="20"/>
                <w:lang w:val="en-US" w:eastAsia="el-GR" w:bidi="ar-SA"/>
              </w:rPr>
              <w:t xml:space="preserve">[Bradfield, 2019] </w:t>
            </w:r>
            <w:r>
              <w:fldChar w:fldCharType="begin"/>
            </w:r>
            <w:r>
              <w:rPr>
                <w:sz w:val="20"/>
                <w:kern w:val="0"/>
                <w:szCs w:val="20"/>
                <w:rFonts w:eastAsia="Calibri" w:cs="Times New Roman"/>
                <w:lang w:val="en-US" w:eastAsia="el-GR" w:bidi="ar-SA"/>
              </w:rPr>
              <w:instrText xml:space="preserve">ADDIN ZOTERO_ITEM CSL_CITATION {"citationID":"9NLby024","properties":{"formattedCitation":"[130]","plainCitation":"[130]","noteIndex":0},"citationItems":[{"id":3506,"uris":["http://zotero.org/users/local/WDVvZTBM/items/XME5U7C5"],"itemData":{"id":3506,"type":"article-journal","abstract":"Although hundreds of genome-wide association studies-implicated loci have been reported for adult obesity-related traits, less is known about the genetics specific for early-onset obesity and with only a few studies conducted in non-European populations to date. Searching for additional genetic variants associated with childhood obesity, we performed a trans-ancestral meta-analysis of 30 studies consisting of up to 13 005 cases (≥95th percentile of body mass index (BMI) achieved 2–18 years old) and 15 599 controls (consistently &lt;50th percentile of BMI) of European, African, North/South American and East Asian ancestry. Suggestive loci were taken forward for replication in a sample of 1888 cases and 4689 controls from seven cohorts of European and North/South American ancestry. In addition to observing 18 previously implicated BMI or obesity loci, for both early and late onset, we uncovered one completely novel locus in this trans-ancestral analysis (nearest gene, METTL15). The variant was nominally associated with only the European subgroup analysis but had a consistent direction of effect in other ethnicities. We then utilized trans-ancestral Bayesian analysis to narrow down the location of the probable causal variant at each genome-wide significant signal. Of all the fine-mapped loci, we were able to narrow down the causative variant at four known loci to fewer than 10 single nucleotide polymorphisms (SNPs) (FAIM2, GNPDA2, MC4R and SEC16B loci). In conclusion, an ethnically diverse setting has enabled us to both identify an additional pediatric obesity locus and further fine-map existing loci.","container-title":"Human Molecular Genetics","DOI":"10.1093/hmg/ddz161","ISSN":"0964-6906, 1460-2083","issue":"19","language":"en","page":"3327-3338","source":"DOI.org (Crossref)","title":"A trans-ancestral meta-analysis of genome-wide association studies reveals loci associated with childhood obesity","volume":"28","author":[{"family":"Bradfield","given":"Jonathan P"},{"family":"Vogelezang","given":"Suzanne"},{"family":"Felix","given":"Janine F"},{"family":"Chesi","given":"Alessandra"},{"family":"Helgeland","given":"Øyvind"},{"family":"Horikoshi","given":"Momoko"},{"family":"Karhunen","given":"Ville"},{"family":"Lowry","given":"Estelle"},{"family":"Cousminer","given":"Diana L"},{"family":"Ahluwalia","given":"Tarunveer S"},{"family":"Thiering","given":"Elisabeth"},{"family":"Boh","given":"Eileen Tai-Hui"},{"family":"Zafarmand","given":"Mohammad H"},{"family":"Vilor-Tejedor","given":"Natalia"},{"family":"Wang","given":"Carol A"},{"family":"Joro","given":"Raimo"},{"family":"Chen","given":"Zhanghua"},{"family":"Gauderman","given":"William J"},{"family":"Pitkänen","given":"Niina"},{"family":"Parra","given":"Esteban J"},{"family":"Fernandez-Rhodes","given":"Lindsay"},{"family":"Alyass","given":"Akram"},{"family":"Monnereau","given":"Claire"},{"family":"Curtin","given":"John A"},{"family":"Have","given":"Christian T"},{"family":"McCormack","given":"Shana E"},{"family":"Hollensted","given":"Mette"},{"family":"Frithioff-Bøjsøe","given":"Christine"},{"family":"Valladares-Salgado","given":"Adan"},{"family":"Peralta-Romero","given":"Jesus"},{"family":"Teo","given":"Yik-Ying"},{"family":"Standl","given":"Marie"},{"family":"Leinonen","given":"Jaakko T"},{"family":"Holm","given":"Jens-Christian"},{"family":"Peters","given":"Triinu"},{"family":"Vioque","given":"Jesus"},{"family":"Vrijheid","given":"Martine"},{"family":"Simpson","given":"Angela"},{"family":"Custovic","given":"Adnan"},{"family":"Vaudel","given":"Marc"},{"family":"Canouil","given":"Mickaël"},{"family":"Lindi","given":"Virpi"},{"family":"Atalay","given":"Mustafa"},{"family":"Kähönen","given":"Mika"},{"family":"Raitakari","given":"Olli T"},{"family":"Van Schaik","given":"Barbera D C"},{"family":"Berkowitz","given":"Robert I"},{"family":"Cole","given":"Shelley A"},{"family":"Voruganti","given":"V Saroja"},{"family":"Wang","given":"Yujie"},{"family":"Highland","given":"Heather M"},{"family":"Comuzzie","given":"Anthony G"},{"family":"Butte","given":"Nancy F"},{"family":"Justice","given":"Anne E"},{"family":"Gahagan","given":"Sheila"},{"family":"Blanco","given":"Estela"},{"family":"Lehtimäki","given":"Terho"},{"family":"Lakka","given":"Timo A"},{"family":"Hebebrand","given":"Johannes"},{"family":"Bonnefond","given":"Amélie"},{"family":"Grarup","given":"Niels"},{"family":"Froguel","given":"Philippe"},{"family":"Lyytikäinen","given":"Leo-Pekka"},{"family":"Cruz","given":"Miguel"},{"family":"Kobes","given":"Sayuko"},{"family":"Hanson","given":"Robert L"},{"family":"Zemel","given":"Babette S"},{"family":"Hinney","given":"Anke"},{"family":"Teo","given":"Koon K"},{"family":"Meyre","given":"David"},{"family":"North","given":"Kari E"},{"family":"Gilliland","given":"Frank D"},{"family":"Bisgaard","given":"Hans"},{"family":"Bustamante","given":"Mariona"},{"family":"Bonnelykke","given":"Klaus"},{"family":"Pennell","given":"Craig E"},{"family":"Rivadeneira","given":"Fernando"},{"family":"Uitterlinden","given":"André G"},{"family":"Baier","given":"Leslie J"},{"family":"Vrijkotte","given":"Tanja G M"},{"family":"Heinrich","given":"Joachim"},{"family":"Sørensen","given":"Thorkild I A"},{"family":"Saw","given":"Seang-Mei"},{"family":"Pedersen","given":"Oluf"},{"family":"Hansen","given":"Torben"},{"family":"Eriksson","given":"Johan"},{"family":"Widén","given":"Elisabeth"},{"family":"McCarthy","given":"Mark I"},{"family":"Njølstad","given":"Pål R"},{"family":"Power","given":"Christine"},{"family":"Hyppönen","given":"Elina"},{"family":"Sebert","given":"Sylvain"},{"family":"Brown","given":"Christopher D"},{"family":"Järvelin","given":"Marjo-Riitta"},{"family":"Timpson","given":"Nicholas J"},{"family":"Johansson","given":"Stefan"},{"family":"Hakonarson","given":"Hakon"},{"family":"Jaddoe","given":"Vincent W V"},{"literal":"Struan F A Grant for the Early Growth Genetics Consortium"}],"issued":{"date-parts":[["2019",10,1]]}}}],"schema":"https://github.com/citation-style-language/schema/raw/master/csl-citation.json"}</w:instrText>
            </w:r>
            <w:r>
              <w:rPr>
                <w:rFonts w:eastAsia="Calibri" w:cs="Times New Roman"/>
                <w:kern w:val="0"/>
                <w:sz w:val="20"/>
                <w:szCs w:val="20"/>
                <w:lang w:val="en-US" w:eastAsia="el-GR" w:bidi="ar-SA"/>
              </w:rPr>
            </w:r>
            <w:r>
              <w:rPr>
                <w:sz w:val="20"/>
                <w:kern w:val="0"/>
                <w:szCs w:val="20"/>
                <w:rFonts w:eastAsia="Calibri" w:cs="Times New Roman"/>
                <w:lang w:val="en-US" w:eastAsia="el-GR" w:bidi="ar-SA"/>
              </w:rPr>
              <w:fldChar w:fldCharType="separate"/>
            </w:r>
            <w:r>
              <w:rPr>
                <w:rFonts w:eastAsia="Calibri" w:cs="Times New Roman"/>
                <w:kern w:val="0"/>
                <w:sz w:val="20"/>
                <w:szCs w:val="20"/>
                <w:lang w:val="en-US" w:eastAsia="el-GR" w:bidi="ar-SA"/>
              </w:rPr>
            </w:r>
            <w:r>
              <w:rPr>
                <w:rFonts w:eastAsia="Calibri" w:cs="Times New Roman"/>
                <w:kern w:val="0"/>
                <w:sz w:val="20"/>
                <w:szCs w:val="20"/>
                <w:lang w:val="el-GR" w:eastAsia="el-GR" w:bidi="ar-SA"/>
              </w:rPr>
              <w:t>[130]</w:t>
            </w:r>
            <w:r/>
            <w:r>
              <w:rPr>
                <w:sz w:val="20"/>
                <w:kern w:val="0"/>
                <w:szCs w:val="20"/>
                <w:rFonts w:eastAsia="Calibri" w:cs="Times New Roman"/>
                <w:lang w:val="en-US" w:eastAsia="el-GR" w:bidi="ar-SA"/>
              </w:rPr>
              <w:fldChar w:fldCharType="end"/>
            </w:r>
            <w:r>
              <w:rPr>
                <w:rFonts w:eastAsia="Calibri" w:cs="Times New Roman"/>
                <w:kern w:val="0"/>
                <w:sz w:val="20"/>
                <w:szCs w:val="20"/>
                <w:lang w:val="en-US" w:eastAsia="el-GR" w:bidi="ar-SA"/>
              </w:rPr>
            </w:r>
          </w:p>
        </w:tc>
      </w:tr>
      <w:tr>
        <w:trPr/>
        <w:tc>
          <w:tcPr>
            <w:tcW w:w="1469"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n-US" w:eastAsia="el-GR" w:bidi="ar-SA"/>
              </w:rPr>
              <w:t>TMEM</w:t>
            </w:r>
            <w:r>
              <w:rPr>
                <w:rFonts w:eastAsia="Calibri" w:cs="Times New Roman"/>
                <w:kern w:val="0"/>
                <w:sz w:val="20"/>
                <w:szCs w:val="20"/>
                <w:lang w:val="el-GR" w:eastAsia="el-GR" w:bidi="ar-SA"/>
              </w:rPr>
              <w:t>18</w:t>
            </w:r>
          </w:p>
        </w:tc>
        <w:tc>
          <w:tcPr>
            <w:tcW w:w="1512"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n-US" w:eastAsia="el-GR" w:bidi="ar-SA"/>
              </w:rPr>
              <w:t>rs</w:t>
            </w:r>
            <w:r>
              <w:rPr>
                <w:rFonts w:eastAsia="Calibri" w:cs="Times New Roman"/>
                <w:kern w:val="0"/>
                <w:sz w:val="20"/>
                <w:szCs w:val="20"/>
                <w:lang w:val="el-GR" w:eastAsia="el-GR" w:bidi="ar-SA"/>
              </w:rPr>
              <w:t>7579427</w:t>
            </w:r>
          </w:p>
        </w:tc>
        <w:tc>
          <w:tcPr>
            <w:tcW w:w="1352"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Roman" w:ascii="Times-Roman" w:hAnsi="Times-Roman"/>
                <w:color w:val="18191B"/>
                <w:kern w:val="0"/>
                <w:sz w:val="20"/>
                <w:szCs w:val="20"/>
                <w:lang w:val="en-US" w:eastAsia="el-GR" w:bidi="ar-SA"/>
              </w:rPr>
              <w:t>A</w:t>
            </w:r>
          </w:p>
        </w:tc>
        <w:tc>
          <w:tcPr>
            <w:tcW w:w="1351"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Roman" w:ascii="Times-Roman" w:hAnsi="Times-Roman"/>
                <w:color w:val="18191B"/>
                <w:kern w:val="0"/>
                <w:sz w:val="20"/>
                <w:szCs w:val="20"/>
                <w:lang w:val="en-US" w:eastAsia="el-GR" w:bidi="ar-SA"/>
              </w:rPr>
              <w:t>C</w:t>
            </w:r>
          </w:p>
        </w:tc>
        <w:tc>
          <w:tcPr>
            <w:tcW w:w="1384"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l-GR" w:eastAsia="el-GR" w:bidi="ar-SA"/>
              </w:rPr>
              <w:t>20.25</w:t>
            </w:r>
          </w:p>
        </w:tc>
        <w:tc>
          <w:tcPr>
            <w:tcW w:w="1234" w:type="dxa"/>
            <w:vMerge w:val="continue"/>
            <w:tcBorders/>
          </w:tcPr>
          <w:p>
            <w:pPr>
              <w:pStyle w:val="Normal"/>
              <w:widowControl/>
              <w:spacing w:lineRule="auto" w:line="360" w:before="0" w:after="0"/>
              <w:jc w:val="center"/>
              <w:rPr>
                <w:rFonts w:eastAsia="Calibri"/>
                <w:sz w:val="20"/>
                <w:szCs w:val="20"/>
              </w:rPr>
            </w:pPr>
            <w:r>
              <w:rPr>
                <w:rFonts w:eastAsia="Calibri" w:cs="Times New Roman"/>
                <w:kern w:val="0"/>
                <w:sz w:val="20"/>
                <w:szCs w:val="20"/>
                <w:lang w:val="el-GR" w:eastAsia="el-GR" w:bidi="ar-SA"/>
              </w:rPr>
            </w:r>
          </w:p>
        </w:tc>
      </w:tr>
      <w:tr>
        <w:trPr/>
        <w:tc>
          <w:tcPr>
            <w:tcW w:w="1469"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n-US" w:eastAsia="el-GR" w:bidi="ar-SA"/>
              </w:rPr>
              <w:t>SEC</w:t>
            </w:r>
            <w:r>
              <w:rPr>
                <w:rFonts w:eastAsia="Calibri" w:cs="Times New Roman"/>
                <w:kern w:val="0"/>
                <w:sz w:val="20"/>
                <w:szCs w:val="20"/>
                <w:lang w:val="el-GR" w:eastAsia="el-GR" w:bidi="ar-SA"/>
              </w:rPr>
              <w:t>16</w:t>
            </w:r>
            <w:r>
              <w:rPr>
                <w:rFonts w:eastAsia="Calibri" w:cs="Times New Roman"/>
                <w:kern w:val="0"/>
                <w:sz w:val="20"/>
                <w:szCs w:val="20"/>
                <w:lang w:val="en-US" w:eastAsia="el-GR" w:bidi="ar-SA"/>
              </w:rPr>
              <w:t>B</w:t>
            </w:r>
          </w:p>
        </w:tc>
        <w:tc>
          <w:tcPr>
            <w:tcW w:w="1512"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n-US" w:eastAsia="el-GR" w:bidi="ar-SA"/>
              </w:rPr>
              <w:t>rs</w:t>
            </w:r>
            <w:r>
              <w:rPr>
                <w:rFonts w:eastAsia="Calibri" w:cs="Times New Roman"/>
                <w:kern w:val="0"/>
                <w:sz w:val="20"/>
                <w:szCs w:val="20"/>
                <w:lang w:val="el-GR" w:eastAsia="el-GR" w:bidi="ar-SA"/>
              </w:rPr>
              <w:t>539515</w:t>
            </w:r>
          </w:p>
        </w:tc>
        <w:tc>
          <w:tcPr>
            <w:tcW w:w="1352"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Roman" w:ascii="Times-Roman" w:hAnsi="Times-Roman"/>
                <w:color w:val="18191B"/>
                <w:kern w:val="0"/>
                <w:sz w:val="20"/>
                <w:szCs w:val="20"/>
                <w:lang w:val="en-US" w:eastAsia="el-GR" w:bidi="ar-SA"/>
              </w:rPr>
              <w:t>A</w:t>
            </w:r>
          </w:p>
        </w:tc>
        <w:tc>
          <w:tcPr>
            <w:tcW w:w="1351"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Roman" w:ascii="Times-Roman" w:hAnsi="Times-Roman"/>
                <w:color w:val="18191B"/>
                <w:kern w:val="0"/>
                <w:sz w:val="20"/>
                <w:szCs w:val="20"/>
                <w:lang w:val="en-US" w:eastAsia="el-GR" w:bidi="ar-SA"/>
              </w:rPr>
              <w:t>C</w:t>
            </w:r>
          </w:p>
        </w:tc>
        <w:tc>
          <w:tcPr>
            <w:tcW w:w="1384"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l-GR" w:eastAsia="el-GR" w:bidi="ar-SA"/>
              </w:rPr>
              <w:t>18.07</w:t>
            </w:r>
          </w:p>
        </w:tc>
        <w:tc>
          <w:tcPr>
            <w:tcW w:w="1234" w:type="dxa"/>
            <w:vMerge w:val="continue"/>
            <w:tcBorders/>
          </w:tcPr>
          <w:p>
            <w:pPr>
              <w:pStyle w:val="Normal"/>
              <w:widowControl/>
              <w:spacing w:lineRule="auto" w:line="360" w:before="0" w:after="0"/>
              <w:jc w:val="center"/>
              <w:rPr>
                <w:rFonts w:eastAsia="Calibri"/>
                <w:sz w:val="20"/>
                <w:szCs w:val="20"/>
              </w:rPr>
            </w:pPr>
            <w:r>
              <w:rPr>
                <w:rFonts w:eastAsia="Calibri" w:cs="Times New Roman"/>
                <w:kern w:val="0"/>
                <w:sz w:val="20"/>
                <w:szCs w:val="20"/>
                <w:lang w:val="el-GR" w:eastAsia="el-GR" w:bidi="ar-SA"/>
              </w:rPr>
            </w:r>
          </w:p>
        </w:tc>
      </w:tr>
      <w:tr>
        <w:trPr/>
        <w:tc>
          <w:tcPr>
            <w:tcW w:w="1469"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n-US" w:eastAsia="el-GR" w:bidi="ar-SA"/>
              </w:rPr>
              <w:t>FAIM</w:t>
            </w:r>
            <w:r>
              <w:rPr>
                <w:rFonts w:eastAsia="Calibri" w:cs="Times New Roman"/>
                <w:kern w:val="0"/>
                <w:sz w:val="20"/>
                <w:szCs w:val="20"/>
                <w:lang w:val="el-GR" w:eastAsia="el-GR" w:bidi="ar-SA"/>
              </w:rPr>
              <w:t>2</w:t>
            </w:r>
          </w:p>
        </w:tc>
        <w:tc>
          <w:tcPr>
            <w:tcW w:w="1512"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n-US" w:eastAsia="el-GR" w:bidi="ar-SA"/>
              </w:rPr>
              <w:t>rs</w:t>
            </w:r>
            <w:r>
              <w:rPr>
                <w:rFonts w:eastAsia="Calibri" w:cs="Times New Roman"/>
                <w:kern w:val="0"/>
                <w:sz w:val="20"/>
                <w:szCs w:val="20"/>
                <w:lang w:val="el-GR" w:eastAsia="el-GR" w:bidi="ar-SA"/>
              </w:rPr>
              <w:t>7132908</w:t>
            </w:r>
          </w:p>
        </w:tc>
        <w:tc>
          <w:tcPr>
            <w:tcW w:w="1352"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Roman" w:ascii="Times-Roman" w:hAnsi="Times-Roman"/>
                <w:color w:val="18191B"/>
                <w:kern w:val="0"/>
                <w:sz w:val="20"/>
                <w:szCs w:val="20"/>
                <w:lang w:val="en-US" w:eastAsia="el-GR" w:bidi="ar-SA"/>
              </w:rPr>
              <w:t>A</w:t>
            </w:r>
          </w:p>
        </w:tc>
        <w:tc>
          <w:tcPr>
            <w:tcW w:w="1351"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Roman" w:ascii="Times-Roman" w:hAnsi="Times-Roman"/>
                <w:color w:val="18191B"/>
                <w:kern w:val="0"/>
                <w:sz w:val="20"/>
                <w:szCs w:val="20"/>
                <w:lang w:val="en-US" w:eastAsia="el-GR" w:bidi="ar-SA"/>
              </w:rPr>
              <w:t>G</w:t>
            </w:r>
          </w:p>
        </w:tc>
        <w:tc>
          <w:tcPr>
            <w:tcW w:w="1384"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l-GR" w:eastAsia="el-GR" w:bidi="ar-SA"/>
              </w:rPr>
              <w:t>16.39</w:t>
            </w:r>
          </w:p>
        </w:tc>
        <w:tc>
          <w:tcPr>
            <w:tcW w:w="1234" w:type="dxa"/>
            <w:vMerge w:val="continue"/>
            <w:tcBorders/>
          </w:tcPr>
          <w:p>
            <w:pPr>
              <w:pStyle w:val="Normal"/>
              <w:widowControl/>
              <w:spacing w:lineRule="auto" w:line="360" w:before="0" w:after="0"/>
              <w:jc w:val="center"/>
              <w:rPr>
                <w:rFonts w:eastAsia="Calibri"/>
                <w:sz w:val="20"/>
                <w:szCs w:val="20"/>
              </w:rPr>
            </w:pPr>
            <w:r>
              <w:rPr>
                <w:rFonts w:eastAsia="Calibri" w:cs="Times New Roman"/>
                <w:kern w:val="0"/>
                <w:sz w:val="20"/>
                <w:szCs w:val="20"/>
                <w:lang w:val="el-GR" w:eastAsia="el-GR" w:bidi="ar-SA"/>
              </w:rPr>
            </w:r>
          </w:p>
        </w:tc>
      </w:tr>
      <w:tr>
        <w:trPr/>
        <w:tc>
          <w:tcPr>
            <w:tcW w:w="1469"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n-US" w:eastAsia="el-GR" w:bidi="ar-SA"/>
              </w:rPr>
              <w:t>ADCY</w:t>
            </w:r>
            <w:r>
              <w:rPr>
                <w:rFonts w:eastAsia="Calibri" w:cs="Times New Roman"/>
                <w:kern w:val="0"/>
                <w:sz w:val="20"/>
                <w:szCs w:val="20"/>
                <w:lang w:val="el-GR" w:eastAsia="el-GR" w:bidi="ar-SA"/>
              </w:rPr>
              <w:t>3</w:t>
            </w:r>
          </w:p>
        </w:tc>
        <w:tc>
          <w:tcPr>
            <w:tcW w:w="1512"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n-US" w:eastAsia="el-GR" w:bidi="ar-SA"/>
              </w:rPr>
              <w:t>rs</w:t>
            </w:r>
            <w:r>
              <w:rPr>
                <w:rFonts w:eastAsia="Calibri" w:cs="Times New Roman"/>
                <w:kern w:val="0"/>
                <w:sz w:val="20"/>
                <w:szCs w:val="20"/>
                <w:lang w:val="el-GR" w:eastAsia="el-GR" w:bidi="ar-SA"/>
              </w:rPr>
              <w:t>4077678</w:t>
            </w:r>
          </w:p>
        </w:tc>
        <w:tc>
          <w:tcPr>
            <w:tcW w:w="1352"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Roman" w:ascii="Times-Roman" w:hAnsi="Times-Roman"/>
                <w:color w:val="18191B"/>
                <w:kern w:val="0"/>
                <w:sz w:val="20"/>
                <w:szCs w:val="20"/>
                <w:lang w:val="en-US" w:eastAsia="el-GR" w:bidi="ar-SA"/>
              </w:rPr>
              <w:t>C</w:t>
            </w:r>
          </w:p>
        </w:tc>
        <w:tc>
          <w:tcPr>
            <w:tcW w:w="1351"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Roman" w:ascii="Times-Roman" w:hAnsi="Times-Roman"/>
                <w:color w:val="18191B"/>
                <w:kern w:val="0"/>
                <w:sz w:val="20"/>
                <w:szCs w:val="20"/>
                <w:lang w:val="en-US" w:eastAsia="el-GR" w:bidi="ar-SA"/>
              </w:rPr>
              <w:t>G</w:t>
            </w:r>
          </w:p>
        </w:tc>
        <w:tc>
          <w:tcPr>
            <w:tcW w:w="1384"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l-GR" w:eastAsia="el-GR" w:bidi="ar-SA"/>
              </w:rPr>
              <w:t>13.38</w:t>
            </w:r>
          </w:p>
        </w:tc>
        <w:tc>
          <w:tcPr>
            <w:tcW w:w="1234" w:type="dxa"/>
            <w:vMerge w:val="continue"/>
            <w:tcBorders/>
          </w:tcPr>
          <w:p>
            <w:pPr>
              <w:pStyle w:val="Normal"/>
              <w:widowControl/>
              <w:spacing w:lineRule="auto" w:line="360" w:before="0" w:after="0"/>
              <w:jc w:val="center"/>
              <w:rPr>
                <w:rFonts w:eastAsia="Calibri"/>
                <w:sz w:val="20"/>
                <w:szCs w:val="20"/>
              </w:rPr>
            </w:pPr>
            <w:r>
              <w:rPr>
                <w:rFonts w:eastAsia="Calibri" w:cs="Times New Roman"/>
                <w:kern w:val="0"/>
                <w:sz w:val="20"/>
                <w:szCs w:val="20"/>
                <w:lang w:val="el-GR" w:eastAsia="el-GR" w:bidi="ar-SA"/>
              </w:rPr>
            </w:r>
          </w:p>
        </w:tc>
      </w:tr>
      <w:tr>
        <w:trPr/>
        <w:tc>
          <w:tcPr>
            <w:tcW w:w="1469"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n-US" w:eastAsia="el-GR" w:bidi="ar-SA"/>
              </w:rPr>
              <w:t>MC</w:t>
            </w:r>
            <w:r>
              <w:rPr>
                <w:rFonts w:eastAsia="Calibri" w:cs="Times New Roman"/>
                <w:kern w:val="0"/>
                <w:sz w:val="20"/>
                <w:szCs w:val="20"/>
                <w:lang w:val="el-GR" w:eastAsia="el-GR" w:bidi="ar-SA"/>
              </w:rPr>
              <w:t>4</w:t>
            </w:r>
            <w:r>
              <w:rPr>
                <w:rFonts w:eastAsia="Calibri" w:cs="Times New Roman"/>
                <w:kern w:val="0"/>
                <w:sz w:val="20"/>
                <w:szCs w:val="20"/>
                <w:lang w:val="en-US" w:eastAsia="el-GR" w:bidi="ar-SA"/>
              </w:rPr>
              <w:t>R</w:t>
            </w:r>
          </w:p>
        </w:tc>
        <w:tc>
          <w:tcPr>
            <w:tcW w:w="1512"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n-US" w:eastAsia="el-GR" w:bidi="ar-SA"/>
              </w:rPr>
              <w:t>rs</w:t>
            </w:r>
            <w:r>
              <w:rPr>
                <w:rFonts w:eastAsia="Calibri" w:cs="Times New Roman"/>
                <w:kern w:val="0"/>
                <w:sz w:val="20"/>
                <w:szCs w:val="20"/>
                <w:lang w:val="el-GR" w:eastAsia="el-GR" w:bidi="ar-SA"/>
              </w:rPr>
              <w:t>6567160</w:t>
            </w:r>
          </w:p>
        </w:tc>
        <w:tc>
          <w:tcPr>
            <w:tcW w:w="1352"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Roman" w:ascii="Times-Roman" w:hAnsi="Times-Roman"/>
                <w:color w:val="18191B"/>
                <w:kern w:val="0"/>
                <w:sz w:val="20"/>
                <w:szCs w:val="20"/>
                <w:lang w:val="en-US" w:eastAsia="el-GR" w:bidi="ar-SA"/>
              </w:rPr>
              <w:t>T</w:t>
            </w:r>
          </w:p>
        </w:tc>
        <w:tc>
          <w:tcPr>
            <w:tcW w:w="1351"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Roman" w:ascii="Times-Roman" w:hAnsi="Times-Roman"/>
                <w:color w:val="18191B"/>
                <w:kern w:val="0"/>
                <w:sz w:val="20"/>
                <w:szCs w:val="20"/>
                <w:lang w:val="en-US" w:eastAsia="el-GR" w:bidi="ar-SA"/>
              </w:rPr>
              <w:t>C</w:t>
            </w:r>
          </w:p>
        </w:tc>
        <w:tc>
          <w:tcPr>
            <w:tcW w:w="1384"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l-GR" w:eastAsia="el-GR" w:bidi="ar-SA"/>
              </w:rPr>
              <w:t>13.20</w:t>
            </w:r>
          </w:p>
        </w:tc>
        <w:tc>
          <w:tcPr>
            <w:tcW w:w="1234" w:type="dxa"/>
            <w:vMerge w:val="continue"/>
            <w:tcBorders/>
          </w:tcPr>
          <w:p>
            <w:pPr>
              <w:pStyle w:val="Normal"/>
              <w:widowControl/>
              <w:spacing w:lineRule="auto" w:line="360" w:before="0" w:after="0"/>
              <w:jc w:val="center"/>
              <w:rPr>
                <w:rFonts w:eastAsia="Calibri"/>
                <w:sz w:val="20"/>
                <w:szCs w:val="20"/>
              </w:rPr>
            </w:pPr>
            <w:r>
              <w:rPr>
                <w:rFonts w:eastAsia="Calibri" w:cs="Times New Roman"/>
                <w:kern w:val="0"/>
                <w:sz w:val="20"/>
                <w:szCs w:val="20"/>
                <w:lang w:val="el-GR" w:eastAsia="el-GR" w:bidi="ar-SA"/>
              </w:rPr>
            </w:r>
          </w:p>
        </w:tc>
      </w:tr>
      <w:tr>
        <w:trPr/>
        <w:tc>
          <w:tcPr>
            <w:tcW w:w="1469"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n-US" w:eastAsia="el-GR" w:bidi="ar-SA"/>
              </w:rPr>
              <w:t>TNNI</w:t>
            </w:r>
            <w:r>
              <w:rPr>
                <w:rFonts w:eastAsia="Calibri" w:cs="Times New Roman"/>
                <w:kern w:val="0"/>
                <w:sz w:val="20"/>
                <w:szCs w:val="20"/>
                <w:lang w:val="el-GR" w:eastAsia="el-GR" w:bidi="ar-SA"/>
              </w:rPr>
              <w:t>3</w:t>
            </w:r>
            <w:r>
              <w:rPr>
                <w:rFonts w:eastAsia="Calibri" w:cs="Times New Roman"/>
                <w:kern w:val="0"/>
                <w:sz w:val="20"/>
                <w:szCs w:val="20"/>
                <w:lang w:val="en-US" w:eastAsia="el-GR" w:bidi="ar-SA"/>
              </w:rPr>
              <w:t>K</w:t>
            </w:r>
          </w:p>
        </w:tc>
        <w:tc>
          <w:tcPr>
            <w:tcW w:w="1512"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n-US" w:eastAsia="el-GR" w:bidi="ar-SA"/>
              </w:rPr>
              <w:t>rs</w:t>
            </w:r>
            <w:r>
              <w:rPr>
                <w:rFonts w:eastAsia="Calibri" w:cs="Times New Roman"/>
                <w:kern w:val="0"/>
                <w:sz w:val="20"/>
                <w:szCs w:val="20"/>
                <w:lang w:val="el-GR" w:eastAsia="el-GR" w:bidi="ar-SA"/>
              </w:rPr>
              <w:t>10493544</w:t>
            </w:r>
          </w:p>
        </w:tc>
        <w:tc>
          <w:tcPr>
            <w:tcW w:w="1352"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Roman" w:ascii="Times-Roman" w:hAnsi="Times-Roman"/>
                <w:color w:val="18191B"/>
                <w:kern w:val="0"/>
                <w:sz w:val="20"/>
                <w:szCs w:val="20"/>
                <w:lang w:val="en-US" w:eastAsia="el-GR" w:bidi="ar-SA"/>
              </w:rPr>
              <w:t>T</w:t>
            </w:r>
          </w:p>
        </w:tc>
        <w:tc>
          <w:tcPr>
            <w:tcW w:w="1351"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Roman" w:ascii="Times-Roman" w:hAnsi="Times-Roman"/>
                <w:color w:val="18191B"/>
                <w:kern w:val="0"/>
                <w:sz w:val="20"/>
                <w:szCs w:val="20"/>
                <w:lang w:val="en-US" w:eastAsia="el-GR" w:bidi="ar-SA"/>
              </w:rPr>
              <w:t>C</w:t>
            </w:r>
          </w:p>
        </w:tc>
        <w:tc>
          <w:tcPr>
            <w:tcW w:w="1384"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l-GR" w:eastAsia="el-GR" w:bidi="ar-SA"/>
              </w:rPr>
              <w:t>11.81</w:t>
            </w:r>
          </w:p>
        </w:tc>
        <w:tc>
          <w:tcPr>
            <w:tcW w:w="1234" w:type="dxa"/>
            <w:vMerge w:val="continue"/>
            <w:tcBorders/>
          </w:tcPr>
          <w:p>
            <w:pPr>
              <w:pStyle w:val="Normal"/>
              <w:widowControl/>
              <w:spacing w:lineRule="auto" w:line="360" w:before="0" w:after="0"/>
              <w:jc w:val="center"/>
              <w:rPr>
                <w:rFonts w:eastAsia="Calibri"/>
                <w:sz w:val="20"/>
                <w:szCs w:val="20"/>
              </w:rPr>
            </w:pPr>
            <w:r>
              <w:rPr>
                <w:rFonts w:eastAsia="Calibri" w:cs="Times New Roman"/>
                <w:kern w:val="0"/>
                <w:sz w:val="20"/>
                <w:szCs w:val="20"/>
                <w:lang w:val="el-GR" w:eastAsia="el-GR" w:bidi="ar-SA"/>
              </w:rPr>
            </w:r>
          </w:p>
        </w:tc>
      </w:tr>
      <w:tr>
        <w:trPr/>
        <w:tc>
          <w:tcPr>
            <w:tcW w:w="1469"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n-US" w:eastAsia="el-GR" w:bidi="ar-SA"/>
              </w:rPr>
              <w:t>TFAP</w:t>
            </w:r>
            <w:r>
              <w:rPr>
                <w:rFonts w:eastAsia="Calibri" w:cs="Times New Roman"/>
                <w:kern w:val="0"/>
                <w:sz w:val="20"/>
                <w:szCs w:val="20"/>
                <w:lang w:val="el-GR" w:eastAsia="el-GR" w:bidi="ar-SA"/>
              </w:rPr>
              <w:t>2</w:t>
            </w:r>
            <w:r>
              <w:rPr>
                <w:rFonts w:eastAsia="Calibri" w:cs="Times New Roman"/>
                <w:kern w:val="0"/>
                <w:sz w:val="20"/>
                <w:szCs w:val="20"/>
                <w:lang w:val="en-US" w:eastAsia="el-GR" w:bidi="ar-SA"/>
              </w:rPr>
              <w:t>B</w:t>
            </w:r>
          </w:p>
        </w:tc>
        <w:tc>
          <w:tcPr>
            <w:tcW w:w="1512"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n-US" w:eastAsia="el-GR" w:bidi="ar-SA"/>
              </w:rPr>
              <w:t>rs</w:t>
            </w:r>
            <w:r>
              <w:rPr>
                <w:rFonts w:eastAsia="Calibri" w:cs="Times New Roman"/>
                <w:kern w:val="0"/>
                <w:sz w:val="20"/>
                <w:szCs w:val="20"/>
                <w:lang w:val="el-GR" w:eastAsia="el-GR" w:bidi="ar-SA"/>
              </w:rPr>
              <w:t>2206277</w:t>
            </w:r>
          </w:p>
        </w:tc>
        <w:tc>
          <w:tcPr>
            <w:tcW w:w="1352"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Roman" w:ascii="Times-Roman" w:hAnsi="Times-Roman"/>
                <w:color w:val="18191B"/>
                <w:kern w:val="0"/>
                <w:sz w:val="20"/>
                <w:szCs w:val="20"/>
                <w:lang w:val="en-US" w:eastAsia="el-GR" w:bidi="ar-SA"/>
              </w:rPr>
              <w:t>T</w:t>
            </w:r>
          </w:p>
        </w:tc>
        <w:tc>
          <w:tcPr>
            <w:tcW w:w="1351"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Roman" w:ascii="Times-Roman" w:hAnsi="Times-Roman"/>
                <w:color w:val="18191B"/>
                <w:kern w:val="0"/>
                <w:sz w:val="20"/>
                <w:szCs w:val="20"/>
                <w:lang w:val="en-US" w:eastAsia="el-GR" w:bidi="ar-SA"/>
              </w:rPr>
              <w:t>C</w:t>
            </w:r>
          </w:p>
        </w:tc>
        <w:tc>
          <w:tcPr>
            <w:tcW w:w="1384"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l-GR" w:eastAsia="el-GR" w:bidi="ar-SA"/>
              </w:rPr>
              <w:t>11.63</w:t>
            </w:r>
          </w:p>
        </w:tc>
        <w:tc>
          <w:tcPr>
            <w:tcW w:w="1234" w:type="dxa"/>
            <w:vMerge w:val="continue"/>
            <w:tcBorders/>
          </w:tcPr>
          <w:p>
            <w:pPr>
              <w:pStyle w:val="Normal"/>
              <w:widowControl/>
              <w:spacing w:lineRule="auto" w:line="360" w:before="0" w:after="0"/>
              <w:jc w:val="center"/>
              <w:rPr>
                <w:rFonts w:eastAsia="Calibri"/>
                <w:sz w:val="20"/>
                <w:szCs w:val="20"/>
              </w:rPr>
            </w:pPr>
            <w:r>
              <w:rPr>
                <w:rFonts w:eastAsia="Calibri" w:cs="Times New Roman"/>
                <w:kern w:val="0"/>
                <w:sz w:val="20"/>
                <w:szCs w:val="20"/>
                <w:lang w:val="el-GR" w:eastAsia="el-GR" w:bidi="ar-SA"/>
              </w:rPr>
            </w:r>
          </w:p>
        </w:tc>
      </w:tr>
      <w:tr>
        <w:trPr/>
        <w:tc>
          <w:tcPr>
            <w:tcW w:w="1469"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n-US" w:eastAsia="el-GR" w:bidi="ar-SA"/>
              </w:rPr>
              <w:t>GNPDA</w:t>
            </w:r>
            <w:r>
              <w:rPr>
                <w:rFonts w:eastAsia="Calibri" w:cs="Times New Roman"/>
                <w:kern w:val="0"/>
                <w:sz w:val="20"/>
                <w:szCs w:val="20"/>
                <w:lang w:val="el-GR" w:eastAsia="el-GR" w:bidi="ar-SA"/>
              </w:rPr>
              <w:t>2</w:t>
            </w:r>
          </w:p>
        </w:tc>
        <w:tc>
          <w:tcPr>
            <w:tcW w:w="1512"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n-US" w:eastAsia="el-GR" w:bidi="ar-SA"/>
              </w:rPr>
              <w:t>rs</w:t>
            </w:r>
            <w:r>
              <w:rPr>
                <w:rFonts w:eastAsia="Calibri" w:cs="Times New Roman"/>
                <w:kern w:val="0"/>
                <w:sz w:val="20"/>
                <w:szCs w:val="20"/>
                <w:lang w:val="el-GR" w:eastAsia="el-GR" w:bidi="ar-SA"/>
              </w:rPr>
              <w:t>925494</w:t>
            </w:r>
          </w:p>
        </w:tc>
        <w:tc>
          <w:tcPr>
            <w:tcW w:w="1352"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Roman" w:ascii="Times-Roman" w:hAnsi="Times-Roman"/>
                <w:color w:val="18191B"/>
                <w:kern w:val="0"/>
                <w:sz w:val="20"/>
                <w:szCs w:val="20"/>
                <w:lang w:val="en-US" w:eastAsia="el-GR" w:bidi="ar-SA"/>
              </w:rPr>
              <w:t>T</w:t>
            </w:r>
          </w:p>
        </w:tc>
        <w:tc>
          <w:tcPr>
            <w:tcW w:w="1351"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Roman" w:ascii="Times-Roman" w:hAnsi="Times-Roman"/>
                <w:color w:val="18191B"/>
                <w:kern w:val="0"/>
                <w:sz w:val="20"/>
                <w:szCs w:val="20"/>
                <w:lang w:val="en-US" w:eastAsia="el-GR" w:bidi="ar-SA"/>
              </w:rPr>
              <w:t>C</w:t>
            </w:r>
          </w:p>
        </w:tc>
        <w:tc>
          <w:tcPr>
            <w:tcW w:w="1384"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l-GR" w:eastAsia="el-GR" w:bidi="ar-SA"/>
              </w:rPr>
              <w:t>8.57</w:t>
            </w:r>
          </w:p>
        </w:tc>
        <w:tc>
          <w:tcPr>
            <w:tcW w:w="1234" w:type="dxa"/>
            <w:vMerge w:val="continue"/>
            <w:tcBorders/>
          </w:tcPr>
          <w:p>
            <w:pPr>
              <w:pStyle w:val="Normal"/>
              <w:widowControl/>
              <w:spacing w:lineRule="auto" w:line="360" w:before="0" w:after="0"/>
              <w:jc w:val="center"/>
              <w:rPr>
                <w:rFonts w:eastAsia="Calibri"/>
                <w:sz w:val="20"/>
                <w:szCs w:val="20"/>
              </w:rPr>
            </w:pPr>
            <w:r>
              <w:rPr>
                <w:rFonts w:eastAsia="Calibri" w:cs="Times New Roman"/>
                <w:kern w:val="0"/>
                <w:sz w:val="20"/>
                <w:szCs w:val="20"/>
                <w:lang w:val="el-GR" w:eastAsia="el-GR" w:bidi="ar-SA"/>
              </w:rPr>
            </w:r>
          </w:p>
        </w:tc>
      </w:tr>
      <w:tr>
        <w:trPr/>
        <w:tc>
          <w:tcPr>
            <w:tcW w:w="1469"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n-US" w:eastAsia="el-GR" w:bidi="ar-SA"/>
              </w:rPr>
              <w:t>BDNF</w:t>
            </w:r>
          </w:p>
        </w:tc>
        <w:tc>
          <w:tcPr>
            <w:tcW w:w="1512"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n-US" w:eastAsia="el-GR" w:bidi="ar-SA"/>
              </w:rPr>
              <w:t>rs</w:t>
            </w:r>
            <w:r>
              <w:rPr>
                <w:rFonts w:eastAsia="Calibri" w:cs="Times New Roman"/>
                <w:kern w:val="0"/>
                <w:sz w:val="20"/>
                <w:szCs w:val="20"/>
                <w:lang w:val="el-GR" w:eastAsia="el-GR" w:bidi="ar-SA"/>
              </w:rPr>
              <w:t>17309874</w:t>
            </w:r>
          </w:p>
        </w:tc>
        <w:tc>
          <w:tcPr>
            <w:tcW w:w="1352"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Roman" w:ascii="Times-Roman" w:hAnsi="Times-Roman"/>
                <w:color w:val="18191B"/>
                <w:kern w:val="0"/>
                <w:sz w:val="20"/>
                <w:szCs w:val="20"/>
                <w:lang w:val="en-US" w:eastAsia="el-GR" w:bidi="ar-SA"/>
              </w:rPr>
              <w:t>A</w:t>
            </w:r>
          </w:p>
        </w:tc>
        <w:tc>
          <w:tcPr>
            <w:tcW w:w="1351"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Roman" w:ascii="Times-Roman" w:hAnsi="Times-Roman"/>
                <w:color w:val="18191B"/>
                <w:kern w:val="0"/>
                <w:sz w:val="20"/>
                <w:szCs w:val="20"/>
                <w:lang w:val="en-US" w:eastAsia="el-GR" w:bidi="ar-SA"/>
              </w:rPr>
              <w:t>G</w:t>
            </w:r>
          </w:p>
        </w:tc>
        <w:tc>
          <w:tcPr>
            <w:tcW w:w="1384" w:type="dxa"/>
            <w:tcBorders/>
          </w:tcPr>
          <w:p>
            <w:pPr>
              <w:pStyle w:val="Normal"/>
              <w:widowControl/>
              <w:spacing w:lineRule="auto" w:line="360" w:before="0" w:after="0"/>
              <w:jc w:val="center"/>
              <w:rPr>
                <w:rFonts w:ascii="Times-Roman" w:hAnsi="Times-Roman" w:eastAsia="Calibri" w:cs="Times-Roman"/>
                <w:color w:val="18191B"/>
                <w:sz w:val="20"/>
                <w:szCs w:val="20"/>
              </w:rPr>
            </w:pPr>
            <w:r>
              <w:rPr>
                <w:rFonts w:eastAsia="Calibri" w:cs="Times New Roman"/>
                <w:kern w:val="0"/>
                <w:sz w:val="20"/>
                <w:szCs w:val="20"/>
                <w:lang w:val="el-GR" w:eastAsia="el-GR" w:bidi="ar-SA"/>
              </w:rPr>
              <w:t>8.52</w:t>
            </w:r>
          </w:p>
        </w:tc>
        <w:tc>
          <w:tcPr>
            <w:tcW w:w="1234" w:type="dxa"/>
            <w:vMerge w:val="continue"/>
            <w:tcBorders/>
          </w:tcPr>
          <w:p>
            <w:pPr>
              <w:pStyle w:val="Normal"/>
              <w:widowControl/>
              <w:spacing w:lineRule="auto" w:line="360" w:before="0" w:after="0"/>
              <w:jc w:val="center"/>
              <w:rPr>
                <w:rFonts w:eastAsia="Calibri"/>
                <w:sz w:val="20"/>
                <w:szCs w:val="20"/>
              </w:rPr>
            </w:pPr>
            <w:r>
              <w:rPr>
                <w:rFonts w:eastAsia="Calibri" w:cs="Times New Roman"/>
                <w:kern w:val="0"/>
                <w:sz w:val="20"/>
                <w:szCs w:val="20"/>
                <w:lang w:val="el-GR" w:eastAsia="el-GR" w:bidi="ar-SA"/>
              </w:rPr>
            </w:r>
          </w:p>
        </w:tc>
      </w:tr>
    </w:tbl>
    <w:p>
      <w:pPr>
        <w:pStyle w:val="Normal"/>
        <w:spacing w:lineRule="auto" w:line="360"/>
        <w:jc w:val="both"/>
        <w:rPr>
          <w:rFonts w:ascii="Times-Roman" w:hAnsi="Times-Roman" w:eastAsia="Calibri" w:cs="Times-Roman"/>
          <w:color w:val="18191B"/>
        </w:rPr>
      </w:pPr>
      <w:r>
        <w:rPr>
          <w:rFonts w:eastAsia="Calibri" w:cs="Times-Roman" w:ascii="Times-Roman" w:hAnsi="Times-Roman"/>
          <w:color w:val="18191B"/>
        </w:rPr>
      </w:r>
    </w:p>
    <w:p>
      <w:pPr>
        <w:pStyle w:val="Normal"/>
        <w:keepNext w:val="true"/>
        <w:spacing w:lineRule="auto" w:line="360"/>
        <w:jc w:val="center"/>
        <w:rPr/>
      </w:pPr>
      <w:r>
        <w:rPr/>
        <w:drawing>
          <wp:inline distT="0" distB="0" distL="0" distR="0">
            <wp:extent cx="4812665" cy="2647315"/>
            <wp:effectExtent l="0" t="0" r="0" b="0"/>
            <wp:docPr id="10" name="Εικόνα8" descr="Εικόνα που περιέχει κείμενο, στιγμιότυπο οθόνης,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Εικόνα8" descr="Εικόνα που περιέχει κείμενο, στιγμιότυπο οθόνης, γραμματοσειρά&#10;&#10;Περιγραφή που δημιουργήθηκε αυτόματα"/>
                    <pic:cNvPicPr>
                      <a:picLocks noChangeAspect="1" noChangeArrowheads="1"/>
                    </pic:cNvPicPr>
                  </pic:nvPicPr>
                  <pic:blipFill>
                    <a:blip r:embed="rId27"/>
                    <a:stretch>
                      <a:fillRect/>
                    </a:stretch>
                  </pic:blipFill>
                  <pic:spPr bwMode="auto">
                    <a:xfrm>
                      <a:off x="0" y="0"/>
                      <a:ext cx="4812665" cy="2647315"/>
                    </a:xfrm>
                    <a:prstGeom prst="rect">
                      <a:avLst/>
                    </a:prstGeom>
                  </pic:spPr>
                </pic:pic>
              </a:graphicData>
            </a:graphic>
          </wp:inline>
        </w:drawing>
      </w:r>
    </w:p>
    <w:p>
      <w:pPr>
        <w:pStyle w:val="Caption1"/>
        <w:jc w:val="center"/>
        <w:rPr>
          <w:b w:val="false"/>
          <w:bCs w:val="false"/>
          <w:i/>
          <w:i/>
          <w:iCs/>
          <w:sz w:val="16"/>
          <w:szCs w:val="16"/>
        </w:rPr>
      </w:pPr>
      <w:bookmarkStart w:id="67" w:name="_Toc152764774"/>
      <w:r>
        <w:rPr/>
        <w:t xml:space="preserve">Εικόνα </w:t>
      </w:r>
      <w:r>
        <w:rPr/>
        <w:fldChar w:fldCharType="begin"/>
      </w:r>
      <w:r>
        <w:rPr/>
        <w:instrText xml:space="preserve"> SEQ Εικόνα \* ARABIC </w:instrText>
      </w:r>
      <w:r>
        <w:rPr/>
        <w:fldChar w:fldCharType="separate"/>
      </w:r>
      <w:r>
        <w:rPr/>
        <w:t>8</w:t>
      </w:r>
      <w:r>
        <w:rPr/>
        <w:fldChar w:fldCharType="end"/>
      </w:r>
      <w:r>
        <w:rPr/>
        <w:t xml:space="preserve">: </w:t>
      </w:r>
      <w:r>
        <w:rPr>
          <w:b w:val="false"/>
          <w:bCs w:val="false"/>
          <w:i/>
          <w:iCs/>
          <w:sz w:val="16"/>
          <w:szCs w:val="16"/>
        </w:rPr>
        <w:t xml:space="preserve">Χαρακτηριστικά-κλειδιά Μονογενετικών και Πολυγενετικών Μορφών Παχυσαρκίας </w:t>
      </w:r>
      <w:r>
        <w:fldChar w:fldCharType="begin"/>
      </w:r>
      <w:r>
        <w:rPr>
          <w:sz w:val="16"/>
          <w:i/>
          <w:b w:val="false"/>
          <w:szCs w:val="16"/>
          <w:iCs/>
          <w:bCs w:val="false"/>
        </w:rPr>
        <w:instrText xml:space="preserve">ADDIN ZOTERO_ITEM CSL_CITATION {"citationID":"5fRa2HeW","properties":{"formattedCitation":"[44]","plainCitation":"[44]","noteIndex":0},"citationItems":[{"id":2446,"uris":["http://zotero.org/users/local/WDVvZTBM/items/9EHLE2DL"],"itemData":{"id":2446,"type":"article-journal","abstract":"The prevalence of obesity has tripled over the past four decades, imposing an enormous burden on people’s health. Polygenic (or common) obesity and rare, severe, early-o nset monogenic obesity are often polarized as distinct diseases. However, gene discovery studies for both forms of obesity show that they have shared genetic and biological underpinnings, pointing to a key role for the brain in the control of body weight. Genome-w ide association studies (GWAS) with increasing sample sizes and advances in sequencing technology are the main drivers behind a recent flurry of new discoveries. However, it is the post-G WAS, cross-d isciplinary collaborations, which combine new omics technologies and analytical approaches, that have started to facilitate translation of genetic loci into meaningful biology and new avenues for treatment.","container-title":"Nature Reviews Genetics","DOI":"10.1038/s41576-021-00414-z","ISSN":"1471-0056, 1471-0064","issue":"2","journalAbbreviation":"Nat Rev Genet","language":"en","page":"120-133","source":"DOI.org (Crossref)","title":"The genetics of obesity: from discovery to biology","title-short":"The genetics of obesity","volume":"23","author":[{"family":"Loos","given":"Ruth J. F."},{"family":"Yeo","given":"Giles S. H."}],"issued":{"date-parts":[["2022",2]]}}}],"schema":"https://github.com/citation-style-language/schema/raw/master/csl-citation.json"}</w:instrText>
      </w:r>
      <w:r>
        <w:rPr>
          <w:b w:val="false"/>
          <w:bCs w:val="false"/>
          <w:i/>
          <w:iCs/>
          <w:sz w:val="16"/>
          <w:szCs w:val="16"/>
        </w:rPr>
      </w:r>
      <w:r>
        <w:rPr>
          <w:sz w:val="16"/>
          <w:i/>
          <w:b w:val="false"/>
          <w:szCs w:val="16"/>
          <w:iCs/>
          <w:bCs w:val="false"/>
        </w:rPr>
        <w:fldChar w:fldCharType="separate"/>
      </w:r>
      <w:r>
        <w:rPr>
          <w:b w:val="false"/>
          <w:bCs w:val="false"/>
          <w:i/>
          <w:iCs/>
          <w:sz w:val="16"/>
          <w:szCs w:val="16"/>
        </w:rPr>
        <w:t>[44]</w:t>
      </w:r>
      <w:r>
        <w:rPr>
          <w:b w:val="false"/>
          <w:bCs w:val="false"/>
          <w:i/>
          <w:iCs/>
          <w:sz w:val="16"/>
          <w:szCs w:val="16"/>
        </w:rPr>
      </w:r>
      <w:r>
        <w:rPr>
          <w:sz w:val="16"/>
          <w:i/>
          <w:b w:val="false"/>
          <w:szCs w:val="16"/>
          <w:iCs/>
          <w:bCs w:val="false"/>
        </w:rPr>
        <w:fldChar w:fldCharType="end"/>
      </w:r>
      <w:r>
        <w:rPr>
          <w:b w:val="false"/>
          <w:bCs w:val="false"/>
          <w:i/>
          <w:iCs/>
          <w:sz w:val="16"/>
          <w:szCs w:val="16"/>
        </w:rPr>
        <w:t>.</w:t>
      </w:r>
      <w:bookmarkEnd w:id="67"/>
    </w:p>
    <w:p>
      <w:pPr>
        <w:pStyle w:val="Normal"/>
        <w:rPr>
          <w:rFonts w:eastAsia="Calibri"/>
          <w:lang w:eastAsia="en-US"/>
        </w:rPr>
      </w:pPr>
      <w:r>
        <w:rPr>
          <w:rFonts w:eastAsia="Calibri"/>
          <w:lang w:eastAsia="en-US"/>
        </w:rPr>
      </w:r>
    </w:p>
    <w:p>
      <w:pPr>
        <w:pStyle w:val="Normal"/>
        <w:keepNext w:val="true"/>
        <w:rPr/>
      </w:pPr>
      <w:r>
        <w:rPr/>
        <w:drawing>
          <wp:inline distT="0" distB="0" distL="0" distR="0">
            <wp:extent cx="5278755" cy="2539365"/>
            <wp:effectExtent l="0" t="0" r="0" b="0"/>
            <wp:docPr id="11" name="Εικόνα 5" descr="Εικόνα που περιέχει κείμενο, στιγμιότυπο οθόνης, γραμματοσειρά,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Εικόνα 5" descr="Εικόνα που περιέχει κείμενο, στιγμιότυπο οθόνης, γραμματοσειρά, αριθμός&#10;&#10;Περιγραφή που δημιουργήθηκε αυτόματα"/>
                    <pic:cNvPicPr>
                      <a:picLocks noChangeAspect="1" noChangeArrowheads="1"/>
                    </pic:cNvPicPr>
                  </pic:nvPicPr>
                  <pic:blipFill>
                    <a:blip r:embed="rId28"/>
                    <a:stretch>
                      <a:fillRect/>
                    </a:stretch>
                  </pic:blipFill>
                  <pic:spPr bwMode="auto">
                    <a:xfrm>
                      <a:off x="0" y="0"/>
                      <a:ext cx="5278755" cy="2539365"/>
                    </a:xfrm>
                    <a:prstGeom prst="rect">
                      <a:avLst/>
                    </a:prstGeom>
                  </pic:spPr>
                </pic:pic>
              </a:graphicData>
            </a:graphic>
          </wp:inline>
        </w:drawing>
      </w:r>
    </w:p>
    <w:p>
      <w:pPr>
        <w:pStyle w:val="Normal"/>
        <w:jc w:val="center"/>
        <w:rPr>
          <w:rFonts w:ascii="Times-Roman" w:hAnsi="Times-Roman" w:eastAsia="Calibri" w:cs="Times-Roman"/>
          <w:color w:val="E2E5E8"/>
          <w:sz w:val="56"/>
          <w:szCs w:val="56"/>
        </w:rPr>
      </w:pPr>
      <w:bookmarkStart w:id="68" w:name="_Toc152764775"/>
      <w:r>
        <w:rPr/>
        <w:t xml:space="preserve">Εικόνα </w:t>
      </w:r>
      <w:r>
        <w:rPr/>
        <w:fldChar w:fldCharType="begin"/>
      </w:r>
      <w:r>
        <w:rPr/>
        <w:instrText xml:space="preserve"> SEQ Εικόνα \* ARABIC </w:instrText>
      </w:r>
      <w:r>
        <w:rPr/>
        <w:fldChar w:fldCharType="separate"/>
      </w:r>
      <w:r>
        <w:rPr/>
        <w:t>9</w:t>
      </w:r>
      <w:r>
        <w:rPr/>
        <w:fldChar w:fldCharType="end"/>
      </w:r>
      <w:r>
        <w:rPr/>
        <w:t>:</w:t>
      </w:r>
      <w:r>
        <w:rPr>
          <w:rFonts w:eastAsia="Calibri" w:cs="Times-Roman" w:ascii="Times-Roman" w:hAnsi="Times-Roman"/>
          <w:color w:val="E2E5E8"/>
        </w:rPr>
        <w:t xml:space="preserve"> </w:t>
      </w:r>
      <w:r>
        <w:rPr>
          <w:rFonts w:eastAsia="Calibri" w:cs="Times-Roman" w:ascii="Times-Roman" w:hAnsi="Times-Roman"/>
          <w:i/>
          <w:iCs/>
          <w:color w:themeColor="text1" w:val="000000"/>
          <w:sz w:val="20"/>
          <w:szCs w:val="20"/>
        </w:rPr>
        <w:t xml:space="preserve">Πρόβλεψη της παχυσαρκίας χρησιμοποιώντας μια πολυγονιδιακή βαθμολογία. Το αποτέλεσμα απεικονίζεται για μια πολυγονιδιακή βαθμολογία (PGS) που υποθέτει ότι τα άτομα με βαθμολογία στην υψηλότερη δεκαημέρια (≥90ο εκατοστημόριο (pct)) θα αναπτύξει παχυσαρκία, έχει θετική προγνωστική τιμή 0,4 και ευαισθησία 0,19. Από δέκα άτομα με υψηλή βαθμολογία που ταξινομείται από το PGS ως «με παχυσαρκία», θα ταξινομηθούν τέσσερις σωστά, αλλά οι άλλοι έξι θα ταξινομηθούν λάθος και δεν θα αναπτύξουν παχυσαρκία — θετική προγνωστική τιμή 0,4. Ομοίως, 17 από τα 90 άτομα με α βαθμολογία &lt;90ο ποσοστό που προβλέπεται ότι δεν θα αναπτύξουν παχυσαρκία, θα αναπτύξουν παχυσαρκία. Έτσι, μόνο τέσσερα από τα 21 άτομα που εμφάνισαν παχυσαρκία ήταν σωστά ταξινομημένο από το PGS — ευαισθησία 0,19. Εσφαλμένα ταξινομημένα άτομα είναι που υποδεικνύονται από τα κόκκινα πλαίσια, τα άτομα σωστά ταξινομημένα ως «με παχυσαρκία» υποδεικνύονται με ένα μπλε πλαίσιο </w:t>
      </w:r>
      <w:r>
        <w:fldChar w:fldCharType="begin"/>
      </w:r>
      <w:r>
        <w:rPr>
          <w:sz w:val="20"/>
          <w:i/>
          <w:szCs w:val="20"/>
          <w:iCs/>
          <w:rFonts w:eastAsia="Calibri" w:cs="Times-Roman" w:ascii="Times-Roman" w:hAnsi="Times-Roman"/>
          <w:color w:themeColor="text1" w:val="000000"/>
        </w:rPr>
        <w:instrText xml:space="preserve">ADDIN ZOTERO_ITEM CSL_CITATION {"citationID":"OZacLtt1","properties":{"formattedCitation":"[44]","plainCitation":"[44]","noteIndex":0},"citationItems":[{"id":2446,"uris":["http://zotero.org/users/local/WDVvZTBM/items/9EHLE2DL"],"itemData":{"id":2446,"type":"article-journal","abstract":"The prevalence of obesity has tripled over the past four decades, imposing an enormous burden on people’s health. Polygenic (or common) obesity and rare, severe, early-o nset monogenic obesity are often polarized as distinct diseases. However, gene discovery studies for both forms of obesity show that they have shared genetic and biological underpinnings, pointing to a key role for the brain in the control of body weight. Genome-w ide association studies (GWAS) with increasing sample sizes and advances in sequencing technology are the main drivers behind a recent flurry of new discoveries. However, it is the post-G WAS, cross-d isciplinary collaborations, which combine new omics technologies and analytical approaches, that have started to facilitate translation of genetic loci into meaningful biology and new avenues for treatment.","container-title":"Nature Reviews Genetics","DOI":"10.1038/s41576-021-00414-z","ISSN":"1471-0056, 1471-0064","issue":"2","journalAbbreviation":"Nat Rev Genet","language":"en","page":"120-133","source":"DOI.org (Crossref)","title":"The genetics of obesity: from discovery to biology","title-short":"The genetics of obesity","volume":"23","author":[{"family":"Loos","given":"Ruth J. F."},{"family":"Yeo","given":"Giles S. H."}],"issued":{"date-parts":[["2022",2]]}}}],"schema":"https://github.com/citation-style-language/schema/raw/master/csl-citation.json"}</w:instrText>
      </w:r>
      <w:r>
        <w:rPr>
          <w:rFonts w:eastAsia="Calibri" w:cs="Times-Roman" w:ascii="Times-Roman" w:hAnsi="Times-Roman"/>
          <w:i/>
          <w:iCs/>
          <w:color w:themeColor="text1" w:val="000000"/>
          <w:sz w:val="20"/>
          <w:szCs w:val="20"/>
        </w:rPr>
      </w:r>
      <w:r>
        <w:rPr>
          <w:sz w:val="20"/>
          <w:i/>
          <w:szCs w:val="20"/>
          <w:iCs/>
          <w:rFonts w:eastAsia="Calibri" w:cs="Times-Roman" w:ascii="Times-Roman" w:hAnsi="Times-Roman"/>
          <w:color w:themeColor="text1" w:val="000000"/>
        </w:rPr>
        <w:fldChar w:fldCharType="separate"/>
      </w:r>
      <w:r>
        <w:rPr>
          <w:rFonts w:eastAsia="Calibri" w:cs="Times-Roman" w:ascii="Times-Roman" w:hAnsi="Times-Roman"/>
          <w:i/>
          <w:iCs/>
          <w:color w:themeColor="text1" w:val="000000"/>
          <w:sz w:val="20"/>
          <w:szCs w:val="20"/>
        </w:rPr>
        <w:t>[44]</w:t>
      </w:r>
      <w:r>
        <w:rPr>
          <w:rFonts w:eastAsia="Calibri" w:cs="Times-Roman" w:ascii="Times-Roman" w:hAnsi="Times-Roman"/>
          <w:i/>
          <w:iCs/>
          <w:color w:themeColor="text1" w:val="000000"/>
          <w:sz w:val="20"/>
          <w:szCs w:val="20"/>
        </w:rPr>
      </w:r>
      <w:r>
        <w:rPr>
          <w:sz w:val="20"/>
          <w:i/>
          <w:szCs w:val="20"/>
          <w:iCs/>
          <w:rFonts w:eastAsia="Calibri" w:cs="Times-Roman" w:ascii="Times-Roman" w:hAnsi="Times-Roman"/>
          <w:color w:themeColor="text1" w:val="000000"/>
        </w:rPr>
        <w:fldChar w:fldCharType="end"/>
      </w:r>
      <w:r>
        <w:rPr>
          <w:rFonts w:eastAsia="Calibri" w:cs="Times-Roman" w:ascii="Times-Roman" w:hAnsi="Times-Roman"/>
          <w:i/>
          <w:iCs/>
          <w:color w:themeColor="text1" w:val="000000"/>
          <w:sz w:val="20"/>
          <w:szCs w:val="20"/>
        </w:rPr>
        <w:t>.</w:t>
      </w:r>
      <w:bookmarkEnd w:id="68"/>
    </w:p>
    <w:p>
      <w:pPr>
        <w:pStyle w:val="Caption1"/>
        <w:jc w:val="left"/>
        <w:rPr>
          <w:rFonts w:eastAsia="Calibri"/>
        </w:rPr>
      </w:pPr>
      <w:r>
        <w:rPr>
          <w:rFonts w:eastAsia="Calibri"/>
        </w:rPr>
      </w:r>
    </w:p>
    <w:p>
      <w:pPr>
        <w:pStyle w:val="Heading2"/>
        <w:rPr/>
      </w:pPr>
      <w:r>
        <w:rPr>
          <w:rFonts w:eastAsia="Calibri" w:cs="Times-Roman" w:ascii="Times-Roman" w:hAnsi="Times-Roman"/>
          <w:color w:val="18191B"/>
        </w:rPr>
        <w:t xml:space="preserve"> </w:t>
      </w:r>
      <w:bookmarkStart w:id="69" w:name="_Toc154923833"/>
      <w:r>
        <w:rPr/>
        <w:t>3.5 Επιγενετική παιδική παχυσαρκία</w:t>
      </w:r>
      <w:bookmarkEnd w:id="69"/>
    </w:p>
    <w:p>
      <w:pPr>
        <w:pStyle w:val="Normal"/>
        <w:spacing w:lineRule="auto" w:line="360"/>
        <w:ind w:firstLine="720"/>
        <w:jc w:val="both"/>
        <w:rPr>
          <w:rFonts w:ascii="Times-Roman" w:hAnsi="Times-Roman" w:eastAsia="Calibri" w:cs="Times-Roman"/>
          <w:color w:val="18191B"/>
        </w:rPr>
      </w:pPr>
      <w:r>
        <w:rPr>
          <w:rFonts w:eastAsia="Calibri" w:cs="Times-Roman" w:ascii="Times-Roman" w:hAnsi="Times-Roman"/>
          <w:color w:val="18191B"/>
        </w:rPr>
        <w:t xml:space="preserve">Οι επιγενετικές αλλαγές στο ανθρώπινο γονιδίωμα ορίζονται ως κληρονομικοί ρυθμιστικοί μηχανισμοί επικάλυψης γονιδιακής έκφρασης σε πληροφορίες που περικλείονται στην αλληλουχία του DNA. Επιγενετικές αλλαγές (που αναφέρονται επίσης ως επιγενετικά σημάδια) περιλαμβάνουν κυρίως τη μεθυλίωση του DNA, μετα- μεταφραστικές τροποποιήσεις των ιστονών, και ncRNAs </w:t>
      </w:r>
      <w:r>
        <w:fldChar w:fldCharType="begin"/>
      </w:r>
      <w:r>
        <w:rPr>
          <w:rFonts w:eastAsia="Calibri" w:cs="Times-Roman" w:ascii="Times-Roman" w:hAnsi="Times-Roman"/>
          <w:color w:val="18191B"/>
        </w:rPr>
        <w:instrText xml:space="preserve">ADDIN ZOTERO_ITEM CSL_CITATION {"citationID":"6yTK4vkO","properties":{"formattedCitation":"[131], [132]","plainCitation":"[131], [132]","noteIndex":0},"citationItems":[{"id":3094,"uris":["http://zotero.org/users/local/WDVvZTBM/items/XJF27Y2X"],"itemData":{"id":3094,"type":"article-journal","abstract":"DNA methylation is essential for mammalian embryogenesis owing to its repression of transposons and genes, but it is also associated with gene activation. The recent use of sensitive technologies has revealed that DNA methylation dynamics vary considerably between embryonic, germline and somatic cell development, with implications for genetic diseases and cancer.","container-title":"Nature Reviews Molecular Cell Biology","DOI":"10.1038/s41580-019-0159-6","ISSN":"1471-0080","issue":"10","journalAbbreviation":"Nat Rev Mol Cell Biol","language":"en","license":"2019 Springer Nature Limited","note":"number: 10\npublisher: Nature Publishing Group","page":"590-607","source":"www.nature.com","title":"The diverse roles of DNA methylation in mammalian development and disease","volume":"20","author":[{"family":"Greenberg","given":"Maxim V. C."},{"family":"Bourc’his","given":"Deborah"}],"issued":{"date-parts":[["2019",10]]}},"label":"page"},{"id":3080,"uris":["http://zotero.org/users/local/WDVvZTBM/items/UL34ME72"],"itemData":{"id":3080,"type":"article-journal","abstract":"Chromatin is not an inert structure, but rather an instructive DNA scaffold that can respond to external cues to regulate the many uses of DNA. A principle component of chromatin that plays a key role in this regulation is the modification of histones. There is an ever-growing list of these modifications and the complexity of their action is only just beginning to be understood. However, it is clear that histone modifications play fundamental roles in most biological processes that are involved in the manipulation and expression of DNA. Here, we describe the known histone modifications, define where they are found genomically and discuss some of their functional consequences, concentrating mostly on transcription where the majority of characterisation has taken place.","container-title":"Cell Research","DOI":"10.1038/cr.2011.22","ISSN":"1748-7838","issue":"3","journalAbbreviation":"Cell Res","language":"en","license":"2011 Shanghai Institutes for Biological Sciences, Chinese Academy of Sciences","note":"number: 3\npublisher: Nature Publishing Group","page":"381-395","source":"www.nature.com","title":"Regulation of chromatin by histone modifications","volume":"21","author":[{"family":"Bannister","given":"Andrew J."},{"family":"Kouzarides","given":"Tony"}],"issued":{"date-parts":[["2011",3]]}}}],"schema":"https://github.com/citation-style-language/schema/raw/master/csl-citation.json"}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[131], [132]</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Η μεθυλίωση του DNA, που είναι το πιο μελετημένο επιγενετικό σημάδι, είναι μια διαδικασία που συμβαίνει στο πέμπτο άνθρακα των κυτοσινών, που βρίσκονται κυρίως σε περιοχές με συμμετρικά Δινουκλεοτίδια CpG, όπου η προσθήκη μιας μεθυλομάδας στη κυτοσίνη μπορεί να προκαλέσει μεταγραφική καταστολή. Αυτή η διαδικασία συντηρείται από τη δραστηριότητα τριών τύπων DNA μεθυλοτρανσφεράσες (D</w:t>
      </w:r>
      <w:r>
        <w:rPr>
          <w:rFonts w:eastAsia="Calibri" w:cs="Times-Roman" w:ascii="Times-Roman" w:hAnsi="Times-Roman"/>
          <w:color w:val="18191B"/>
          <w:lang w:val="en-US"/>
        </w:rPr>
        <w:t>NA</w:t>
      </w:r>
      <w:r>
        <w:rPr>
          <w:rFonts w:eastAsia="Calibri" w:cs="Times-Roman" w:ascii="Times-Roman" w:hAnsi="Times-Roman"/>
          <w:color w:val="18191B"/>
        </w:rPr>
        <w:t xml:space="preserve"> </w:t>
      </w:r>
      <w:r>
        <w:rPr>
          <w:rFonts w:eastAsia="Calibri" w:cs="Times-Roman" w:ascii="Times-Roman" w:hAnsi="Times-Roman"/>
          <w:color w:val="18191B"/>
          <w:lang w:val="en-US"/>
        </w:rPr>
        <w:t>methyltrasferases</w:t>
      </w:r>
      <w:r>
        <w:rPr>
          <w:rFonts w:eastAsia="Calibri" w:cs="Times-Roman" w:ascii="Times-Roman" w:hAnsi="Times-Roman"/>
          <w:color w:val="18191B"/>
        </w:rPr>
        <w:t xml:space="preserve">-DNMTs), συμπεριλαμβανομένων των DNMT1, DNMT3A και DNMT3B </w:t>
      </w:r>
      <w:r>
        <w:fldChar w:fldCharType="begin"/>
      </w:r>
      <w:r>
        <w:rPr>
          <w:rFonts w:eastAsia="Calibri" w:cs="Times-Roman" w:ascii="Times-Roman" w:hAnsi="Times-Roman"/>
          <w:color w:val="18191B"/>
          <w:lang w:val="en-US"/>
        </w:rPr>
        <w:instrText xml:space="preserve">ADDIN ZOTERO_ITEM CSL_CITATION {"citationID":"STZMyGuU","properties":{"formattedCitation":"[131]","plainCitation":"[131]","noteIndex":0},"citationItems":[{"id":3094,"uris":["http://zotero.org/users/local/WDVvZTBM/items/XJF27Y2X"],"itemData":{"id":3094,"type":"article-journal","abstract":"DNA methylation is essential for mammalian embryogenesis owing to its repression of transposons and genes, but it is also associated with gene activation. The recent use of sensitive technologies has revealed that DNA methylation dynamics vary considerably between embryonic, germline and somatic cell development, with implications for genetic diseases and cancer.","container-title":"Nature Reviews Molecular Cell Biology","DOI":"10.1038/s41580-019-0159-6","ISSN":"1471-0080","issue":"10","journalAbbreviation":"Nat Rev Mol Cell Biol","language":"en","license":"2019 Springer Nature Limited","note":"number: 10\npublisher: Nature Publishing Group","page":"590-607","source":"www.nature.com","title":"The diverse roles of DNA methylation in mammalian development and disease","volume":"20","author":[{"family":"Greenberg","given":"Maxim V. C."},{"family":"Bourc’his","given":"Deborah"}],"issued":{"date-parts":[["2019",10]]}}}],"schema":"https://github.com/citation-style-language/schema/raw/master/csl-citation.json"}</w:instrText>
      </w:r>
      <w:r>
        <w:rPr>
          <w:rFonts w:eastAsia="Calibri" w:cs="Times-Roman" w:ascii="Times-Roman" w:hAnsi="Times-Roman"/>
          <w:color w:val="18191B"/>
          <w:lang w:val="en-US"/>
        </w:rPr>
      </w:r>
      <w:r>
        <w:rPr>
          <w:rFonts w:eastAsia="Calibri" w:cs="Times-Roman" w:ascii="Times-Roman" w:hAnsi="Times-Roman"/>
          <w:color w:val="18191B"/>
          <w:lang w:val="en-US"/>
        </w:rPr>
        <w:fldChar w:fldCharType="separate"/>
      </w:r>
      <w:r>
        <w:rPr>
          <w:rFonts w:eastAsia="Calibri" w:cs="Times-Roman" w:ascii="Times-Roman" w:hAnsi="Times-Roman"/>
          <w:color w:val="18191B"/>
          <w:lang w:val="en-US"/>
        </w:rPr>
      </w:r>
      <w:r>
        <w:rPr>
          <w:rFonts w:eastAsia="Calibri" w:cs="Times-Roman" w:ascii="Times-Roman" w:hAnsi="Times-Roman"/>
          <w:color w:val="18191B"/>
        </w:rPr>
        <w:t>[131]</w:t>
      </w:r>
      <w:r>
        <w:rPr>
          <w:rFonts w:eastAsia="Calibri" w:cs="Times-Roman" w:ascii="Times-Roman" w:hAnsi="Times-Roman"/>
          <w:color w:val="18191B"/>
          <w:lang w:val="en-US"/>
        </w:rPr>
      </w:r>
      <w:r>
        <w:rPr>
          <w:rFonts w:eastAsia="Calibri" w:cs="Times-Roman" w:ascii="Times-Roman" w:hAnsi="Times-Roman"/>
          <w:color w:val="18191B"/>
          <w:lang w:val="en-US"/>
        </w:rPr>
        <w:fldChar w:fldCharType="end"/>
      </w:r>
      <w:r>
        <w:rPr>
          <w:rFonts w:eastAsia="Calibri" w:cs="Times-Roman" w:ascii="Times-Roman" w:hAnsi="Times-Roman"/>
          <w:color w:val="18191B"/>
        </w:rPr>
        <w:t xml:space="preserve">. Ο όρος «μεταφραστική τροποποιήση των ιστονών» περιλαμβάνει διάφορες χημικές αλλαγές, όπως ακετυλίωση ιστόνης, μεθυλίωση ιστόνης, φωσφορυλίωση ιστόνης και ουβικουϊτινοποίηση ιστόνης. Αυτές οι τροποποιήσεις μπορεί να ρυθμίζονται από διαφορετικά ένζυμα, όπως π.χ ακετυλοτρανσφεράσες ιστόνης, αποακετυλάσες ιστόνης, ιστόνη μεθυλοτρανσφεράσες και απομεθυλάσες και μπορεί να σχετίζονται τόσο με μεταγραφική ενεργοποίηση όσο και με καταστολή </w:t>
      </w:r>
      <w:r>
        <w:fldChar w:fldCharType="begin"/>
      </w:r>
      <w:r>
        <w:rPr>
          <w:rFonts w:eastAsia="Calibri" w:cs="Times-Roman" w:ascii="Times-Roman" w:hAnsi="Times-Roman"/>
          <w:color w:val="18191B"/>
        </w:rPr>
        <w:instrText xml:space="preserve">ADDIN ZOTERO_ITEM CSL_CITATION {"citationID":"geI09hCz","properties":{"formattedCitation":"[132]","plainCitation":"[132]","noteIndex":0},"citationItems":[{"id":3080,"uris":["http://zotero.org/users/local/WDVvZTBM/items/UL34ME72"],"itemData":{"id":3080,"type":"article-journal","abstract":"Chromatin is not an inert structure, but rather an instructive DNA scaffold that can respond to external cues to regulate the many uses of DNA. A principle component of chromatin that plays a key role in this regulation is the modification of histones. There is an ever-growing list of these modifications and the complexity of their action is only just beginning to be understood. However, it is clear that histone modifications play fundamental roles in most biological processes that are involved in the manipulation and expression of DNA. Here, we describe the known histone modifications, define where they are found genomically and discuss some of their functional consequences, concentrating mostly on transcription where the majority of characterisation has taken place.","container-title":"Cell Research","DOI":"10.1038/cr.2011.22","ISSN":"1748-7838","issue":"3","journalAbbreviation":"Cell Res","language":"en","license":"2011 Shanghai Institutes for Biological Sciences, Chinese Academy of Sciences","note":"number: 3\npublisher: Nature Publishing Group","page":"381-395","source":"www.nature.com","title":"Regulation of chromatin by histone modifications","volume":"21","author":[{"family":"Bannister","given":"Andrew J."},{"family":"Kouzarides","given":"Tony"}],"issued":{"date-parts":[["2011",3]]}}}],"schema":"https://github.com/citation-style-language/schema/raw/master/csl-citation.json"}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[132]</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w:t>
      </w:r>
    </w:p>
    <w:p>
      <w:pPr>
        <w:pStyle w:val="Normal"/>
        <w:spacing w:lineRule="auto" w:line="360"/>
        <w:jc w:val="both"/>
        <w:rPr>
          <w:rFonts w:ascii="Times-Roman" w:hAnsi="Times-Roman" w:eastAsia="Calibri" w:cs="Times-Roman"/>
          <w:color w:val="18191B"/>
        </w:rPr>
      </w:pPr>
      <w:r>
        <w:rPr>
          <w:rFonts w:eastAsia="Calibri" w:cs="Times-Roman" w:ascii="Times-Roman" w:hAnsi="Times-Roman"/>
          <w:color w:val="18191B"/>
        </w:rPr>
        <w:tab/>
        <w:t xml:space="preserve">Συνήθως, τα ncRNA είναι μια ομάδα RNA που ταξινομούνται ανάλογα με το μήκος τους σε μακρά ncRNA (lncRNAs), και μικρά ncRNAs συμπεριλαμβανομένων miRNAs, μικρού πυρηνικού RNA (snoRNA), μικρό πυρηνικό RNA (snRNA), RNA που αλληλεπιδρούν με PIWI (piRNAs), και άλλα, τα οποία μπορεί να ρυθμίζουν την έκφραση γονιδίων στο μεταγραφικό, μετα-μεταγραφικό, μεταφραστικό και μετα-μεταφραστικό επίπεδο με διάφορους τρόπους </w:t>
      </w:r>
      <w:r>
        <w:fldChar w:fldCharType="begin"/>
      </w:r>
      <w:r>
        <w:rPr>
          <w:rFonts w:eastAsia="Calibri" w:cs="Times-Roman" w:ascii="Times-Roman" w:hAnsi="Times-Roman"/>
          <w:color w:val="18191B"/>
        </w:rPr>
        <w:instrText xml:space="preserve">ADDIN ZOTERO_ITEM CSL_CITATION {"citationID":"jxg4ON7G","properties":{"formattedCitation":"[133], [134]","plainCitation":"[133], [134]","noteIndex":0},"citationItems":[{"id":3082,"uris":["http://zotero.org/users/local/WDVvZTBM/items/N9RTYIR9"],"itemData":{"id":3082,"type":"article-journal","abstract":"MicroRNAs (miRNAs) are endogenous approximately 22-nucleotide RNAs that mediate important gene-regulatory events by pairing to the mRNAs of protein-coding genes to direct their repression. Repression of these regulatory targets leads to decreased translational efficiency and/or decreased mRNA levels …","container-title":"Nature","DOI":"10.1038/nature09267","ISSN":"1476-4687","issue":"7308","language":"en","note":"publisher: Nature\nPMID: 20703300","source":"pubmed.ncbi.nlm.nih.gov","title":"Mammalian microRNAs predominantly act to decrease target mRNA levels","URL":"https://pubmed.ncbi.nlm.nih.gov/20703300/","volume":"466","author":[{"family":"H","given":"Guo"},{"family":"Nt","given":"Ingolia"},{"family":"Js","given":"Weissman"},{"family":"Dp","given":"Bartel"}],"accessed":{"date-parts":[["2023",11,19]]},"issued":{"date-parts":[["2010",12,8]]}}},{"id":3084,"uris":["http://zotero.org/users/local/WDVvZTBM/items/4B76QE4B"],"itemData":{"id":3084,"type":"article-journal","abstract":"Over the last decade, it has been increasingly demonstrated that the genomes of many species are pervasively transcribed, resulting in the production of numerous long noncoding RNAs (lncRNAs). At the same time, it is now appreciated that many types of DNA regulatory elements, such as enhancers and p …","container-title":"Cell","DOI":"10.1016/j.cell.2018.01.011","ISSN":"1097-4172","issue":"3","language":"en","note":"publisher: Cell\nPMID: 29373828","source":"pubmed.ncbi.nlm.nih.gov","title":"Functional Classification and Experimental Dissection of Long Noncoding RNAs","URL":"https://pubmed.ncbi.nlm.nih.gov/29373828/","volume":"172","author":[{"family":"F","given":"Kopp"},{"family":"Jt","given":"Mendell"}],"accessed":{"date-parts":[["2023",11,19]]},"issued":{"date-parts":[["2018",1,25]]}}}],"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[133], [134]</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w:t>
      </w:r>
    </w:p>
    <w:p>
      <w:pPr>
        <w:pStyle w:val="Normal"/>
        <w:spacing w:lineRule="auto" w:line="360"/>
        <w:ind w:firstLine="720"/>
        <w:jc w:val="both"/>
        <w:rPr>
          <w:rFonts w:ascii="Times-Roman" w:hAnsi="Times-Roman" w:eastAsia="Calibri" w:cs="Times-Roman"/>
          <w:color w:val="18191B"/>
        </w:rPr>
      </w:pPr>
      <w:r>
        <w:rPr>
          <w:rFonts w:eastAsia="Calibri" w:cs="Times-Roman" w:ascii="Times-Roman" w:hAnsi="Times-Roman"/>
          <w:color w:val="18191B"/>
        </w:rPr>
        <w:t xml:space="preserve">Υπάρχουν αρκετοί περιβαλλοντικοί και διατροφικοί παράγοντες (π.χ. υπερθρεψία) που μπορούν να επηρεάσουν την επιγενετική, δρώντας έτσι ως ρυθμιστές της αλληλεπίδρασης περιβάλλοντος-γονιδίου κατά τη διάρκεια της ζωής </w:t>
      </w:r>
      <w:r>
        <w:fldChar w:fldCharType="begin"/>
      </w:r>
      <w:r>
        <w:rPr>
          <w:rFonts w:eastAsia="Calibri" w:cs="Times-Roman" w:ascii="Times-Roman" w:hAnsi="Times-Roman"/>
          <w:color w:val="18191B"/>
        </w:rPr>
        <w:instrText xml:space="preserve">ADDIN ZOTERO_ITEM CSL_CITATION {"citationID":"4iY1macL","properties":{"formattedCitation":"[135]","plainCitation":"[135]","noteIndex":0},"citationItems":[{"id":3088,"uris":["http://zotero.org/users/local/WDVvZTBM/items/XSWYKU5L"],"itemData":{"id":3088,"type":"article-journal","abstract":"Obesity has become a global epidemic that has a negative impact on population health and the economy of nations. Genetic predispositions have been demonstrated to have a substantial role in the unbalanced energy metabolism seen in obesity. However, these genetic variations cannot entirely explain th …","container-title":"International journal of molecular sciences","DOI":"10.3390/ijms23031341","ISSN":"1422-0067","issue":"3","language":"en","note":"publisher: Int J Mol Sci\nPMID: 35163268","source":"pubmed.ncbi.nlm.nih.gov","title":"An Overview of Epigenetics in Obesity: The Role of Lifestyle and Therapeutic Interventions","title-short":"An Overview of Epigenetics in Obesity","URL":"https://pubmed.ncbi.nlm.nih.gov/35163268/","volume":"23","author":[{"family":"Am","given":"Mahmoud"}],"accessed":{"date-parts":[["2023",11,19]]},"issued":{"date-parts":[["2022",1,25]]}}}],"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[135]</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Μια πρόσφατη συστηματική ανασκόπηση τόνισε τη συσχέτιση μεταξύ επιγενετικών μηχανισμών και παχυσαρκίας σε παιδιά </w:t>
      </w:r>
      <w:r>
        <w:fldChar w:fldCharType="begin"/>
      </w:r>
      <w:r>
        <w:rPr>
          <w:rFonts w:eastAsia="Calibri" w:cs="Times-Roman" w:ascii="Times-Roman" w:hAnsi="Times-Roman"/>
          <w:color w:val="18191B"/>
        </w:rPr>
        <w:instrText xml:space="preserve">ADDIN ZOTERO_ITEM CSL_CITATION {"citationID":"BZ1cz3BQ","properties":{"formattedCitation":"[136]","plainCitation":"[136]","noteIndex":0},"citationItems":[{"id":3091,"uris":["http://zotero.org/users/local/WDVvZTBM/items/LLXMT84T"],"itemData":{"id":3091,"type":"article-journal","abstract":"The tremendous increase in childhood obesity prevalence over the last few decades cannot merely be explained by genetics and evolutionary changes in the genome, implying that gene-environment interactions, such as epigenetic modifications, likely play a major role. This systematic review aims to sum …","container-title":"Obesity reviews : an official journal of the International Association for the Study of Obesity","DOI":"10.1111/obr.13389","ISSN":"1467-789X","language":"en","note":"publisher: Obes Rev\nPMID: 34816569","source":"pubmed.ncbi.nlm.nih.gov","title":"Perspectives and challenges of epigenetic determinants of childhood obesity: A systematic review","title-short":"Perspectives and challenges of epigenetic determinants of childhood obesity","URL":"https://pubmed.ncbi.nlm.nih.gov/34816569/","volume":"23 Suppl 1","author":[{"family":"R","given":"Alfano"},{"family":"O","given":"Robinson"},{"family":"E","given":"Handakas"},{"family":"Ts","given":"Nawrot"},{"family":"P","given":"Vineis"},{"family":"M","given":"Plusquin"}],"accessed":{"date-parts":[["2023",11,19]]},"issued":{"date-parts":[["2022",1]]}}}],"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[136]</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Αυτή η συστηματική ανασκόπηση περιγράφει την αναφορά μελετών σε ισχυρές ενδείξεις επιγενετικής υπογραφής που αξιολογήθηκαν από Μελέτες Συσχέτισης σε επίπεδο Επιγονιδιώματος (</w:t>
      </w:r>
      <w:r>
        <w:rPr>
          <w:rFonts w:eastAsia="Calibri" w:cs="Times-Roman" w:ascii="Times-Roman" w:hAnsi="Times-Roman"/>
          <w:color w:val="18191B"/>
          <w:lang w:val="en-US"/>
        </w:rPr>
        <w:t>epigenome</w:t>
      </w:r>
      <w:r>
        <w:rPr>
          <w:rFonts w:eastAsia="Calibri" w:cs="Times-Roman" w:ascii="Times-Roman" w:hAnsi="Times-Roman"/>
          <w:color w:val="18191B"/>
        </w:rPr>
        <w:t>-</w:t>
      </w:r>
      <w:r>
        <w:rPr>
          <w:rFonts w:eastAsia="Calibri" w:cs="Times-Roman" w:ascii="Times-Roman" w:hAnsi="Times-Roman"/>
          <w:color w:val="18191B"/>
          <w:lang w:val="en-US"/>
        </w:rPr>
        <w:t>Wide</w:t>
      </w:r>
      <w:r>
        <w:rPr>
          <w:rFonts w:eastAsia="Calibri" w:cs="Times-Roman" w:ascii="Times-Roman" w:hAnsi="Times-Roman"/>
          <w:color w:val="18191B"/>
        </w:rPr>
        <w:t xml:space="preserve"> </w:t>
      </w:r>
      <w:r>
        <w:rPr>
          <w:rFonts w:eastAsia="Calibri" w:cs="Times-Roman" w:ascii="Times-Roman" w:hAnsi="Times-Roman"/>
          <w:color w:val="18191B"/>
          <w:lang w:val="en-US"/>
        </w:rPr>
        <w:t>Association</w:t>
      </w:r>
      <w:r>
        <w:rPr>
          <w:rFonts w:eastAsia="Calibri" w:cs="Times-Roman" w:ascii="Times-Roman" w:hAnsi="Times-Roman"/>
          <w:color w:val="18191B"/>
        </w:rPr>
        <w:t xml:space="preserve"> </w:t>
      </w:r>
      <w:r>
        <w:rPr>
          <w:rFonts w:eastAsia="Calibri" w:cs="Times-Roman" w:ascii="Times-Roman" w:hAnsi="Times-Roman"/>
          <w:color w:val="18191B"/>
          <w:lang w:val="en-US"/>
        </w:rPr>
        <w:t>Study</w:t>
      </w:r>
      <w:r>
        <w:rPr>
          <w:rFonts w:eastAsia="Calibri" w:cs="Times-Roman" w:ascii="Times-Roman" w:hAnsi="Times-Roman"/>
          <w:color w:val="18191B"/>
        </w:rPr>
        <w:t xml:space="preserve">-EWAS) στην παιδική παχυσαρκία. Πράγματι, σε μια πρόσφατη EWAS από τους Robinson et al, βασισμένη στη μελέτη UK Avon Longitudinal study of Parents and Children (ALSPAC) η κοόρτη μπόρεσε να αναγνωρίσει για πρώτη φορά τη συσχέτιση μεταξύ ενός διαφορικού προφίλ μεθυλίωσης DNA από τα δείγματα αίματος, σε παιδιά με πρόωρη ταχεία αύξηση βάρους. Στην ανάλυση του γονιδίου στο ALSPAC η ομάδα βρήκε μια θετική συσχέτιση μεταξύ της ταχείας αύξησης και μεθυλίωσης DNA στον τόπο κοντά στο σημείο ελέγχου στις περιοχές forkhead and ring finger (CHFR) (cg11531579), κωδικοποίηση για E3 ουβικιτίνη- πρωτεϊνική λιγάση, αυξάνοντας έτσι τον κίνδυνο επακόλουθης παιδιατρικής παχυσαρκίας </w:t>
      </w:r>
      <w:r>
        <w:fldChar w:fldCharType="begin"/>
      </w:r>
      <w:r>
        <w:rPr>
          <w:rFonts w:eastAsia="Calibri" w:cs="Times-Roman" w:ascii="Times-Roman" w:hAnsi="Times-Roman"/>
          <w:color w:val="18191B"/>
        </w:rPr>
        <w:instrText xml:space="preserve">ADDIN ZOTERO_ITEM CSL_CITATION {"citationID":"gp3W81gr","properties":{"formattedCitation":"[137]","plainCitation":"[137]","noteIndex":0},"citationItems":[{"id":3093,"uris":["http://zotero.org/users/local/WDVvZTBM/items/74W4QM5G"],"itemData":{"id":3093,"type":"article-journal","abstract":"High early postnatal weight gain has been associated with childhood adiposity; however, the mechanism remains unknown. DNA methylation is a hypothesised mechanism linking early life exposures and subsequent disease. However, epigenetic changes associated with high early weight gain have not previously been investigated. Our aim was to investigate the associations between early weight gain, peripheral blood DNA methylation, and subsequent overweight/obese. Data from the UK Avon Longitudinal study of Parents and Children (ALSPAC) cohort were used to estimate associations between early postnatal weight gain and epigenome-wide DNA CpG site methylation (Illumina 450 K Methylation Beadchip) in blood in childhood (n = 125) and late adolescence (n = 96). High weight gain in the first year (a change in weight z‐scores &gt; 0.67), both unconditional (rapid weight gain) and conditional on birthweight (rapid thrive), was related to individual CpG site methylation and across regions using the meffil pipeline, with and without adjustment for cell type proportions, and with 5% false discovery rate correction. Variation in methylation at high weight gain-associated CpG sites was then examined with regard to body composition measures in childhood and adolescence. Replication of the differentially methylated CpG sites was sought using whole-blood DNA samples from 104 children from the UK Southampton Women’s Survey. Rapid infant weight gain was associated with small (+ 1% change) increases in childhood methylation (age 7) for two distinct CpG sites (cg01379158 (NT5M) and cg11531579 (CHFR)). Childhood methylation at one of these CpGs (cg11531579) was also higher in those who experienced rapid weight gain and were subsequently overweight/obese in adolescence (age 17). Rapid weight gain was not associated with differential DNA methylation in adolescence. Childhood methylation at the cg11531579 site was also suggestively associated with rapid weight gain in the replication cohort. This study identified associations between rapid weight gain in infancy and small increases in childhood methylation at two CpG sites, one of which was replicated and was also associated with subsequent overweight/obese. It will be important to determine whether loci are markers of early rapid weight gain across different, larger populations. The mechanistic relevance of these differentially methylated sites requires further investigation.","container-title":"Clinical Epigenetics","DOI":"10.1186/s13148-020-00952-z","ISSN":"1868-7083","issue":"1","journalAbbreviation":"Clin Epigenet","language":"en","license":"2021 The Author(s)","note":"number: 1\npublisher: BioMed Central","page":"1-11","source":"clinicalepigeneticsjournal.biomedcentral.com","title":"Childhood DNA methylation as a marker of early life rapid weight gain and subsequent overweight","volume":"13","author":[{"family":"Robinson","given":"N."},{"family":"Brown","given":"H."},{"family":"Antoun","given":"Elie"},{"family":"Godfrey","given":"Keith M."},{"family":"Hanson","given":"Mark A."},{"family":"Lillycrop","given":"Karen A."},{"family":"Crozier","given":"Sarah R."},{"family":"Murray","given":"Robert"},{"family":"Pearce","given":"M. S."},{"family":"Relton","given":"C. L."},{"family":"Albani","given":"V."},{"family":"McKay","given":"J. A."}],"issued":{"date-parts":[["2021",12]]}}}],"schema":"https://github.com/citation-style-language/schema/raw/master/csl-citation.json"}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[137]</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w:t>
      </w:r>
    </w:p>
    <w:p>
      <w:pPr>
        <w:pStyle w:val="Normal"/>
        <w:spacing w:lineRule="auto" w:line="360"/>
        <w:jc w:val="both"/>
        <w:rPr>
          <w:rFonts w:ascii="Times-Roman" w:hAnsi="Times-Roman" w:eastAsia="Calibri" w:cs="Times-Roman"/>
          <w:color w:val="18191B"/>
        </w:rPr>
      </w:pPr>
      <w:r>
        <w:rPr>
          <w:rFonts w:eastAsia="Calibri" w:cs="Times-Roman" w:ascii="Times-Roman" w:hAnsi="Times-Roman"/>
          <w:color w:val="18191B"/>
        </w:rPr>
        <w:tab/>
        <w:t xml:space="preserve">Οι Xu et al. παρουσίασαν σημαντικό αριθμό διαφοροποιημένων θέσεων μεθυλιωμένης CpG μεταξύ παχύσαρκων και μη παχύσαρκων εφήβων (14–20 ετών) που σχετίζονται με το γονίδιο που προηγουμένως είχε συνδεθεί με την παχυσαρκία και με το T2D, όπως το FTO, η γλυκοκινάση (GCK), ο ηπατοκυτταρικός πυρηνικός παράγοντας-1 α και β (HNF1A και HNF1B), ενεργοποιημένο με πολλαπλασιαστή υπεροξισωμάτων υποδοχέα γάμμα (PPARg), φωσφατάση και ομόλογο τενσίνης (PTEN) και παράγοντα μεταγραφής 7-όπως 2 (TCF7L2) </w:t>
      </w:r>
      <w:r>
        <w:fldChar w:fldCharType="begin"/>
      </w:r>
      <w:r>
        <w:rPr>
          <w:rFonts w:eastAsia="Calibri" w:cs="Times-Roman" w:ascii="Times-Roman" w:hAnsi="Times-Roman"/>
          <w:color w:val="18191B"/>
        </w:rPr>
        <w:instrText xml:space="preserve">ADDIN ZOTERO_ITEM CSL_CITATION {"citationID":"yAAFihtN","properties":{"formattedCitation":"[138]","plainCitation":"[138]","noteIndex":0},"citationItems":[{"id":3097,"uris":["http://zotero.org/users/local/WDVvZTBM/items/AU2WJ6QS"],"itemData":{"id":3097,"type":"article-journal","abstract":"Besides differential methylation, DNA methylation variation has recently been proposed and demonstrated to be a potential contributing factor to cancer risk. Here we aim to examine whether differential variability in methylation is also an important feature of obesity, a typical non-malignant common …","container-title":"Epigenetics","DOI":"10.4161/epi.24506","ISSN":"1559-2308","issue":"5","language":"en","note":"publisher: Epigenetics\nPMID: 23644594","source":"pubmed.ncbi.nlm.nih.gov","title":"A genome-wide methylation study on obesity: differential variability and differential methylation","title-short":"A genome-wide methylation study on obesity","URL":"https://pubmed.ncbi.nlm.nih.gov/23644594/","volume":"8","author":[{"family":"X","given":"Xu"},{"family":"S","given":"Su"},{"family":"Va","given":"Barnes"},{"family":"C","given":"De Miguel"},{"family":"J","given":"Pollock"},{"family":"D","given":"Ownby"},{"family":"H","given":"Shi"},{"family":"H","given":"Zhu"},{"family":"H","given":"Snieder"},{"family":"X","given":"Wang"}],"accessed":{"date-parts":[["2023",11,19]]},"issued":{"date-parts":[["2013",12]]}}}],"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[138]</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Στη συνέχεια, πολυάριθμες μελέτες έχουν συσχετίσει τα DNA μοτίβα μεθυλίωσης με παχυσαρκία, με βάση το ΔΜΣ ή τη μέση περιφέρεια (WC) τόσο σε ενήλικες όσο και σε παιδιά </w:t>
      </w:r>
      <w:r>
        <w:fldChar w:fldCharType="begin"/>
      </w:r>
      <w:r>
        <w:rPr>
          <w:rFonts w:eastAsia="Calibri" w:cs="Times-Roman" w:ascii="Times-Roman" w:hAnsi="Times-Roman"/>
          <w:color w:val="18191B"/>
        </w:rPr>
        <w:instrText xml:space="preserve">ADDIN ZOTERO_ITEM CSL_CITATION {"citationID":"GXzrsboF","properties":{"formattedCitation":"[139]","plainCitation":"[139]","noteIndex":0},"citationItems":[{"id":3102,"uris":["http://zotero.org/users/local/WDVvZTBM/items/XIY35MTM"],"itemData":{"id":3102,"type":"article-journal","abstract":"Obesity is associated with increased risk of several diseases and has become epidemic. Obesity is highly heritable but the genetic variants identified by genome-wide association studies explain only limited variability. Epigenetics could contribute to explain the missing variability. The study aim w …","container-title":"Epigenetics","DOI":"10.1080/15592294.2017.1363951","ISSN":"1559-2308","issue":"10","language":"en","note":"publisher: Epigenetics\nPMID: 29099282","source":"pubmed.ncbi.nlm.nih.gov","title":"DNA methylation and obesity traits: An epigenome-wide association study. The REGICOR study","title-short":"DNA methylation and obesity traits","URL":"https://pubmed.ncbi.nlm.nih.gov/29099282/","volume":"12","author":[{"family":"S","given":"Sayols-Baixeras"},{"family":"I","given":"Subirana"},{"family":"A","given":"Fernández-Sanlés"},{"family":"M","given":"Sentí"},{"family":"C","given":"Lluís-Ganella"},{"family":"J","given":"Marrugat"},{"family":"R","given":"Elosua"}],"accessed":{"date-parts":[["2023",11,19]]},"issued":{"date-parts":[["2017"]]}}}],"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t>[139]</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xml:space="preserve">. Επιπλέον, όλο και περισσότερα στοιχεία έδειξαν ότι η διαγενεακή κληρονομικότητα περιβαλλοντικών εκθέσεων μπορεί να περάσει σε γενιές απογόνων που δεν εκτέθηκαν ποτέ σε γονεϊκά ερεθίσματα. Όλα αυτά τα ευρήματα υποστηρίζουν τα στοιχεία που αποδεικνύουν ότι η πατρική έκθεση πριν από την εγκυμοσύνη ή/και η έκθεση κατά τη διάρκεια της εγκυμοσύνης τόσο στην αύξηση του σωματικού βάρους της μητέρας όσο και στα παχυσογόνα, θα μπορούσε να εξηγήσει το μεγαλύτερο μέρος του διαγενεακού επιγενετικού προγραμματισμού που εξηγεί την κληρονομική φύση της παχυσαρκίας και τις σχετικές συννοσηρότητες στα παιδιά </w:t>
      </w:r>
      <w:r>
        <w:fldChar w:fldCharType="begin"/>
      </w:r>
      <w:r>
        <w:rPr>
          <w:rFonts w:eastAsia="Calibri" w:cs="Times-Roman" w:ascii="Times-Roman" w:hAnsi="Times-Roman"/>
          <w:color w:val="18191B"/>
        </w:rPr>
        <w:instrText xml:space="preserve">ADDIN ZOTERO_ITEM CSL_CITATION {"citationID":"dVLRmicj","properties":{"formattedCitation":"[140]\\uc0\\u8211{}[142]","plainCitation":"[140]–[142]","noteIndex":0},"citationItems":[{"id":3106,"uris":["http://zotero.org/users/local/WDVvZTBM/items/QWQWY5PS"],"itemData":{"id":3106,"type":"article-journal","abstract":"Obesity and associated disorders are now a global pandemic. The prevailing clinical model for obesity is overconsumption of calorie-dense food and diminished physical activity (the calories in-calories out model). However, this explanation does not account for numerous recent research findings demon …","container-title":"Basic &amp; clinical pharmacology &amp; toxicology","DOI":"10.1111/bcpt.13214","ISSN":"1742-7843","issue":"Suppl 3","language":"en","note":"publisher: Basic Clin Pharmacol Toxicol\nPMID: 30801972","source":"pubmed.ncbi.nlm.nih.gov","title":"Transgenerational effects of obesogens","URL":"https://pubmed.ncbi.nlm.nih.gov/30801972/","volume":"125 Suppl 3","author":[{"family":"Mk","given":"Lee"},{"family":"B","given":"Blumberg"}],"accessed":{"date-parts":[["2023",11,19]]},"issued":{"date-parts":[["2019",8]]}}},{"id":3110,"uris":["http://zotero.org/users/local/WDVvZTBM/items/7NQ55WK3"],"itemData":{"id":3110,"type":"article-journal","abstract":"Obesity and metabolic disorders have become a worldwide pandemic affecting millions of people. Although obesity is a multifaceted disease, there is growing evidence supporting the obesogen hypothesis, which proposes that exposure to a subset of endocrine disrupting chemicals (EDCs), known as obesogens, promotes obesity. While these effects can be observed in vitro using cell models, in vivo and human epidemiological studies have strengthened this hypothesis. Evidence from animal models showed that the effects of obesogen exposure can be inherited transgenerationally through at least the F4 generation. Transgenerational effects of EDC exposure predispose future generations to undesirable phenotypic traits and diseases, including obesity and related metabolic disorders. The exact mechanisms through which phenotypic traits are passed from an exposed organism to their offspring, without altering the primary DNA sequence, remain largely unknown. Recent research has provided strong evidence suggesting that a variety of epigenetic mechanisms may be underlie transgenerational inheritance. These include differential DNA methylation, histone methylation, histone retention, the expression and/or deposition of non-coding RNAs and large-scale alterations in chromatin structure and organization. This review highlights the most recent advances in the field of epigenetics with respect to the transgenerational effects of environmental obesogens. Changes in chromatin organization and structure may be the most plausible explanation for how some diseases predispositions are heritable through multiple generations, including generations that were not exposed. A solid understanding of these possible mechanisms is essential to fully understanding how environmental exposure can lead to inherited disease susceptibility.","container-title":"Frontiers in Endocrinology","DOI":"10.3389/fendo.2021.787580","ISSN":"1664-2392","journalAbbreviation":"Front. Endocrinol.","language":"English","note":"publisher: Frontiers","page":"787580","source":"www.frontiersin.org","title":"Epigenetic Transgenerational Inheritance of the Effects of Obesogen Exposure","volume":"12","author":[{"family":"Mohajer","given":"Nicole"},{"family":"Joloya","given":"Erika M."},{"family":"Seo","given":"Jeongbin"},{"family":"Shioda","given":"Toshi"},{"family":"Blumberg","given":"Bruce"}],"issued":{"date-parts":[["2021",12,16]]}}},{"id":3114,"uris":["http://zotero.org/users/local/WDVvZTBM/items/GFJ8SI5R"],"itemData":{"id":3114,"type":"article-journal","abstract":"Maternal body mass index (BMI) and gestational weight gain (GWG) impacts both the mother's and the child's health, and epigenetic modifications have been suggested to mediate some of these effects in offspring. This systematic review aimed to summarize the current literature on associations between …","container-title":"Journal of developmental origins of health and disease","DOI":"10.1017/S2040174420000811","ISSN":"2040-1752","issue":"3","language":"en","note":"publisher: J Dev Orig Health Dis\nPMID: 32873364","source":"pubmed.ncbi.nlm.nih.gov","title":"Epigenetic signatures associated with maternal body mass index or gestational weight gain: a systematic review","title-short":"Epigenetic signatures associated with maternal body mass index or gestational weight gain","URL":"https://pubmed.ncbi.nlm.nih.gov/32873364/","volume":"12","author":[{"family":"Jo","given":"Opsahl"},{"family":"Gh","given":"Moen"},{"family":"E","given":"Qvigstad"},{"family":"Y","given":"Böttcher"},{"family":"Ki","given":"Birkeland"},{"family":"C","given":"Sommer"}],"accessed":{"date-parts":[["2023",11,19]]},"issued":{"date-parts":[["2021",6]]}}}],"schema":"https://github.com/citation-style-language/schema/raw/master/csl-citation.json"}</w:instrText>
      </w:r>
      <w:r>
        <w:rPr>
          <w:rFonts w:eastAsia="Calibri" w:cs="Times-Roman" w:ascii="Times-Roman" w:hAnsi="Times-Roman"/>
          <w:color w:val="18191B"/>
        </w:rPr>
      </w:r>
      <w:r>
        <w:rPr>
          <w:rFonts w:eastAsia="Calibri" w:cs="Times-Roman" w:ascii="Times-Roman" w:hAnsi="Times-Roman"/>
          <w:color w:val="18191B"/>
        </w:rPr>
        <w:fldChar w:fldCharType="separate"/>
      </w:r>
      <w:r>
        <w:rPr>
          <w:rFonts w:eastAsia="Calibri" w:cs="Times-Roman" w:ascii="Times-Roman" w:hAnsi="Times-Roman"/>
          <w:color w:val="18191B"/>
        </w:rPr>
      </w:r>
      <w:r>
        <w:rPr>
          <w:rFonts w:ascii="Times-Roman" w:hAnsi="Times-Roman"/>
          <w:color w:val="000000"/>
        </w:rPr>
        <w:t>[140]–[142]</w:t>
      </w:r>
      <w:r>
        <w:rPr>
          <w:rFonts w:eastAsia="Calibri" w:cs="Times-Roman" w:ascii="Times-Roman" w:hAnsi="Times-Roman"/>
          <w:color w:val="18191B"/>
        </w:rPr>
      </w:r>
      <w:r>
        <w:rPr>
          <w:rFonts w:eastAsia="Calibri" w:cs="Times-Roman" w:ascii="Times-Roman" w:hAnsi="Times-Roman"/>
          <w:color w:val="18191B"/>
        </w:rPr>
        <w:fldChar w:fldCharType="end"/>
      </w:r>
      <w:r>
        <w:rPr>
          <w:rFonts w:eastAsia="Calibri" w:cs="Times-Roman" w:ascii="Times-Roman" w:hAnsi="Times-Roman"/>
          <w:color w:val="18191B"/>
        </w:rPr>
        <w:t>. Στις επόμενες υποενότητες, θα αναφέρουμε τα βιβλιογραφικά στοιχεία της διαγενεακής κληρονομικότητας της επιγενετικής λόγω γονικής υπερθρεψίας ή έκθεσης στη μήτρα σε παράγοντες που μπορεί να προάγουν παχύσαρκο φαινότυπο στα παιδιά.</w:t>
      </w:r>
    </w:p>
    <w:p>
      <w:pPr>
        <w:pStyle w:val="Heading3"/>
        <w:rPr/>
      </w:pPr>
      <w:bookmarkStart w:id="70" w:name="_Toc154923834"/>
      <w:r>
        <w:rPr/>
        <w:t xml:space="preserve">3.5.1 </w:t>
      </w:r>
      <w:r>
        <w:rPr>
          <w:rFonts w:eastAsia="Calibri" w:cs="Times-Roman" w:ascii="Times-Roman" w:hAnsi="Times-Roman"/>
          <w:color w:val="18191B"/>
        </w:rPr>
        <w:t>Κληρονομικότητα επιγενετικών χαρακτηριστικών μεταξύ γενεών λόγω προγεννητικών γονικών παραγόντων</w:t>
      </w:r>
      <w:bookmarkEnd w:id="70"/>
    </w:p>
    <w:p>
      <w:pPr>
        <w:pStyle w:val="Normal"/>
        <w:spacing w:lineRule="auto" w:line="360"/>
        <w:ind w:firstLine="720"/>
        <w:jc w:val="both"/>
        <w:rPr>
          <w:rFonts w:eastAsia="Calibri"/>
        </w:rPr>
      </w:pPr>
      <w:r>
        <w:rPr>
          <w:rFonts w:eastAsia="Calibri"/>
        </w:rPr>
        <w:t xml:space="preserve">Όλο και περισσότερα στοιχεία συνδέουν τη διατροφική κατάσταση των γονέων με τον επιγενετικό προγραμματισμό των απογόνων, εξηγώντας τον κληρονομικό χαρακτήρα μεταβολικών νοσημάτων όπως η παχυσαρκία, υποστηρίζοντας έτσι το αναδυόμενο κονσεπτ του DOHaD που επισημαίνει τον ρόλο των περιβαλλοντικών παραγόντων κατά τη διάρκεια της εμβρυϊκής περιόδου στον καθορισμό της ανάπτυξης διατροφικών διαταραχών στην ενηλικίωση </w:t>
      </w:r>
      <w:r>
        <w:fldChar w:fldCharType="begin"/>
      </w:r>
      <w:r>
        <w:rPr>
          <w:rFonts w:eastAsia="Calibri"/>
        </w:rPr>
        <w:instrText xml:space="preserve">ADDIN ZOTERO_ITEM CSL_CITATION {"citationID":"yfdcKBYQ","properties":{"formattedCitation":"[54]","plainCitation":"[54]","noteIndex":0},"citationItems":[{"id":2425,"uris":["http://zotero.org/users/local/WDVvZTBM/items/ANNDCRDK"],"itemData":{"id":2425,"type":"article-journal","abstract":"Sedentary lifestyle and consumption of high-calorie foods have caused a relentless increase of overweight and obesity prevalence at all ages. Its presently epidemic proportion is disquieting due to the tight relationship of obesity with metabolic syndrome and several other comorbidities which do call for urgent workarounds. The usual ineffectiveness of present therapies and failure of prevention campaigns triggered overtime a number of research studies which have unveiled some relevant aspects of obesity genetic and epigenetic inheritable profiles. These findings are revealing extremely precious mainly to serve as a likely extra arrow to allow the clinician’s bow to achieve still hitherto unmet preventive goals. Evidence now exists that maternal obesity/overnutrition during pregnancy and lactation convincingly appears associated with several disorders in the offspring independently of the transmission of a purely genetic predisposition. Even the pre-conception direct exposure of either father or mother gametes to environmental factors can reprogram the epigenetic architecture of cells. Such phenomena lie behind the transfer of the obesity susceptibility to future generations through a mechanism of epigenetic inheritance. Moreover, a growing number of studies suggests that several environmental factors such as maternal malnutrition, hypoxia, and exposure to excess hormones and endocrine disruptors during pregnancy and the early postnatal period may play critical roles in programming childhood adipose tissue and obesity. A deeper understanding of how inherited genetics and epigenetics may generate an obesogenic environment at pediatric age might strengthen our knowledge about pathogenetic mechanisms and improve the clinical management of patients. Therefore, in this narrative review, we attempt to provide a general overview of the contribution of heritable genetic and epigenetic patterns to the obesity susceptibility in children, placing a particular emphasis on the mother-child dyad.","container-title":"Frontiers in Endocrinology","DOI":"10.3389/fendo.2022.1006008","ISSN":"1664-2392","journalAbbreviation":"Front. Endocrinol.","language":"en","page":"1006008","source":"DOI.org (Crossref)","title":"Genetics, epigenetics and transgenerational transmission of obesity in children","volume":"13","author":[{"family":"Panera","given":"Nadia"},{"family":"Mandato","given":"Claudia"},{"family":"Crudele","given":"Annalisa"},{"family":"Bertrando","given":"Sara"},{"family":"Vajro","given":"Pietro"},{"family":"Alisi","given":"Anna"}],"issued":{"date-parts":[["2022",11,14]]}}}],"schema":"https://github.com/citation-style-language/schema/raw/master/csl-citation.json"}</w:instrText>
      </w:r>
      <w:r>
        <w:rPr>
          <w:rFonts w:eastAsia="Calibri"/>
        </w:rPr>
      </w:r>
      <w:r>
        <w:rPr>
          <w:rFonts w:eastAsia="Calibri"/>
        </w:rPr>
        <w:fldChar w:fldCharType="separate"/>
      </w:r>
      <w:r>
        <w:rPr>
          <w:rFonts w:eastAsia="Calibri"/>
        </w:rPr>
        <w:t>[54]</w:t>
      </w:r>
      <w:r>
        <w:rPr>
          <w:rFonts w:eastAsia="Calibri"/>
        </w:rPr>
      </w:r>
      <w:r>
        <w:rPr>
          <w:rFonts w:eastAsia="Calibri"/>
        </w:rPr>
        <w:fldChar w:fldCharType="end"/>
      </w:r>
      <w:r>
        <w:rPr>
          <w:rFonts w:eastAsia="Calibri"/>
        </w:rPr>
        <w:t>.</w:t>
      </w:r>
    </w:p>
    <w:p>
      <w:pPr>
        <w:pStyle w:val="Normal"/>
        <w:spacing w:lineRule="auto" w:line="360"/>
        <w:ind w:firstLine="720"/>
        <w:jc w:val="both"/>
        <w:rPr>
          <w:rFonts w:eastAsia="Calibri"/>
        </w:rPr>
      </w:pPr>
      <w:r>
        <w:rPr>
          <w:rFonts w:eastAsia="Calibri"/>
        </w:rPr>
        <w:t xml:space="preserve">Στην κληρονομιά διαγενεακών παραμέτρων, η προσβολή μπορεί να αλλάξει την επιγενετική ταυτότητα της γενετικής γραφής κατά την προκύπτουσα περίοδο και να μεταδώσει τις επιμεταλλάξεις στη γενιά F2 χωρίς καμία έκθεση, όπως φαίνεται στο στην Εικόνα 5 </w:t>
      </w:r>
      <w:r>
        <w:fldChar w:fldCharType="begin"/>
      </w:r>
      <w:r>
        <w:rPr>
          <w:rFonts w:eastAsia="Calibri"/>
        </w:rPr>
        <w:instrText xml:space="preserve">ADDIN ZOTERO_ITEM CSL_CITATION {"citationID":"fEvKdv0B","properties":{"formattedCitation":"[54]","plainCitation":"[54]","noteIndex":0},"citationItems":[{"id":2425,"uris":["http://zotero.org/users/local/WDVvZTBM/items/ANNDCRDK"],"itemData":{"id":2425,"type":"article-journal","abstract":"Sedentary lifestyle and consumption of high-calorie foods have caused a relentless increase of overweight and obesity prevalence at all ages. Its presently epidemic proportion is disquieting due to the tight relationship of obesity with metabolic syndrome and several other comorbidities which do call for urgent workarounds. The usual ineffectiveness of present therapies and failure of prevention campaigns triggered overtime a number of research studies which have unveiled some relevant aspects of obesity genetic and epigenetic inheritable profiles. These findings are revealing extremely precious mainly to serve as a likely extra arrow to allow the clinician’s bow to achieve still hitherto unmet preventive goals. Evidence now exists that maternal obesity/overnutrition during pregnancy and lactation convincingly appears associated with several disorders in the offspring independently of the transmission of a purely genetic predisposition. Even the pre-conception direct exposure of either father or mother gametes to environmental factors can reprogram the epigenetic architecture of cells. Such phenomena lie behind the transfer of the obesity susceptibility to future generations through a mechanism of epigenetic inheritance. Moreover, a growing number of studies suggests that several environmental factors such as maternal malnutrition, hypoxia, and exposure to excess hormones and endocrine disruptors during pregnancy and the early postnatal period may play critical roles in programming childhood adipose tissue and obesity. A deeper understanding of how inherited genetics and epigenetics may generate an obesogenic environment at pediatric age might strengthen our knowledge about pathogenetic mechanisms and improve the clinical management of patients. Therefore, in this narrative review, we attempt to provide a general overview of the contribution of heritable genetic and epigenetic patterns to the obesity susceptibility in children, placing a particular emphasis on the mother-child dyad.","container-title":"Frontiers in Endocrinology","DOI":"10.3389/fendo.2022.1006008","ISSN":"1664-2392","journalAbbreviation":"Front. Endocrinol.","language":"en","page":"1006008","source":"DOI.org (Crossref)","title":"Genetics, epigenetics and transgenerational transmission of obesity in children","volume":"13","author":[{"family":"Panera","given":"Nadia"},{"family":"Mandato","given":"Claudia"},{"family":"Crudele","given":"Annalisa"},{"family":"Bertrando","given":"Sara"},{"family":"Vajro","given":"Pietro"},{"family":"Alisi","given":"Anna"}],"issued":{"date-parts":[["2022",11,14]]}}}],"schema":"https://github.com/citation-style-language/schema/raw/master/csl-citation.json"}</w:instrText>
      </w:r>
      <w:r>
        <w:rPr>
          <w:rFonts w:eastAsia="Calibri"/>
        </w:rPr>
      </w:r>
      <w:r>
        <w:rPr>
          <w:rFonts w:eastAsia="Calibri"/>
        </w:rPr>
        <w:fldChar w:fldCharType="separate"/>
      </w:r>
      <w:r>
        <w:rPr>
          <w:rFonts w:eastAsia="Calibri"/>
        </w:rPr>
        <w:t>[54]</w:t>
      </w:r>
      <w:r>
        <w:rPr>
          <w:rFonts w:eastAsia="Calibri"/>
        </w:rPr>
      </w:r>
      <w:r>
        <w:rPr>
          <w:rFonts w:eastAsia="Calibri"/>
        </w:rPr>
        <w:fldChar w:fldCharType="end"/>
      </w:r>
      <w:r>
        <w:rPr>
          <w:rFonts w:eastAsia="Calibri"/>
        </w:rPr>
        <w:t xml:space="preserve">. Ένα από τα πρώτα ερευνητικά έργα που ανέφερε στοιχεία σχετικά με τον ρόλο της διατροφικής κατάστασης των γονέων πριν από τη σύλληψη στην επιγενετική κληρονομιά εξέτασε Κέντρο στην Ολλανδία. Συγκεκριμένα, η μελέτη κατέδειξε ότι τα απογόνια των εκτεθέντων πατέρων F1 ήταν πιο βαριά και είχαν υψηλότερο ΔΜΣ από τα απογόνια των μη εκτεθέντων πατέρων F1 . </w:t>
      </w:r>
    </w:p>
    <w:p>
      <w:pPr>
        <w:pStyle w:val="Normal"/>
        <w:ind w:firstLine="720"/>
        <w:jc w:val="both"/>
        <w:rPr>
          <w:rFonts w:eastAsia="Calibri"/>
        </w:rPr>
      </w:pPr>
      <w:r>
        <w:rPr>
          <w:rFonts w:eastAsia="Calibri"/>
        </w:rPr>
      </w:r>
    </w:p>
    <w:p>
      <w:pPr>
        <w:pStyle w:val="Normal"/>
        <w:keepNext w:val="true"/>
        <w:jc w:val="center"/>
        <w:rPr/>
      </w:pPr>
      <w:r>
        <w:rPr/>
        <w:drawing>
          <wp:inline distT="0" distB="0" distL="0" distR="0">
            <wp:extent cx="3366135" cy="2585720"/>
            <wp:effectExtent l="0" t="0" r="0" b="0"/>
            <wp:docPr id="12" name="Εικόνα9" descr="Εικόνα που περιέχει κείμενο, στιγμιότυπο οθόνης, σχεδίασ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Εικόνα9" descr="Εικόνα που περιέχει κείμενο, στιγμιότυπο οθόνης, σχεδίαση&#10;&#10;Περιγραφή που δημιουργήθηκε αυτόματα"/>
                    <pic:cNvPicPr>
                      <a:picLocks noChangeAspect="1" noChangeArrowheads="1"/>
                    </pic:cNvPicPr>
                  </pic:nvPicPr>
                  <pic:blipFill>
                    <a:blip r:embed="rId29"/>
                    <a:stretch>
                      <a:fillRect/>
                    </a:stretch>
                  </pic:blipFill>
                  <pic:spPr bwMode="auto">
                    <a:xfrm>
                      <a:off x="0" y="0"/>
                      <a:ext cx="3366135" cy="2585720"/>
                    </a:xfrm>
                    <a:prstGeom prst="rect">
                      <a:avLst/>
                    </a:prstGeom>
                  </pic:spPr>
                </pic:pic>
              </a:graphicData>
            </a:graphic>
          </wp:inline>
        </w:drawing>
      </w:r>
    </w:p>
    <w:p>
      <w:pPr>
        <w:pStyle w:val="Caption1"/>
        <w:spacing w:lineRule="auto" w:line="240" w:before="0" w:after="0"/>
        <w:jc w:val="center"/>
        <w:rPr>
          <w:rFonts w:eastAsia="Calibri"/>
          <w:b w:val="false"/>
          <w:bCs w:val="false"/>
          <w:i/>
          <w:i/>
          <w:iCs/>
          <w:sz w:val="16"/>
          <w:szCs w:val="16"/>
        </w:rPr>
      </w:pPr>
      <w:bookmarkStart w:id="71" w:name="_Toc152764776"/>
      <w:r>
        <w:rPr/>
        <w:t xml:space="preserve">Εικόνα </w:t>
      </w:r>
      <w:r>
        <w:rPr/>
        <w:fldChar w:fldCharType="begin"/>
      </w:r>
      <w:r>
        <w:rPr/>
        <w:instrText xml:space="preserve"> SEQ Εικόνα \* ARABIC </w:instrText>
      </w:r>
      <w:r>
        <w:rPr/>
        <w:fldChar w:fldCharType="separate"/>
      </w:r>
      <w:r>
        <w:rPr/>
        <w:t>10</w:t>
      </w:r>
      <w:r>
        <w:rPr/>
        <w:fldChar w:fldCharType="end"/>
      </w:r>
      <w:r>
        <w:rPr/>
        <w:t xml:space="preserve">: </w:t>
      </w:r>
      <w:r>
        <w:rPr>
          <w:b w:val="false"/>
          <w:bCs w:val="false"/>
          <w:i/>
          <w:iCs/>
          <w:color w:val="0F0F0F"/>
          <w:sz w:val="16"/>
          <w:szCs w:val="16"/>
        </w:rPr>
        <w:t>Επιγενετική κληρονομιά της παχυσαρκίας σε διαγενεατικό επίπεδο. Όταν ο γενετικός φόντος και η έκθεση στον τρόπο ζωής προκαλούν επιγενετικές τροποποιήσεις (μεθυλίωση του DNA, τροποποιήσεις στα ιστόνια και αλλαγές στα μη κωδικοποιητικά RNAs) στα γαμητικά κύτταρα μιας γυναίκας ή ενός άνδρα στη γενιά F0, η πρώτη γενιά που εμφανίζει διαγενεατική επιγενετική κληρονομιά είναι η F2. lncRNA, μακροπρωτεΐνη, μη κωδικοποιητικό RNA· ncRNA, μη κωδικοποιητικό RNA· miRNA, μικροRNA.</w:t>
      </w:r>
      <w:r>
        <w:fldChar w:fldCharType="begin"/>
      </w:r>
      <w:r>
        <w:rPr>
          <w:sz w:val="16"/>
          <w:i/>
          <w:b w:val="false"/>
          <w:szCs w:val="16"/>
          <w:iCs/>
          <w:bCs w:val="false"/>
          <w:color w:val="0F0F0F"/>
        </w:rPr>
        <w:instrText xml:space="preserve">ADDIN ZOTERO_ITEM CSL_CITATION {"citationID":"aLMOWI71","properties":{"formattedCitation":"[54]","plainCitation":"[54]","noteIndex":0},"citationItems":[{"id":2425,"uris":["http://zotero.org/users/local/WDVvZTBM/items/ANNDCRDK"],"itemData":{"id":2425,"type":"article-journal","abstract":"Sedentary lifestyle and consumption of high-calorie foods have caused a relentless increase of overweight and obesity prevalence at all ages. Its presently epidemic proportion is disquieting due to the tight relationship of obesity with metabolic syndrome and several other comorbidities which do call for urgent workarounds. The usual ineffectiveness of present therapies and failure of prevention campaigns triggered overtime a number of research studies which have unveiled some relevant aspects of obesity genetic and epigenetic inheritable profiles. These findings are revealing extremely precious mainly to serve as a likely extra arrow to allow the clinician’s bow to achieve still hitherto unmet preventive goals. Evidence now exists that maternal obesity/overnutrition during pregnancy and lactation convincingly appears associated with several disorders in the offspring independently of the transmission of a purely genetic predisposition. Even the pre-conception direct exposure of either father or mother gametes to environmental factors can reprogram the epigenetic architecture of cells. Such phenomena lie behind the transfer of the obesity susceptibility to future generations through a mechanism of epigenetic inheritance. Moreover, a growing number of studies suggests that several environmental factors such as maternal malnutrition, hypoxia, and exposure to excess hormones and endocrine disruptors during pregnancy and the early postnatal period may play critical roles in programming childhood adipose tissue and obesity. A deeper understanding of how inherited genetics and epigenetics may generate an obesogenic environment at pediatric age might strengthen our knowledge about pathogenetic mechanisms and improve the clinical management of patients. Therefore, in this narrative review, we attempt to provide a general overview of the contribution of heritable genetic and epigenetic patterns to the obesity susceptibility in children, placing a particular emphasis on the mother-child dyad.","container-title":"Frontiers in Endocrinology","DOI":"10.3389/fendo.2022.1006008","ISSN":"1664-2392","journalAbbreviation":"Front. Endocrinol.","language":"en","page":"1006008","source":"DOI.org (Crossref)","title":"Genetics, epigenetics and transgenerational transmission of obesity in children","volume":"13","author":[{"family":"Panera","given":"Nadia"},{"family":"Mandato","given":"Claudia"},{"family":"Crudele","given":"Annalisa"},{"family":"Bertrando","given":"Sara"},{"family":"Vajro","given":"Pietro"},{"family":"Alisi","given":"Anna"}],"issued":{"date-parts":[["2022",11,14]]}}}],"schema":"https://github.com/citation-style-language/schema/raw/master/csl-citation.json"}</w:instrText>
      </w:r>
      <w:r>
        <w:rPr>
          <w:b w:val="false"/>
          <w:bCs w:val="false"/>
          <w:i/>
          <w:iCs/>
          <w:color w:val="0F0F0F"/>
          <w:sz w:val="16"/>
          <w:szCs w:val="16"/>
        </w:rPr>
      </w:r>
      <w:r>
        <w:rPr>
          <w:sz w:val="16"/>
          <w:i/>
          <w:b w:val="false"/>
          <w:szCs w:val="16"/>
          <w:iCs/>
          <w:bCs w:val="false"/>
          <w:color w:val="0F0F0F"/>
        </w:rPr>
        <w:fldChar w:fldCharType="separate"/>
      </w:r>
      <w:r>
        <w:rPr>
          <w:b w:val="false"/>
          <w:bCs w:val="false"/>
          <w:i/>
          <w:iCs/>
          <w:color w:val="0F0F0F"/>
          <w:sz w:val="16"/>
          <w:szCs w:val="16"/>
        </w:rPr>
        <w:t>[54]</w:t>
      </w:r>
      <w:r/>
      <w:r>
        <w:rPr>
          <w:sz w:val="16"/>
          <w:i/>
          <w:b w:val="false"/>
          <w:szCs w:val="16"/>
          <w:iCs/>
          <w:bCs w:val="false"/>
          <w:color w:val="0F0F0F"/>
        </w:rPr>
        <w:fldChar w:fldCharType="end"/>
      </w:r>
      <w:r>
        <w:rPr>
          <w:b w:val="false"/>
          <w:bCs w:val="false"/>
          <w:i/>
          <w:iCs/>
          <w:color w:val="0F0F0F"/>
          <w:sz w:val="16"/>
          <w:szCs w:val="16"/>
        </w:rPr>
      </w:r>
      <w:bookmarkEnd w:id="71"/>
    </w:p>
    <w:p>
      <w:pPr>
        <w:pStyle w:val="Normal"/>
        <w:ind w:firstLine="720"/>
        <w:jc w:val="both"/>
        <w:rPr>
          <w:rFonts w:eastAsia="Calibri"/>
        </w:rPr>
      </w:pPr>
      <w:r>
        <w:rPr>
          <w:rFonts w:eastAsia="Calibri"/>
        </w:rPr>
      </w:r>
    </w:p>
    <w:p>
      <w:pPr>
        <w:pStyle w:val="Normal"/>
        <w:spacing w:lineRule="auto" w:line="360"/>
        <w:ind w:firstLine="720"/>
        <w:jc w:val="both"/>
        <w:rPr>
          <w:rFonts w:eastAsia="Calibri"/>
        </w:rPr>
      </w:pPr>
      <w:r>
        <w:rPr>
          <w:rFonts w:eastAsia="Calibri"/>
        </w:rPr>
        <w:t xml:space="preserve">Πρόσφατες μελέτες, ιδίως σε μοντέλα ζώων, έχουν δείξει ότι τόσο η παχυσαρκία όσο και ο διαβήτης επηρεάζουν τα επίπεδα μεθυλίωσης του DNA και της ιστονικής μεθυλίωσης, της ιστονικής ακετυλοποίησης και των ncRNAs, όπως τα miRNAs, στα ωάρια και τα σπέρματα </w:t>
      </w:r>
      <w:r>
        <w:fldChar w:fldCharType="begin"/>
      </w:r>
      <w:r>
        <w:rPr>
          <w:rFonts w:eastAsia="Calibri"/>
        </w:rPr>
        <w:instrText xml:space="preserve">ADDIN ZOTERO_ITEM CSL_CITATION {"citationID":"CzDZrQ3T","properties":{"formattedCitation":"[143]","plainCitation":"[143]","noteIndex":0},"citationItems":[{"id":3118,"uris":["http://zotero.org/users/local/WDVvZTBM/items/ZV8TPVXA"],"itemData":{"id":3118,"type":"article-journal","abstract":"Obesity and diabetes are closely associated with numerous reproductive disorders, including termination of ovulation, irregular menstruation, low fertility, abortion, and risky pregnancy, which are now regarded as global health problems. Paternal/maternal obesity and diabetes can also be transmitted …","container-title":"Journal of cellular physiology","DOI":"10.1002/jcp.27847","ISSN":"1097-4652","issue":"6","language":"en","note":"publisher: J Cell Physiol\nPMID: 30536398","source":"pubmed.ncbi.nlm.nih.gov","title":"Effects of obesity and diabetes on the epigenetic modification of mammalian gametes","URL":"https://pubmed.ncbi.nlm.nih.gov/30536398/","volume":"234","author":[{"family":"Xh","given":"Ou"},{"family":"Cc","given":"Zhu"},{"family":"Sc","given":"Sun"}],"accessed":{"date-parts":[["2023",11,19]]},"issued":{"date-parts":[["2019",6]]}}}],"schema":"https://github.com/citation-style-language/schema/raw/master/csl-citation.json"}</w:instrText>
      </w:r>
      <w:r>
        <w:rPr>
          <w:rFonts w:eastAsia="Calibri"/>
        </w:rPr>
      </w:r>
      <w:r>
        <w:rPr>
          <w:rFonts w:eastAsia="Calibri"/>
        </w:rPr>
        <w:fldChar w:fldCharType="separate"/>
      </w:r>
      <w:r>
        <w:rPr>
          <w:rFonts w:eastAsia="Calibri"/>
        </w:rPr>
        <w:t>[143]</w:t>
      </w:r>
      <w:r>
        <w:rPr>
          <w:rFonts w:eastAsia="Calibri"/>
        </w:rPr>
      </w:r>
      <w:r>
        <w:rPr>
          <w:rFonts w:eastAsia="Calibri"/>
        </w:rPr>
        <w:fldChar w:fldCharType="end"/>
      </w:r>
      <w:r>
        <w:rPr>
          <w:rFonts w:eastAsia="Calibri"/>
        </w:rPr>
        <w:t>. Ειδικότερα, είναι γνωστό ότι ο επαναπρογραμματισμός της μεθυλίωσης του DNA είναι ένα κρίσιμο γεγονός που λαμβάνει χώρα αμέσως μετά την γονιμοποίηση και κατά τη διάρκεια της γαμετογένεσης. Η μεθυλίωση του DNA αναλύθηκε σε περιοχές με αποτύπωμα που περιλαμβάνει γονίδια με μονοαλληλική έκφραση και γι' αυτό το λόγο ευαίσθητα στην πατρική ή μητρική ρύθμιση στον απόγονο. Τ</w:t>
      </w:r>
      <w:r>
        <w:rPr>
          <w:rFonts w:eastAsia="Calibri"/>
          <w:lang w:val="en-US"/>
        </w:rPr>
        <w:t>o</w:t>
      </w:r>
      <w:r>
        <w:rPr>
          <w:rFonts w:eastAsia="Calibri"/>
        </w:rPr>
        <w:t xml:space="preserve"> γονίδιο της ινσουλίνης Παράγοντα Ανάπτυξης 2 (I</w:t>
      </w:r>
      <w:r>
        <w:rPr>
          <w:rFonts w:eastAsia="Calibri"/>
          <w:lang w:val="en-US"/>
        </w:rPr>
        <w:t>nsuline</w:t>
      </w:r>
      <w:r>
        <w:rPr>
          <w:rFonts w:eastAsia="Calibri"/>
        </w:rPr>
        <w:t xml:space="preserve"> </w:t>
      </w:r>
      <w:r>
        <w:rPr>
          <w:rFonts w:eastAsia="Calibri"/>
          <w:lang w:val="en-US"/>
        </w:rPr>
        <w:t>like</w:t>
      </w:r>
      <w:r>
        <w:rPr>
          <w:rFonts w:eastAsia="Calibri"/>
        </w:rPr>
        <w:t xml:space="preserve"> </w:t>
      </w:r>
      <w:r>
        <w:rPr>
          <w:rFonts w:eastAsia="Calibri"/>
          <w:lang w:val="en-US"/>
        </w:rPr>
        <w:t>Growth</w:t>
      </w:r>
      <w:r>
        <w:rPr>
          <w:rFonts w:eastAsia="Calibri"/>
        </w:rPr>
        <w:t xml:space="preserve"> </w:t>
      </w:r>
      <w:r>
        <w:rPr>
          <w:rFonts w:eastAsia="Calibri"/>
          <w:lang w:val="en-US"/>
        </w:rPr>
        <w:t>Factor</w:t>
      </w:r>
      <w:r>
        <w:rPr>
          <w:rFonts w:eastAsia="Calibri"/>
        </w:rPr>
        <w:t xml:space="preserve"> 2-IGF2) και το lncRNA H19 είναι καλά περιγραμμένα εντός των αποτυπωμένων γονιδίων που συσχετίζονται με την παιδική παχυσαρκία και υπόκεινται σε επιγενετική ρύθμιση. Το γονίδιο IGF-2 είναι ένα πατρικά αποτυπωμένο γονίδιο που κωδικοποιεί την πρωτεΐνη IGF-2 που παρουσιάζει υψηλή συσχέτιση με τον αντιδραστήρα της ινσουλίνης και σχετίζεται με την μιτογένεση και τη βιογένεση των μιτοχονδρίων. Από την άλλη πλευρά, το H-19 είναι ένα μητρικά αποτυπωμένο γονίδιο που σχετίζεται επίσης με τη μυϊκή ευαισθησία στην ινσουλίνη </w:t>
      </w:r>
      <w:r>
        <w:fldChar w:fldCharType="begin"/>
      </w:r>
      <w:r>
        <w:rPr>
          <w:rFonts w:eastAsia="Calibri"/>
        </w:rPr>
        <w:instrText xml:space="preserve">ADDIN ZOTERO_ITEM CSL_CITATION {"citationID":"MOLwVmCN","properties":{"formattedCitation":"[144], [145]","plainCitation":"[144], [145]","noteIndex":0},"citationItems":[{"id":3120,"uris":["http://zotero.org/users/local/WDVvZTBM/items/XV4TAYD2"],"itemData":{"id":3120,"type":"article-journal","abstract":"Hepatocyte transplantation holds great promise as an alternative to orthotopic organ transplantation in the treatment of liver diseases. However, obtaining clinically meaningful levels of liver repopulation has not been achieved because the mechanisms regulating hepatocyte proliferation in recipient livers have not yet been well characterized. In the mouse model of Hereditary Tyrosinemia Type I, the fumarylacetoacetate hydrolase-deficient (Fah−/−) mouse, we found gradually increasing expression level of insulin-like growth factor 2 (IGF2) in the hepatocytes of host livers. Similarly, high levels of IGF2 were found in the livers of patients with deficient FAH activity. Recombinant IGF2 directly promotes proliferation of primary hepatocytes in vitro. Inhibition on IGF2 expression through the interruption of PI3K/Akt and MAPK pathways significantly reduced the level of liver repopulation in Fah−/− mice. Interestingly, treatment with IGF2 before hepatocyte transplantation generally improved the amount of liver repopulation seen in various mice models of liver injury. Altogether, these findings underscore the underlying mechanisms of therapeutic liver repopulation in Fah−/− mice, and indicate that IGF2 is a potential hepatocyte mitogen for liver cell transplantation therapies.","container-title":"Cell Death &amp; Disease","DOI":"10.1038/s41419-017-0186-1","ISSN":"2041-4889","issue":"2","journalAbbreviation":"Cell Death Dis","language":"en","license":"2018 The Author(s)","note":"number: 2\npublisher: Nature Publishing Group","page":"1-11","source":"www.nature.com","title":"Insulin-like growth factor 2 is a key mitogen driving liver repopulation in mice","volume":"9","author":[{"family":"Wang","given":"Min-Jun"},{"family":"Chen","given":"Fei"},{"family":"Liu","given":"Qing-Gui"},{"family":"Liu","given":"Chang-Cheng"},{"family":"Yao","given":"Hao"},{"family":"Yu","given":"Bing"},{"family":"Zhang","given":"Hai-Bin"},{"family":"Yan","given":"He-Xin"},{"family":"Ye","given":"Yibiao"},{"family":"Chen","given":"Tao"},{"family":"Wangensteen","given":"Kirk J."},{"family":"Wang","given":"Xin"},{"family":"Hu","given":"Yi-Ping"},{"family":"He","given":"Zhi-Ying"}],"issued":{"date-parts":[["2018",1,18]]}}},{"id":3121,"uris":["http://zotero.org/users/local/WDVvZTBM/items/QKP75N7F"],"itemData":{"id":3121,"type":"article-journal","abstract":"Skeletal muscle plays a pivotal role in regulating systemic glucose homeostasis in part through the conserved cellular energy sensor AMPK. AMPK activation increases glucose uptake, lipid oxidation, and mitochondrial biogenesis, leading to enhanced muscle insulin sensitivity and whole-body energy met …","container-title":"Diabetes","DOI":"10.2337/db18-0370","ISSN":"1939-327X","issue":"11","language":"en","note":"publisher: Diabetes\nPMID: 30201684","source":"pubmed.ncbi.nlm.nih.gov","title":"H19 lncRNA Promotes Skeletal Muscle Insulin Sensitivity in Part by Targeting AMPK","URL":"https://pubmed.ncbi.nlm.nih.gov/30201684/","volume":"67","author":[{"family":"T","given":"Geng"},{"family":"Y","given":"Liu"},{"family":"Y","given":"Xu"},{"family":"Y","given":"Jiang"},{"family":"N","given":"Zhang"},{"family":"Z","given":"Wang"},{"family":"Gg","given":"Carmichael"},{"family":"Hs","given":"Taylor"},{"family":"D","given":"Li"},{"family":"Y","given":"Huang"}],"accessed":{"date-parts":[["2023",11,19]]},"issued":{"date-parts":[["2018",11]]}}}],"schema":"https://github.com/citation-style-language/schema/raw/master/csl-citation.json"}</w:instrText>
      </w:r>
      <w:r>
        <w:rPr>
          <w:rFonts w:eastAsia="Calibri"/>
        </w:rPr>
      </w:r>
      <w:r>
        <w:rPr>
          <w:rFonts w:eastAsia="Calibri"/>
        </w:rPr>
        <w:fldChar w:fldCharType="separate"/>
      </w:r>
      <w:r>
        <w:rPr>
          <w:rFonts w:eastAsia="Calibri"/>
        </w:rPr>
        <w:t>[144], [145]</w:t>
      </w:r>
      <w:r>
        <w:rPr>
          <w:rFonts w:eastAsia="Calibri"/>
        </w:rPr>
      </w:r>
      <w:r>
        <w:rPr>
          <w:rFonts w:eastAsia="Calibri"/>
        </w:rPr>
        <w:fldChar w:fldCharType="end"/>
      </w:r>
      <w:r>
        <w:rPr>
          <w:rFonts w:eastAsia="Calibri"/>
        </w:rPr>
        <w:t>.</w:t>
      </w:r>
    </w:p>
    <w:p>
      <w:pPr>
        <w:pStyle w:val="Normal"/>
        <w:spacing w:lineRule="auto" w:line="360"/>
        <w:ind w:firstLine="720"/>
        <w:jc w:val="both"/>
        <w:rPr>
          <w:rFonts w:eastAsia="Calibri"/>
        </w:rPr>
      </w:pPr>
      <w:r>
        <w:rPr>
          <w:rFonts w:eastAsia="Calibri"/>
        </w:rPr>
        <w:t>Δυστυχώς, οι επιδράσεις των επιγενετικών αλλαγών που συμβαίνουν στη γενετική γραμμή και πιθανόν να επηρεάζουν την παχυσαρκία των απογόνων διερευνώνται ελάχιστα, διότι τα ανθρώπινα σπέρματα και ωάρια δεν είναι διαθέσιμα για ερευνητικές μελέτες. Συνεπώς, οι αρνητικές επιδράσεις στα ωάρια και η σύνδεση μεταξύ παχυσαρκίας και επιγενετικής έχουν πραγματοποιηθεί κυρίως σε μοντέλα ζώων, όπως αναφέρθηκε από τον O</w:t>
      </w:r>
      <w:r>
        <w:rPr>
          <w:rFonts w:eastAsia="Calibri"/>
          <w:lang w:val="en-US"/>
        </w:rPr>
        <w:t>u</w:t>
      </w:r>
      <w:r>
        <w:rPr>
          <w:rFonts w:eastAsia="Calibri"/>
        </w:rPr>
        <w:t xml:space="preserve"> </w:t>
      </w:r>
      <w:r>
        <w:rPr>
          <w:rFonts w:eastAsia="Calibri"/>
          <w:lang w:val="en-US"/>
        </w:rPr>
        <w:t>et</w:t>
      </w:r>
      <w:r>
        <w:rPr>
          <w:rFonts w:eastAsia="Calibri"/>
        </w:rPr>
        <w:t xml:space="preserve"> </w:t>
      </w:r>
      <w:r>
        <w:rPr>
          <w:rFonts w:eastAsia="Calibri"/>
          <w:lang w:val="en-US"/>
        </w:rPr>
        <w:t>al</w:t>
      </w:r>
      <w:r>
        <w:rPr>
          <w:rFonts w:eastAsia="Calibri"/>
        </w:rPr>
        <w:t xml:space="preserve">. </w:t>
      </w:r>
      <w:r>
        <w:fldChar w:fldCharType="begin"/>
      </w:r>
      <w:r>
        <w:rPr>
          <w:rFonts w:eastAsia="Calibri"/>
        </w:rPr>
        <w:instrText xml:space="preserve">ADDIN ZOTERO_ITEM CSL_CITATION {"citationID":"yWmZJr09","properties":{"formattedCitation":"[143]","plainCitation":"[143]","noteIndex":0},"citationItems":[{"id":3118,"uris":["http://zotero.org/users/local/WDVvZTBM/items/ZV8TPVXA"],"itemData":{"id":3118,"type":"article-journal","abstract":"Obesity and diabetes are closely associated with numerous reproductive disorders, including termination of ovulation, irregular menstruation, low fertility, abortion, and risky pregnancy, which are now regarded as global health problems. Paternal/maternal obesity and diabetes can also be transmitted …","container-title":"Journal of cellular physiology","DOI":"10.1002/jcp.27847","ISSN":"1097-4652","issue":"6","language":"en","note":"publisher: J Cell Physiol\nPMID: 30536398","source":"pubmed.ncbi.nlm.nih.gov","title":"Effects of obesity and diabetes on the epigenetic modification of mammalian gametes","URL":"https://pubmed.ncbi.nlm.nih.gov/30536398/","volume":"234","author":[{"family":"Xh","given":"Ou"},{"family":"Cc","given":"Zhu"},{"family":"Sc","given":"Sun"}],"accessed":{"date-parts":[["2023",11,19]]},"issued":{"date-parts":[["2019",6]]}}}],"schema":"https://github.com/citation-style-language/schema/raw/master/csl-citation.json"}</w:instrText>
      </w:r>
      <w:r>
        <w:rPr>
          <w:rFonts w:eastAsia="Calibri"/>
        </w:rPr>
      </w:r>
      <w:r>
        <w:rPr>
          <w:rFonts w:eastAsia="Calibri"/>
        </w:rPr>
        <w:fldChar w:fldCharType="separate"/>
      </w:r>
      <w:r>
        <w:rPr>
          <w:rFonts w:eastAsia="Calibri"/>
        </w:rPr>
        <w:t>[143]</w:t>
      </w:r>
      <w:r>
        <w:rPr>
          <w:rFonts w:eastAsia="Calibri"/>
        </w:rPr>
      </w:r>
      <w:r>
        <w:rPr>
          <w:rFonts w:eastAsia="Calibri"/>
        </w:rPr>
        <w:fldChar w:fldCharType="end"/>
      </w:r>
      <w:r>
        <w:rPr>
          <w:rFonts w:eastAsia="Calibri"/>
        </w:rPr>
        <w:t xml:space="preserve">. Ειδικότερα, τα μοντέλα διατροφής των ζώων, όπως η δίαιτα υψηλής περιεκτικότητας σε λίπη (HFD), ή η γενετικά ενεργοποιημένη (π.χ. ποντικοί ob/ob) παχυσαρκία, παρουσίασαν αλλαγμένα επίπεδα μεθυλίωσης του DNA στα ωάρια </w:t>
      </w:r>
      <w:r>
        <w:fldChar w:fldCharType="begin"/>
      </w:r>
      <w:r>
        <w:rPr>
          <w:rFonts w:eastAsia="Calibri"/>
        </w:rPr>
        <w:instrText xml:space="preserve">ADDIN ZOTERO_ITEM CSL_CITATION {"citationID":"4qDCET2E","properties":{"formattedCitation":"[146]","plainCitation":"[146]","noteIndex":0},"citationItems":[{"id":3123,"uris":["http://zotero.org/users/local/WDVvZTBM/items/KAR2MPWC"],"itemData":{"id":3123,"type":"article-journal","abstract":"Obesity was shown to cause reproductive dysfunctions such as reduced conception, infertility and early pregnancy loss. However, the possible effects of obesity on oocyte quality are still not fully understood. In this study we investigated the effects of both diet and gene mutation induced obesity on impairments in mouse oocyte polarization, oxidative stress and epigenetic modifications. Our results showed that high-fat diet induced obesity (HFD) and gene mutation induced obesity (ob/ob) could both impair oocyte meiotic maturation, disrupt spindle morphology and reduce oocyte polarity. Oocytes from obese mice underwent oxidative stress, as shown by high DHE and ROS levels. Abnormal mitochondrial distributions and structures were observed in oocytes from obese groups of mice and early apoptosis signals were detected, which suggesting that oxidative stress had impaired mitochondrial function and resulted in oocyte apoptosis. Our results also showed that 5 mC levels and H3K9 and H3K27 methylation levels were altered in oocytes from obese mice, which indicated that DNA methylation and histone methylation had been affected. Our results showed that both HFD and ob/ob induced obesity affected oocyte maturation and that oxidative stress-induced early apoptosis and altered epigenetic modifications may be the reasons for reduced oocyte quality in obese mice.","container-title":"Scientific Reports","DOI":"10.1038/srep18858","ISSN":"2045-2322","issue":"1","journalAbbreviation":"Sci Rep","language":"en","license":"2016 The Author(s)","note":"number: 1\npublisher: Nature Publishing Group","page":"1-10","source":"www.nature.com","title":"Both diet and gene mutation induced obesity affect oocyte quality in mice","volume":"6","author":[{"family":"Hou","given":"Yan-Jun"},{"family":"Zhu","given":"Cheng-Cheng"},{"family":"Duan","given":"Xing"},{"family":"Liu","given":"Hong-Lin"},{"family":"Wang","given":"Qiang"},{"family":"Sun","given":"Shao-Chen"}],"issued":{"date-parts":[["2016",1,6]]}}}],"schema":"https://github.com/citation-style-language/schema/raw/master/csl-citation.json"}</w:instrText>
      </w:r>
      <w:r>
        <w:rPr>
          <w:rFonts w:eastAsia="Calibri"/>
        </w:rPr>
      </w:r>
      <w:r>
        <w:rPr>
          <w:rFonts w:eastAsia="Calibri"/>
        </w:rPr>
        <w:fldChar w:fldCharType="separate"/>
      </w:r>
      <w:r>
        <w:rPr>
          <w:rFonts w:eastAsia="Calibri"/>
        </w:rPr>
        <w:t>[146]</w:t>
      </w:r>
      <w:r>
        <w:rPr>
          <w:rFonts w:eastAsia="Calibri"/>
        </w:rPr>
      </w:r>
      <w:r>
        <w:rPr>
          <w:rFonts w:eastAsia="Calibri"/>
        </w:rPr>
        <w:fldChar w:fldCharType="end"/>
      </w:r>
      <w:r>
        <w:rPr>
          <w:rFonts w:eastAsia="Calibri"/>
        </w:rPr>
        <w:t xml:space="preserve">. Τα HFD παχύσαρκα ζώα και οι ποντικοί ob/ob εμφάνισαν επίσης μείωση της έκφρασης της πρωτεΐνης STELLA (δηλαδή, ενός μητρικού γονιδίου απαραίτητου για την ωογένεση και την αρχική εμβρυογένεση) στα ωάρια, η οποία επηρέασε τα επίπεδα μεθυλίωσης του DNA </w:t>
      </w:r>
      <w:r>
        <w:fldChar w:fldCharType="begin"/>
      </w:r>
      <w:r>
        <w:rPr>
          <w:rFonts w:eastAsia="Calibri"/>
        </w:rPr>
        <w:instrText xml:space="preserve">ADDIN ZOTERO_ITEM CSL_CITATION {"citationID":"oVQouwtW","properties":{"formattedCitation":"[147]","plainCitation":"[147]","noteIndex":0},"citationItems":[{"id":3125,"uris":["http://zotero.org/users/local/WDVvZTBM/items/N8KAW72P"],"itemData":{"id":3125,"type":"article-journal","abstract":"Maternal obesity can impair embryo development and offspring health, yet the mechanisms responsible remain poorly understood. In a high-fat diet (HFD)-based female mouse model of obesity, we identified a marked reduction of Stella (also known as DPPA3 or PGC7) protein in oocytes. Starting with this …","container-title":"Nature genetics","DOI":"10.1038/s41588-018-0055-6","ISSN":"1546-1718","issue":"3","language":"en","note":"publisher: Nat Genet\nPMID: 29459681","source":"pubmed.ncbi.nlm.nih.gov","title":"Embryonic defects induced by maternal obesity in mice derive from Stella insufficiency in oocytes","URL":"https://pubmed.ncbi.nlm.nih.gov/29459681/","volume":"50","author":[{"family":"L","given":"Han"},{"family":"C","given":"Ren"},{"family":"L","given":"Li"},{"family":"X","given":"Li"},{"family":"J","given":"Ge"},{"family":"H","given":"Wang"},{"family":"Yl","given":"Miao"},{"family":"X","given":"Guo"},{"family":"Kh","given":"Moley"},{"family":"W","given":"Shu"},{"family":"Q","given":"Wang"}],"accessed":{"date-parts":[["2023",11,19]]},"issued":{"date-parts":[["2018",3]]}}}],"schema":"https://github.com/citation-style-language/schema/raw/master/csl-citation.json"}</w:instrText>
      </w:r>
      <w:r>
        <w:rPr>
          <w:rFonts w:eastAsia="Calibri"/>
        </w:rPr>
      </w:r>
      <w:r>
        <w:rPr>
          <w:rFonts w:eastAsia="Calibri"/>
        </w:rPr>
        <w:fldChar w:fldCharType="separate"/>
      </w:r>
      <w:r>
        <w:rPr>
          <w:rFonts w:eastAsia="Calibri"/>
        </w:rPr>
        <w:t>[147]</w:t>
      </w:r>
      <w:r>
        <w:rPr>
          <w:rFonts w:eastAsia="Calibri"/>
        </w:rPr>
      </w:r>
      <w:r>
        <w:rPr>
          <w:rFonts w:eastAsia="Calibri"/>
        </w:rPr>
        <w:fldChar w:fldCharType="end"/>
      </w:r>
      <w:r>
        <w:rPr>
          <w:rFonts w:eastAsia="Calibri"/>
        </w:rPr>
        <w:t>. Επιπλέον, στο ίδιο πειραματικό μοντέλο, οι Hou e</w:t>
      </w:r>
      <w:r>
        <w:rPr>
          <w:rFonts w:eastAsia="Calibri"/>
          <w:lang w:val="en-US"/>
        </w:rPr>
        <w:t>t</w:t>
      </w:r>
      <w:r>
        <w:rPr>
          <w:rFonts w:eastAsia="Calibri"/>
        </w:rPr>
        <w:t xml:space="preserve"> </w:t>
      </w:r>
      <w:r>
        <w:rPr>
          <w:rFonts w:eastAsia="Calibri"/>
          <w:lang w:val="en-US"/>
        </w:rPr>
        <w:t>al</w:t>
      </w:r>
      <w:r>
        <w:rPr>
          <w:rFonts w:eastAsia="Calibri"/>
        </w:rPr>
        <w:t xml:space="preserve">. ανέφεραν τροποποιήσεις στα επίπεδα μεθυλίωσης των ιστόνιων H3, λυσίνης 9 και λυσίνης 27 </w:t>
      </w:r>
      <w:r>
        <w:fldChar w:fldCharType="begin"/>
      </w:r>
      <w:r>
        <w:rPr>
          <w:rFonts w:eastAsia="Calibri"/>
        </w:rPr>
        <w:instrText xml:space="preserve">ADDIN ZOTERO_ITEM CSL_CITATION {"citationID":"reJbmBfi","properties":{"formattedCitation":"[146]","plainCitation":"[146]","noteIndex":0},"citationItems":[{"id":3123,"uris":["http://zotero.org/users/local/WDVvZTBM/items/KAR2MPWC"],"itemData":{"id":3123,"type":"article-journal","abstract":"Obesity was shown to cause reproductive dysfunctions such as reduced conception, infertility and early pregnancy loss. However, the possible effects of obesity on oocyte quality are still not fully understood. In this study we investigated the effects of both diet and gene mutation induced obesity on impairments in mouse oocyte polarization, oxidative stress and epigenetic modifications. Our results showed that high-fat diet induced obesity (HFD) and gene mutation induced obesity (ob/ob) could both impair oocyte meiotic maturation, disrupt spindle morphology and reduce oocyte polarity. Oocytes from obese mice underwent oxidative stress, as shown by high DHE and ROS levels. Abnormal mitochondrial distributions and structures were observed in oocytes from obese groups of mice and early apoptosis signals were detected, which suggesting that oxidative stress had impaired mitochondrial function and resulted in oocyte apoptosis. Our results also showed that 5 mC levels and H3K9 and H3K27 methylation levels were altered in oocytes from obese mice, which indicated that DNA methylation and histone methylation had been affected. Our results showed that both HFD and ob/ob induced obesity affected oocyte maturation and that oxidative stress-induced early apoptosis and altered epigenetic modifications may be the reasons for reduced oocyte quality in obese mice.","container-title":"Scientific Reports","DOI":"10.1038/srep18858","ISSN":"2045-2322","issue":"1","journalAbbreviation":"Sci Rep","language":"en","license":"2016 The Author(s)","note":"number: 1\npublisher: Nature Publishing Group","page":"1-10","source":"www.nature.com","title":"Both diet and gene mutation induced obesity affect oocyte quality in mice","volume":"6","author":[{"family":"Hou","given":"Yan-Jun"},{"family":"Zhu","given":"Cheng-Cheng"},{"family":"Duan","given":"Xing"},{"family":"Liu","given":"Hong-Lin"},{"family":"Wang","given":"Qiang"},{"family":"Sun","given":"Shao-Chen"}],"issued":{"date-parts":[["2016",1,6]]}}}],"schema":"https://github.com/citation-style-language/schema/raw/master/csl-citation.json"}</w:instrText>
      </w:r>
      <w:r>
        <w:rPr>
          <w:rFonts w:eastAsia="Calibri"/>
        </w:rPr>
      </w:r>
      <w:r>
        <w:rPr>
          <w:rFonts w:eastAsia="Calibri"/>
        </w:rPr>
        <w:fldChar w:fldCharType="separate"/>
      </w:r>
      <w:r>
        <w:rPr>
          <w:rFonts w:eastAsia="Calibri"/>
        </w:rPr>
        <w:t>[146]</w:t>
      </w:r>
      <w:r>
        <w:rPr>
          <w:rFonts w:eastAsia="Calibri"/>
        </w:rPr>
      </w:r>
      <w:r>
        <w:rPr>
          <w:rFonts w:eastAsia="Calibri"/>
        </w:rPr>
        <w:fldChar w:fldCharType="end"/>
      </w:r>
      <w:r>
        <w:rPr>
          <w:rFonts w:eastAsia="Calibri"/>
        </w:rPr>
        <w:t>. Οι μελέτες σχετικά με τα ncRNAs και τα ωάρια ατόμων με παχυσαρκία εξακολουθούν να είναι ανεπαρκείς.</w:t>
      </w:r>
    </w:p>
    <w:p>
      <w:pPr>
        <w:pStyle w:val="Normal"/>
        <w:spacing w:lineRule="auto" w:line="360"/>
        <w:ind w:firstLine="720"/>
        <w:jc w:val="both"/>
        <w:rPr>
          <w:rFonts w:eastAsia="Calibri"/>
        </w:rPr>
      </w:pPr>
      <w:r>
        <w:rPr>
          <w:rFonts w:eastAsia="Calibri"/>
        </w:rPr>
        <w:t xml:space="preserve">Πειραματικές μελέτες με μοντέλα ζώων διαπίστωσαν επίσης μια σύνδεση μεταξύ πατρικής παχυσαρκίας και αλλαγών στα προφίλ μεθυλίωσης του DNA στα σπέρματα. Ωστόσο, το ενδιαφέρον για την επιγενετική κληρονομιά χρόνιων μεταβολικών διαταραχών μέσω της ανθρώπινης πατρικής γεννητικής γραμμής αυξήθηκε πρόσφατα </w:t>
      </w:r>
      <w:r>
        <w:fldChar w:fldCharType="begin"/>
      </w:r>
      <w:r>
        <w:rPr>
          <w:rFonts w:eastAsia="Calibri"/>
        </w:rPr>
        <w:instrText xml:space="preserve">ADDIN ZOTERO_ITEM CSL_CITATION {"citationID":"yhLXbrQZ","properties":{"formattedCitation":"[148], [149]","plainCitation":"[148], [149]","noteIndex":0},"citationItems":[{"id":3129,"uris":["http://zotero.org/users/local/WDVvZTBM/items/V6L92IKZ"],"itemData":{"id":3129,"type":"article-journal","abstract":"There is substantial evidence that paternal obesity is associated not only with an increased incidence of infertility, but also with an increased risk of metabolic disturbance in adult offspring. Apparently, several mechanisms may contribute to the sperm ...","container-title":"Basic and Clinical Andrology","DOI":"10.1186/s12610-017-0064-9","language":"en","note":"publisher: BMC\nPMID: 29123667","source":"www.ncbi.nlm.nih.gov","title":"Paternal obesity: how bad is it for sperm quality and progeny health?","title-short":"Paternal obesity","URL":"https://www.ncbi.nlm.nih.gov/pmc/articles/PMC5657098/","volume":"27","author":[{"family":"Raad","given":"Georges"},{"family":"Hazzouri","given":"Mira"},{"family":"Bottini","given":"Silvia"},{"family":"Trabucchi","given":"Michele"},{"family":"Azoury","given":"Joseph"},{"family":"Grandjean","given":"Valérie"}],"accessed":{"date-parts":[["2023",11,19]]},"issued":{"date-parts":[["2017"]]}}},{"id":3127,"uris":["http://zotero.org/users/local/WDVvZTBM/items/HFLWX8FP"],"itemData":{"id":3127,"type":"article-journal","abstract":"The global rise in metabolic diseases can be attributed to a complex interplay between biology, behavior and environmental factors. This article reviews the current literature concerning DNA methylation-based epigenetic inheritance (intergenerational and transgenerational) of metabolic diseases thro …","container-title":"Journal of molecular endocrinology","DOI":"10.1530/JME-17-0189","ISSN":"1479-6813","issue":"2","language":"en","note":"publisher: J Mol Endocrinol\nPMID: 29203518","source":"pubmed.ncbi.nlm.nih.gov","title":"DNA methylation in epigenetic inheritance of metabolic diseases through the male germ line","URL":"https://pubmed.ncbi.nlm.nih.gov/29203518/","volume":"60","author":[{"family":"Lrh","given":"Illum"},{"family":"St","given":"Bak"},{"family":"S","given":"Lund"},{"family":"Al","given":"Nielsen"}],"accessed":{"date-parts":[["2023",11,19]]},"issued":{"date-parts":[["2018",2]]}}}],"schema":"https://github.com/citation-style-language/schema/raw/master/csl-citation.json"}</w:instrText>
      </w:r>
      <w:r>
        <w:rPr>
          <w:rFonts w:eastAsia="Calibri"/>
        </w:rPr>
      </w:r>
      <w:r>
        <w:rPr>
          <w:rFonts w:eastAsia="Calibri"/>
        </w:rPr>
        <w:fldChar w:fldCharType="separate"/>
      </w:r>
      <w:r>
        <w:rPr>
          <w:rFonts w:eastAsia="Calibri"/>
        </w:rPr>
        <w:t>[148], [149]</w:t>
      </w:r>
      <w:r>
        <w:rPr>
          <w:rFonts w:eastAsia="Calibri"/>
        </w:rPr>
      </w:r>
      <w:r>
        <w:rPr>
          <w:rFonts w:eastAsia="Calibri"/>
        </w:rPr>
        <w:fldChar w:fldCharType="end"/>
      </w:r>
      <w:r>
        <w:rPr>
          <w:rFonts w:eastAsia="Calibri"/>
        </w:rPr>
        <w:t>. Μια προηγούμενη ανθρώπινη μελέτη κατέδειξε ότι τα μωρά που γεννήθηκαν από πατέρες με παχυσαρκία έχουν τροποποιημένη μεθυλίωση του DNA σε αρκετές ρυθμιστικές περιοχές των αποτυπωμένων γονιδίων σε σχέση με τα παιδιά που γεννήθηκαν από γονείς χωρίς παχυσαρκία. Η ανάλυση των ποσοστών μεθυλίωσης του DNA στις διαφορετικά μεθυλιωμένες περιοχές (DMRs) από 92 δείγματα λευκοκυττάρων από αγγελικούς λώρους νεογνών απέδειξε ότι η πατρική παχυσαρκία συσχετίζεται σημαντικά με χαμηλότερα επίπεδα μεθυλίωσης στα γονίδια mesoderm specific transcript (MEST), paternally expressed 3 (PEG3), και neuronatin (NNAT), τα οποία είναι σημαντικά για τη φυσιολογική ανάπτυξη, υποδηλώνοντας την ευαισθησία της επόμενης γενιάς να αναπτύξει χρόνιες ασθένειες στην ενηλικίωση.</w:t>
      </w:r>
    </w:p>
    <w:p>
      <w:pPr>
        <w:pStyle w:val="Normal"/>
        <w:spacing w:lineRule="auto" w:line="360"/>
        <w:ind w:firstLine="720"/>
        <w:jc w:val="both"/>
        <w:rPr>
          <w:rFonts w:eastAsia="Calibri"/>
        </w:rPr>
      </w:pPr>
      <w:r>
        <w:rPr>
          <w:rFonts w:eastAsia="Calibri"/>
        </w:rPr>
        <w:t xml:space="preserve">Αξιοσημείωτη είναι μια ανθρώπινη μελέτη που συγκρίνει τα ποσοστά μεθυλίωσης του DNA στα σπέρματα, σε 12 DMRs σε 23 υπέρβαρους/παχύσαρκους και 44 άνδρες με φυσιολογικό βάρος, όπου έδειξε ότι η κατάσταση της παχυσαρκίας είναι εντοπίσιμη στο επιγενετικό υπόβαθρο των σπερματοζωαρίων </w:t>
      </w:r>
      <w:r>
        <w:fldChar w:fldCharType="begin"/>
      </w:r>
      <w:r>
        <w:rPr>
          <w:rFonts w:eastAsia="Calibri"/>
        </w:rPr>
        <w:instrText xml:space="preserve">ADDIN ZOTERO_ITEM CSL_CITATION {"citationID":"ZaNTgVqe","properties":{"formattedCitation":"[54]","plainCitation":"[54]","noteIndex":0},"citationItems":[{"id":2425,"uris":["http://zotero.org/users/local/WDVvZTBM/items/ANNDCRDK"],"itemData":{"id":2425,"type":"article-journal","abstract":"Sedentary lifestyle and consumption of high-calorie foods have caused a relentless increase of overweight and obesity prevalence at all ages. Its presently epidemic proportion is disquieting due to the tight relationship of obesity with metabolic syndrome and several other comorbidities which do call for urgent workarounds. The usual ineffectiveness of present therapies and failure of prevention campaigns triggered overtime a number of research studies which have unveiled some relevant aspects of obesity genetic and epigenetic inheritable profiles. These findings are revealing extremely precious mainly to serve as a likely extra arrow to allow the clinician’s bow to achieve still hitherto unmet preventive goals. Evidence now exists that maternal obesity/overnutrition during pregnancy and lactation convincingly appears associated with several disorders in the offspring independently of the transmission of a purely genetic predisposition. Even the pre-conception direct exposure of either father or mother gametes to environmental factors can reprogram the epigenetic architecture of cells. Such phenomena lie behind the transfer of the obesity susceptibility to future generations through a mechanism of epigenetic inheritance. Moreover, a growing number of studies suggests that several environmental factors such as maternal malnutrition, hypoxia, and exposure to excess hormones and endocrine disruptors during pregnancy and the early postnatal period may play critical roles in programming childhood adipose tissue and obesity. A deeper understanding of how inherited genetics and epigenetics may generate an obesogenic environment at pediatric age might strengthen our knowledge about pathogenetic mechanisms and improve the clinical management of patients. Therefore, in this narrative review, we attempt to provide a general overview of the contribution of heritable genetic and epigenetic patterns to the obesity susceptibility in children, placing a particular emphasis on the mother-child dyad.","container-title":"Frontiers in Endocrinology","DOI":"10.3389/fendo.2022.1006008","ISSN":"1664-2392","journalAbbreviation":"Front. Endocrinol.","language":"en","page":"1006008","source":"DOI.org (Crossref)","title":"Genetics, epigenetics and transgenerational transmission of obesity in children","volume":"13","author":[{"family":"Panera","given":"Nadia"},{"family":"Mandato","given":"Claudia"},{"family":"Crudele","given":"Annalisa"},{"family":"Bertrando","given":"Sara"},{"family":"Vajro","given":"Pietro"},{"family":"Alisi","given":"Anna"}],"issued":{"date-parts":[["2022",11,14]]}}}],"schema":"https://github.com/citation-style-language/schema/raw/master/csl-citation.json"}</w:instrText>
      </w:r>
      <w:r>
        <w:rPr>
          <w:rFonts w:eastAsia="Calibri"/>
        </w:rPr>
      </w:r>
      <w:r>
        <w:rPr>
          <w:rFonts w:eastAsia="Calibri"/>
        </w:rPr>
        <w:fldChar w:fldCharType="separate"/>
      </w:r>
      <w:r>
        <w:rPr>
          <w:rFonts w:eastAsia="Calibri"/>
        </w:rPr>
        <w:t>[54]</w:t>
      </w:r>
      <w:r>
        <w:rPr>
          <w:rFonts w:eastAsia="Calibri"/>
        </w:rPr>
      </w:r>
      <w:r>
        <w:rPr>
          <w:rFonts w:eastAsia="Calibri"/>
        </w:rPr>
        <w:fldChar w:fldCharType="end"/>
      </w:r>
      <w:r>
        <w:rPr>
          <w:rFonts w:eastAsia="Calibri"/>
        </w:rPr>
        <w:t xml:space="preserve">. Συγκεκριμένα, η μελέτη ανέφερε σημαντική μείωση των επιπέδων μεθυλίωσης στα γονίδια maternally expressed 3 (MEG3), necdin (NDN), small nuclear ribonucleoprotein polypeptide N (SNRPN), και epsilon sarcoglycan (SGCE)/paternally expressed 10 (PEG10), καθώς και μια ελαφρώς αυξημένη μεθυλίωση των διακριτικών περιοχών MEG3 και imprinted maternally expressed transcript (H19) στους υπέρβαρους/παχύσαρκους σε σύγκριση με τους άνδρες με φυσιολογικό βάρος </w:t>
      </w:r>
      <w:r>
        <w:fldChar w:fldCharType="begin"/>
      </w:r>
      <w:r>
        <w:rPr>
          <w:rFonts w:eastAsia="Calibri"/>
        </w:rPr>
        <w:instrText xml:space="preserve">ADDIN ZOTERO_ITEM CSL_CITATION {"citationID":"bQG5zYWR","properties":{"formattedCitation":"[150]","plainCitation":"[150]","noteIndex":0},"citationItems":[{"id":3147,"uris":["http://zotero.org/users/local/WDVvZTBM/items/4FHJELEQ"],"itemData":{"id":3147,"type":"article-journal","abstract":"Our data support that male overweight/obesity status is traceable in the sperm epigenome. Further research is needed to understand the effect of such changes and the point of origin of DNA methylation differences between lean and overweight/obese men. Together with our earlier reports on paternal ob …","container-title":"Clinical epigenetics","DOI":"10.1186/s13148-016-0217-2","ISSN":"1868-7083","language":"en","note":"publisher: Clin Epigenetics\nPMID: 27158277","source":"pubmed.ncbi.nlm.nih.gov","title":"Obesity-related DNA methylation at imprinted genes in human sperm: Results from the TIEGER study","title-short":"Obesity-related DNA methylation at imprinted genes in human sperm","URL":"https://pubmed.ncbi.nlm.nih.gov/27158277/","volume":"8","author":[{"family":"A","given":"Soubry"},{"family":"L","given":"Guo"},{"family":"Z","given":"Huang"},{"family":"C","given":"Hoyo"},{"family":"S","given":"Romanus"},{"family":"T","given":"Price"},{"family":"Sk","given":"Murphy"}],"accessed":{"date-parts":[["2023",11,19]]},"issued":{"date-parts":[["2016",6,5]]}}}],"schema":"https://github.com/citation-style-language/schema/raw/master/csl-citation.json"}</w:instrText>
      </w:r>
      <w:r>
        <w:rPr>
          <w:rFonts w:eastAsia="Calibri"/>
        </w:rPr>
      </w:r>
      <w:r>
        <w:rPr>
          <w:rFonts w:eastAsia="Calibri"/>
        </w:rPr>
        <w:fldChar w:fldCharType="separate"/>
      </w:r>
      <w:r>
        <w:rPr>
          <w:rFonts w:eastAsia="Calibri"/>
        </w:rPr>
        <w:t>[150]</w:t>
      </w:r>
      <w:r>
        <w:rPr>
          <w:rFonts w:eastAsia="Calibri"/>
        </w:rPr>
      </w:r>
      <w:r>
        <w:rPr>
          <w:rFonts w:eastAsia="Calibri"/>
        </w:rPr>
        <w:fldChar w:fldCharType="end"/>
      </w:r>
      <w:r>
        <w:rPr>
          <w:rFonts w:eastAsia="Calibri"/>
        </w:rPr>
        <w:t>.</w:t>
      </w:r>
    </w:p>
    <w:p>
      <w:pPr>
        <w:pStyle w:val="Normal"/>
        <w:spacing w:lineRule="auto" w:line="360"/>
        <w:ind w:firstLine="720"/>
        <w:jc w:val="both"/>
        <w:rPr>
          <w:rFonts w:eastAsia="Calibri"/>
        </w:rPr>
      </w:pPr>
      <w:r>
        <w:rPr>
          <w:rFonts w:eastAsia="Calibri"/>
        </w:rPr>
        <w:t>Πρόσφατα, οι Keyhan e</w:t>
      </w:r>
      <w:r>
        <w:rPr>
          <w:rFonts w:eastAsia="Calibri"/>
          <w:lang w:val="en-US"/>
        </w:rPr>
        <w:t>t</w:t>
      </w:r>
      <w:r>
        <w:rPr>
          <w:rFonts w:eastAsia="Calibri"/>
        </w:rPr>
        <w:t xml:space="preserve"> </w:t>
      </w:r>
      <w:r>
        <w:rPr>
          <w:rFonts w:eastAsia="Calibri"/>
          <w:lang w:val="en-US"/>
        </w:rPr>
        <w:t>al</w:t>
      </w:r>
      <w:r>
        <w:rPr>
          <w:rFonts w:eastAsia="Calibri"/>
        </w:rPr>
        <w:t xml:space="preserve">. εξέτασαν επίσης την επίδραση της παχυσαρκίας των ανδρών στον επαναπρογραμματισμό της μεθυλίωσης του DNA στα σπέρματα. Οι ερευνητές εντόπισαν 3264 τοποθεσίες CpG στα ανθρώπινα σπέρματα που συσχετίζονται σημαντικά με το BMI στα ώριμα σπερματοζωάρια, υπογραμμίζοντας την πιθανή κληρονομικότητα αυτών των αλλαγών στη μεθυλίωση του DNA στις επόμενες γενιές </w:t>
      </w:r>
      <w:r>
        <w:fldChar w:fldCharType="begin"/>
      </w:r>
      <w:r>
        <w:rPr>
          <w:rFonts w:eastAsia="Calibri"/>
        </w:rPr>
        <w:instrText xml:space="preserve">ADDIN ZOTERO_ITEM CSL_CITATION {"citationID":"y5KjcRYr","properties":{"formattedCitation":"[151]","plainCitation":"[151]","noteIndex":0},"citationItems":[{"id":3133,"uris":["http://zotero.org/users/local/WDVvZTBM/items/DRVFFFRR"],"itemData":{"id":3133,"type":"article-journal","abstract":"Male obesity has profound effects on morbidity and mortality, but relatively little is known about the impact of obesity on gametes and the potential for adverse effects of male obesity to be passed to the next generation. DNA methylation contributes to gene regulation and is erased and re-established during gametogenesis. Throughout post-pubertal spermatogenesis, there are continual needs to both maintain established methylation and complete DNA methylation programming, even during epididymal maturation. This dynamic epigenetic landscape may confer increased vulnerability to environmental influences, including the obesogenic environment, that could disrupt reprogramming fidelity. Here we conducted an exploratory analysis that showed that overweight/obesity (n = 20) is associated with differences in mature spermatozoa DNA methylation profiles relative to controls with normal BMI (n = 47). We identified 3264 CpG sites in human sperm that are significantly associated with BMI (p &lt; 0.05) using Infinium HumanMethylation450 BeadChips. These CpG sites were significantly overrepresented among genes involved in transcriptional regulation and misregulation in cancer, nervous system development, and stem cell pluripotency. Analysis of individual sperm using bisulfite sequencing of cloned alleles revealed that the methylation differences are present in a subset of sperm rather than being randomly distributed across all sperm. Male obesity is associated with altered sperm DNA methylation profiles that appear to affect reprogramming fidelity in a subset of sperm, suggestive of an influence on the spermatogonia. Further work is required to determine the potential heritability of these DNA methylation alterations. If heritable, these changes have the potential to impede normal development.","container-title":"Clinical Epigenetics","DOI":"10.1186/s13148-020-00997-0","ISSN":"1868-7083","issue":"1","journalAbbreviation":"Clin Epigenet","language":"en","license":"2021 The Author(s)","note":"number: 1\npublisher: BioMed Central","page":"1-14","source":"clinicalepigeneticsjournal.biomedcentral.com","title":"Male obesity impacts DNA methylation reprogramming in sperm","volume":"13","author":[{"family":"Keyhan","given":"Sanaz"},{"family":"Burke","given":"Emily"},{"family":"Schrott","given":"Rose"},{"family":"Huang","given":"Zhiqing"},{"family":"Grenier","given":"Carole"},{"family":"Price","given":"Thomas"},{"family":"Raburn","given":"Doug"},{"family":"Corcoran","given":"David L."},{"family":"Soubry","given":"Adelheid"},{"family":"Hoyo","given":"Catherine"},{"family":"Murphy","given":"Susan K."}],"issued":{"date-parts":[["2021",12]]}}}],"schema":"https://github.com/citation-style-language/schema/raw/master/csl-citation.json"}</w:instrText>
      </w:r>
      <w:r>
        <w:rPr>
          <w:rFonts w:eastAsia="Calibri"/>
        </w:rPr>
      </w:r>
      <w:r>
        <w:rPr>
          <w:rFonts w:eastAsia="Calibri"/>
        </w:rPr>
        <w:fldChar w:fldCharType="separate"/>
      </w:r>
      <w:r>
        <w:rPr>
          <w:rFonts w:eastAsia="Calibri"/>
        </w:rPr>
        <w:t>[151]</w:t>
      </w:r>
      <w:r>
        <w:rPr>
          <w:rFonts w:eastAsia="Calibri"/>
        </w:rPr>
      </w:r>
      <w:r>
        <w:rPr>
          <w:rFonts w:eastAsia="Calibri"/>
        </w:rPr>
        <w:fldChar w:fldCharType="end"/>
      </w:r>
      <w:r>
        <w:rPr>
          <w:rFonts w:eastAsia="Calibri"/>
        </w:rPr>
        <w:t>.</w:t>
      </w:r>
    </w:p>
    <w:p>
      <w:pPr>
        <w:pStyle w:val="Normal"/>
        <w:spacing w:lineRule="auto" w:line="360"/>
        <w:ind w:firstLine="720"/>
        <w:jc w:val="both"/>
        <w:rPr>
          <w:rFonts w:eastAsia="Calibri"/>
        </w:rPr>
      </w:pPr>
      <w:r>
        <w:rPr>
          <w:rFonts w:eastAsia="Calibri"/>
        </w:rPr>
        <w:t xml:space="preserve">Η τρέχουσα έρευνα σχετικά με το πώς τα σπερματοζωάρια μεταδίδουν αποκτηθείσες επιγενετικές αλλαγές που επηρεάζουν τη μεταβολική υγεία της επόμενης γενιάς έδειξε ότι τόσο οι δίαιτες υψηλής περιεκτικότητας σε λίπη όσο και οι δίαιτες χαμηλής πρωτεΐνης μπορεί να προκαλέσουν αλλαγές στο περιεχόμενο των σπερματοζωαρίων σε διάφορα υποείδη ncRNA. Ειδικότερα, τα αλλαγμένα επίπεδα σπέρματος των snRNA λόγω των διαιτών υψηλής περιεκτικότητας σε λίπη συσχετίστηκαν ιδιαίτερα με αλλαγές στο φαινότυπο των απογόνων, με τα απογόνια να εμφανίζουν αντίσταση στην ινσουλίνη, αλλαγές στο σωματικό βάρος και ανεκτικότητα στη γλυκόζη </w:t>
      </w:r>
      <w:r>
        <w:fldChar w:fldCharType="begin"/>
      </w:r>
      <w:r>
        <w:rPr>
          <w:rFonts w:eastAsia="Calibri"/>
        </w:rPr>
        <w:instrText xml:space="preserve">ADDIN ZOTERO_ITEM CSL_CITATION {"citationID":"DIXDmb8i","properties":{"formattedCitation":"[152]","plainCitation":"[152]","noteIndex":0},"citationItems":[{"id":3137,"uris":["http://zotero.org/users/local/WDVvZTBM/items/5HKM9RH9"],"itemData":{"id":3137,"type":"article-journal","abstract":"The risk of developing metabolic diseases is conferred by genetic predisposition from risk genes and by environmental exposures that can manifest in epigenetic changes. The global rise in obesity and type II diabetes has motivated a search for the epigenetic factors underlying these diseases. The po …","container-title":"Molecular genetics and genomics : MGG","DOI":"10.1007/s00438-018-1492-8","ISSN":"1617-4623","issue":"1","language":"en","note":"publisher: Mol Genet Genomics\nPMID: 30229293","source":"pubmed.ncbi.nlm.nih.gov","title":"The influence of paternal diet on sncRNA-mediated epigenetic inheritance","URL":"https://pubmed.ncbi.nlm.nih.gov/30229293/","volume":"294","author":[{"family":"Lk","given":"Klastrup"},{"family":"St","given":"Bak"},{"family":"Al","given":"Nielsen"}],"accessed":{"date-parts":[["2023",11,19]]},"issued":{"date-parts":[["2019",2]]}}}],"schema":"https://github.com/citation-style-language/schema/raw/master/csl-citation.json"}</w:instrText>
      </w:r>
      <w:r>
        <w:rPr>
          <w:rFonts w:eastAsia="Calibri"/>
        </w:rPr>
      </w:r>
      <w:r>
        <w:rPr>
          <w:rFonts w:eastAsia="Calibri"/>
        </w:rPr>
        <w:fldChar w:fldCharType="separate"/>
      </w:r>
      <w:r>
        <w:rPr>
          <w:rFonts w:eastAsia="Calibri"/>
        </w:rPr>
        <w:t>[152]</w:t>
      </w:r>
      <w:r>
        <w:rPr>
          <w:rFonts w:eastAsia="Calibri"/>
        </w:rPr>
      </w:r>
      <w:r>
        <w:rPr>
          <w:rFonts w:eastAsia="Calibri"/>
        </w:rPr>
        <w:fldChar w:fldCharType="end"/>
      </w:r>
      <w:r>
        <w:rPr>
          <w:rFonts w:eastAsia="Calibri"/>
        </w:rPr>
        <w:t>. Σε άνδρες με παχυσαρκία παρατηρήθηκε επίσης μεταβολή στο επίπεδο έκφρασης συγκεκριμένων miRNAs, piRNAs, tRFs και μικρών πυρηνικών RNA (snRNA) στα σπέρματα, σε σύγκριση με λεπτούς άνδρες. Επιπλέον, οι ερευνητές ανέφεραν επίσης αλλαγές στα πρότυπα μεθυλίωσης του DNA μεταξύ παχύσαρκων και λεπτών ανδρών σε ορισμένα γονίδια, συμπεριλαμβανομένων των neuropeptide Y (NPY), cannabinoid receptor type 1 (CR1), cocaine- and amphetamine-regulated transcript (CART), FTO, και carbohydrate sulfotransferase 8 (CHST8). Είναι ενδιαφέρον να σημειωθεί πως το πρότυπο μεθυλίωσης του DNA στα σπέρματα ρυθμίστηκε με τη χρήση χειρουργικής επέμβασης βαριατρικής, υπογραμμίζοντας τη σημασία της επίδρασης της απώλειας βάρους και της διατροφικής πρόσληψης στο επιγενετικό υπόβαθρο των ανθρώπινων σπερματοζωαρίων.</w:t>
      </w:r>
    </w:p>
    <w:p>
      <w:pPr>
        <w:pStyle w:val="Normal"/>
        <w:spacing w:lineRule="auto" w:line="360"/>
        <w:ind w:firstLine="720"/>
        <w:jc w:val="both"/>
        <w:rPr>
          <w:rFonts w:eastAsia="Calibri"/>
          <w:color w:val="18191B"/>
        </w:rPr>
      </w:pPr>
      <w:r>
        <w:rPr>
          <w:rFonts w:eastAsia="Calibri"/>
          <w:color w:val="0D0D0D"/>
        </w:rPr>
        <w:t xml:space="preserve">Τα μικροRNA των ιστών και τα κυκλοφορούντα μικροRNA μελετήθηκαν εκτενώς στο πλαίσιο της παιδικής παχυσαρκίας </w:t>
      </w:r>
      <w:r>
        <w:fldChar w:fldCharType="begin"/>
      </w:r>
      <w:r>
        <w:rPr>
          <w:rFonts w:eastAsia="Calibri"/>
          <w:color w:val="0D0D0D"/>
        </w:rPr>
        <w:instrText xml:space="preserve">ADDIN ZOTERO_ITEM CSL_CITATION {"citationID":"XoV3xXlq","properties":{"formattedCitation":"[153], [154]","plainCitation":"[153], [154]","noteIndex":0},"citationItems":[{"id":3139,"uris":["http://zotero.org/users/local/WDVvZTBM/items/PVSRPF6U"],"itemData":{"id":3139,"type":"article-journal","abstract":"Rising child obesity rate creates a need for tools quantifying changes in children suffering from obesity, for purposes of detection or prevention of comorbidities. A candidate for such a role seems to be microRNAs, which in vivo serve as the suppressing ...","container-title":"Pediatric Obesity","DOI":"10.1111/ijpo.12880","issue":"6","language":"en","note":"publisher: Wiley-Blackwell\nPMID: 34918493","source":"www.ncbi.nlm.nih.gov","title":"MicroRNAs as the promising markers of comorbidities in childhood obesity—A systematic review","URL":"https://www.ncbi.nlm.nih.gov/pmc/articles/PMC9285424/","volume":"17","author":[{"family":"Hutny","given":"Michał"},{"family":"Hofman","given":"Jagoda"},{"family":"Zachurzok","given":"Agnieszka"},{"family":"Matusik","given":"Paweł"}],"accessed":{"date-parts":[["2023",11,19]]},"issued":{"date-parts":[["2022",6]]}}},{"id":3141,"uris":["http://zotero.org/users/local/WDVvZTBM/items/RKD2VSFK"],"itemData":{"id":3141,"type":"article-journal","abstract":"Obesity is a complex condition that is characterized by excessive fat accumulation, which can lead to the development of metabolic disorders, such as type 2 diabetes mellitus, nonalcoholic fatty liver disease and cardiovascular diseases. Evidence is accumulating that circulating microRNAs (miRNAs) a …","container-title":"Nature reviews. Endocrinology","DOI":"10.1038/s41574-019-0260-0","ISSN":"1759-5037","issue":"12","language":"en","note":"publisher: Nat Rev Endocrinol\nPMID: 31611648","source":"pubmed.ncbi.nlm.nih.gov","title":"The clinical potential of circulating microRNAs in obesity","URL":"https://pubmed.ncbi.nlm.nih.gov/31611648/","volume":"15","author":[{"family":"C","given":"Ji"},{"family":"X","given":"Guo"}],"accessed":{"date-parts":[["2023",11,19]]},"issued":{"date-parts":[["2019",12]]}}}],"schema":"https://github.com/citation-style-language/schema/raw/master/csl-citation.json"}</w:instrText>
      </w:r>
      <w:r>
        <w:rPr>
          <w:rFonts w:eastAsia="Calibri"/>
          <w:color w:val="0D0D0D"/>
        </w:rPr>
      </w:r>
      <w:r>
        <w:rPr>
          <w:rFonts w:eastAsia="Calibri"/>
          <w:color w:val="0D0D0D"/>
        </w:rPr>
        <w:fldChar w:fldCharType="separate"/>
      </w:r>
      <w:r>
        <w:rPr>
          <w:rFonts w:eastAsia="Calibri"/>
          <w:color w:val="0D0D0D"/>
        </w:rPr>
        <w:t>[153], [154]</w:t>
      </w:r>
      <w:r>
        <w:rPr>
          <w:rFonts w:eastAsia="Calibri"/>
          <w:color w:val="0D0D0D"/>
        </w:rPr>
      </w:r>
      <w:r>
        <w:rPr>
          <w:rFonts w:eastAsia="Calibri"/>
          <w:color w:val="0D0D0D"/>
        </w:rPr>
        <w:fldChar w:fldCharType="end"/>
      </w:r>
      <w:r>
        <w:rPr>
          <w:rFonts w:eastAsia="Calibri"/>
          <w:color w:val="0D0D0D"/>
        </w:rPr>
        <w:t>, αλλά δεν υπάρχουν μελέτες για την προγεννητική τους ρύθμιση και τις επιπτώσεις στο παχύσαρκο φαινότυπο των απογόνων. Έργο των López e</w:t>
      </w:r>
      <w:r>
        <w:rPr>
          <w:rFonts w:eastAsia="Calibri"/>
          <w:color w:val="0D0D0D"/>
          <w:lang w:val="en-US"/>
        </w:rPr>
        <w:t>t</w:t>
      </w:r>
      <w:r>
        <w:rPr>
          <w:rFonts w:eastAsia="Calibri"/>
          <w:color w:val="0D0D0D"/>
        </w:rPr>
        <w:t xml:space="preserve"> </w:t>
      </w:r>
      <w:r>
        <w:rPr>
          <w:rFonts w:eastAsia="Calibri"/>
          <w:color w:val="0D0D0D"/>
          <w:lang w:val="en-US"/>
        </w:rPr>
        <w:t>al</w:t>
      </w:r>
      <w:r>
        <w:rPr>
          <w:rFonts w:eastAsia="Calibri"/>
          <w:color w:val="0D0D0D"/>
        </w:rPr>
        <w:t xml:space="preserve">. έδειξε ότι δύο μικροRNA που συσχετίζονται με τον φλεγμονώδη πόνο και τη σίδηρο ισορροπία (miR-155 και miR-122) ήταν υπερεκφρασμένα στα σπέρματα υπέρβαρων ατόμων σε σχέση με άτομα με κανονικό βάρος </w:t>
      </w:r>
      <w:r>
        <w:fldChar w:fldCharType="begin"/>
      </w:r>
      <w:r>
        <w:rPr>
          <w:rFonts w:eastAsia="Calibri"/>
          <w:color w:val="0D0D0D"/>
        </w:rPr>
        <w:instrText xml:space="preserve">ADDIN ZOTERO_ITEM CSL_CITATION {"citationID":"yLAAHFa9","properties":{"formattedCitation":"[155]","plainCitation":"[155]","noteIndex":0},"citationItems":[{"id":3143,"uris":["http://zotero.org/users/local/WDVvZTBM/items/IWXXCZE4"],"itemData":{"id":3143,"type":"article-journal","abstract":"Obesity is characterized by mild chronic inflammation that is linked with impaired iron homeostasis. Studies in human and murine show that there is a transgenerational epigenetic inheritance via the gametes in obesity; however, there is little information ...","container-title":"Frontiers in Genetics","DOI":"10.3389/fgene.2018.00175","language":"en","note":"publisher: Frontiers Media SA\nPMID: 29896216","source":"www.ncbi.nlm.nih.gov","title":"miR-155 and miR-122 Expression of Spermatozoa in Obese Subjects","URL":"https://www.ncbi.nlm.nih.gov/pmc/articles/PMC5986881/","volume":"9","author":[{"family":"López","given":"Paulina"},{"family":"Castro","given":"Andrea"},{"family":"Flórez","given":"Martha"},{"family":"Miranda","given":"Karen"},{"family":"Aranda","given":"Pilar"},{"family":"Sánchez-González","given":"Cristina"},{"family":"Llopis","given":"Juan"},{"family":"Arredondo","given":"Miguel"}],"accessed":{"date-parts":[["2023",11,19]]},"issued":{"date-parts":[["2018"]]}}}],"schema":"https://github.com/citation-style-language/schema/raw/master/csl-citation.json"}</w:instrText>
      </w:r>
      <w:r>
        <w:rPr>
          <w:rFonts w:eastAsia="Calibri"/>
          <w:color w:val="0D0D0D"/>
        </w:rPr>
      </w:r>
      <w:r>
        <w:rPr>
          <w:rFonts w:eastAsia="Calibri"/>
          <w:color w:val="0D0D0D"/>
        </w:rPr>
        <w:fldChar w:fldCharType="separate"/>
      </w:r>
      <w:r>
        <w:rPr>
          <w:rFonts w:eastAsia="Calibri"/>
          <w:color w:val="0D0D0D"/>
        </w:rPr>
        <w:t>[155]</w:t>
      </w:r>
      <w:r>
        <w:rPr>
          <w:rFonts w:eastAsia="Calibri"/>
          <w:color w:val="0D0D0D"/>
        </w:rPr>
      </w:r>
      <w:r>
        <w:rPr>
          <w:rFonts w:eastAsia="Calibri"/>
          <w:color w:val="0D0D0D"/>
        </w:rPr>
        <w:fldChar w:fldCharType="end"/>
      </w:r>
      <w:r>
        <w:rPr>
          <w:rFonts w:eastAsia="Calibri"/>
          <w:color w:val="0D0D0D"/>
        </w:rPr>
        <w:t>. Αυτά τα ευρήματα υποστηρίζουν την υπόθεση ότι τα διαφορετικά ρυθμιζόμενα μικροRNA στα σπέρματα μπορεί ενδεχομένως να επιδρούν στη μεθυλίωση του DNA μετά τη γονιμοποίηση.</w:t>
      </w:r>
    </w:p>
    <w:p>
      <w:pPr>
        <w:pStyle w:val="Heading3"/>
        <w:rPr/>
      </w:pPr>
      <w:bookmarkStart w:id="72" w:name="_Toc154923835"/>
      <w:r>
        <w:rPr/>
        <w:t xml:space="preserve">3.5.2 </w:t>
      </w:r>
      <w:r>
        <w:rPr>
          <w:rFonts w:eastAsia="Calibri" w:cs="Times-Roman" w:ascii="Times-Roman" w:hAnsi="Times-Roman"/>
          <w:color w:val="18191B"/>
        </w:rPr>
        <w:t>Επιγενετικές επιπτώσεις της έκθεσης στη μητέρα με παχυσαρκία/υπερτροφία και το περιβάλλον κατά τη διάρκεια της εγκυμοσύνης</w:t>
      </w:r>
      <w:bookmarkEnd w:id="72"/>
    </w:p>
    <w:p>
      <w:pPr>
        <w:pStyle w:val="Normal"/>
        <w:spacing w:lineRule="auto" w:line="360"/>
        <w:jc w:val="both"/>
        <w:rPr>
          <w:rFonts w:eastAsia="Calibri"/>
          <w:color w:val="0D0D0D"/>
        </w:rPr>
      </w:pPr>
      <w:r>
        <w:rPr>
          <w:rFonts w:eastAsia="Calibri"/>
          <w:color w:val="0D0D0D"/>
        </w:rPr>
        <w:tab/>
        <w:t xml:space="preserve">Η διασύνδεση μεταξύ μητέρας και εμβρύου είναι ο πλακούντας, ο οποίος ρυθμίζει τη ροή θρεπτικών ουσιών, οξυγόνου και ορμονικού εφοδιασμού. Επομένως, ο πλακούντας εμπλέκεται σε οποιαδήποτε ανωμαλία της ανάπτυξης του εμβρύου και των προκύπτοντων ηπατομεταβολικών και καρδιοαγγειακών ασθενειών στα απογόνια. Όπως φαίνεται στην Εικόνα 6, ο πλακούντας των εγκύων με παχυσαρκία υπόκειται σε αυξημένη φλεγμονή και οξειδωτικό στρες </w:t>
      </w:r>
      <w:r>
        <w:fldChar w:fldCharType="begin"/>
      </w:r>
      <w:r>
        <w:rPr>
          <w:rFonts w:eastAsia="Calibri"/>
          <w:color w:val="0D0D0D"/>
        </w:rPr>
        <w:instrText xml:space="preserve">ADDIN ZOTERO_ITEM CSL_CITATION {"citationID":"PSxjLjGM","properties":{"formattedCitation":"[156]","plainCitation":"[156]","noteIndex":0},"citationItems":[{"id":3150,"uris":["http://zotero.org/users/local/WDVvZTBM/items/JW4HNSNN"],"itemData":{"id":3150,"type":"article-journal","abstract":"Obesity and gestational diabetes mellitus (GDM) are becoming more common among pregnant women worldwide and are individually associated with a number of placenta-mediated obstetric complications, including preeclampsia, macrosomia, intrauterine growth restriction and stillbirth. The placenta serves …","container-title":"Current vascular pharmacology","DOI":"10.2174/1570161118666200616144512","ISSN":"1875-6212","issue":"2","language":"en","note":"publisher: Curr Vasc Pharmacol\nPMID: 32543363","source":"pubmed.ncbi.nlm.nih.gov","title":"Effects of Maternal Obesity and Gestational Diabetes Mellitus on the Placenta: Current Knowledge and Targets for Therapeutic Interventions","title-short":"Effects of Maternal Obesity and Gestational Diabetes Mellitus on the Placenta","URL":"https://pubmed.ncbi.nlm.nih.gov/32543363/","volume":"19","author":[{"family":"S","given":"Bedell"},{"family":"J","given":"Hutson"},{"family":"B","given":"de Vrijer"},{"family":"G","given":"Eastabrook"}],"accessed":{"date-parts":[["2023",11,19]]},"issued":{"date-parts":[["2021"]]}}}],"schema":"https://github.com/citation-style-language/schema/raw/master/csl-citation.json"}</w:instrText>
      </w:r>
      <w:r>
        <w:rPr>
          <w:rFonts w:eastAsia="Calibri"/>
          <w:color w:val="0D0D0D"/>
        </w:rPr>
      </w:r>
      <w:r>
        <w:rPr>
          <w:rFonts w:eastAsia="Calibri"/>
          <w:color w:val="0D0D0D"/>
        </w:rPr>
        <w:fldChar w:fldCharType="separate"/>
      </w:r>
      <w:r>
        <w:rPr>
          <w:rFonts w:eastAsia="Calibri"/>
          <w:color w:val="0D0D0D"/>
        </w:rPr>
        <w:t>[156]</w:t>
      </w:r>
      <w:r>
        <w:rPr>
          <w:rFonts w:eastAsia="Calibri"/>
          <w:color w:val="0D0D0D"/>
        </w:rPr>
      </w:r>
      <w:r>
        <w:rPr>
          <w:rFonts w:eastAsia="Calibri"/>
          <w:color w:val="0D0D0D"/>
        </w:rPr>
        <w:fldChar w:fldCharType="end"/>
      </w:r>
      <w:r>
        <w:rPr>
          <w:rFonts w:eastAsia="Calibri"/>
          <w:color w:val="0D0D0D"/>
        </w:rPr>
        <w:t xml:space="preserve">. Πολλά δεδομένα υποδηλώνουν ότι η χρόνια συστηματική φλεγμονή κατά την παχύσαρκη εγκυμοσύνη και η συγκέντρωση μακροφάγων στον πλακούντα προκαλεί άλυτη τοπική φλεγμονή λόγω της παραγωγής προφλεγμονώδων κυτοκινών που μπορεί να τροποποιήσουν τη μεταφορά θρεπτικών ουσιών της μητέρας </w:t>
      </w:r>
      <w:r>
        <w:fldChar w:fldCharType="begin"/>
      </w:r>
      <w:r>
        <w:rPr>
          <w:rFonts w:eastAsia="Calibri"/>
          <w:color w:val="0D0D0D"/>
        </w:rPr>
        <w:instrText xml:space="preserve">ADDIN ZOTERO_ITEM CSL_CITATION {"citationID":"NuAnDJz8","properties":{"formattedCitation":"[157]","plainCitation":"[157]","noteIndex":0},"citationItems":[{"id":3152,"uris":["http://zotero.org/users/local/WDVvZTBM/items/TWD88ZK2"],"itemData":{"id":3152,"type":"article-journal","abstract":"Pregnancy is a physiological stress that requires dynamic, regulated changes affecting maternal and fetal adiposity. Excessive accumulation of dysfunctional adipose tissue defined by metabolic and molecular alterations cause severe health consequences for mother and fetus. When subjected to sustaine …","container-title":"European journal of clinical nutrition","DOI":"10.1038/s41430-021-00914-5","ISSN":"1476-5640","issue":"12","language":"en","note":"publisher: Eur J Clin Nutr\nPMID: 33911209","source":"pubmed.ncbi.nlm.nih.gov","title":"Obesity and pregnancy, the perfect metabolic storm","URL":"https://pubmed.ncbi.nlm.nih.gov/33911209/","volume":"75","author":[{"family":"P","given":"Corrales"},{"family":"A","given":"Vidal-Puig"},{"family":"G","given":"Medina-Gómez"}],"accessed":{"date-parts":[["2023",11,19]]},"issued":{"date-parts":[["2021",12]]}}}],"schema":"https://github.com/citation-style-language/schema/raw/master/csl-citation.json"}</w:instrText>
      </w:r>
      <w:r>
        <w:rPr>
          <w:rFonts w:eastAsia="Calibri"/>
          <w:color w:val="0D0D0D"/>
        </w:rPr>
      </w:r>
      <w:r>
        <w:rPr>
          <w:rFonts w:eastAsia="Calibri"/>
          <w:color w:val="0D0D0D"/>
        </w:rPr>
        <w:fldChar w:fldCharType="separate"/>
      </w:r>
      <w:r>
        <w:rPr>
          <w:rFonts w:eastAsia="Calibri"/>
          <w:color w:val="0D0D0D"/>
        </w:rPr>
        <w:t>[157]</w:t>
      </w:r>
      <w:r>
        <w:rPr>
          <w:rFonts w:eastAsia="Calibri"/>
          <w:color w:val="0D0D0D"/>
        </w:rPr>
      </w:r>
      <w:r>
        <w:rPr>
          <w:rFonts w:eastAsia="Calibri"/>
          <w:color w:val="0D0D0D"/>
        </w:rPr>
        <w:fldChar w:fldCharType="end"/>
      </w:r>
      <w:r>
        <w:rPr>
          <w:rFonts w:eastAsia="Calibri"/>
          <w:color w:val="0D0D0D"/>
        </w:rPr>
        <w:t>. Ένα μοντέλο υπέρβασης της διατροφής στην εγκυμοσύνη, με τη χρήση μη ανθρωπίνων πιθηκοειδών, παρέχει ενδείξεις ότι μια δίαιτα υψηλής περιεκτικότητας σε λίπη μειώνει τη ροή του αίματος προς τη μήτρα και προκαλεί ισχαιμία του πλακούντα. Το 2015, οι Sharp e</w:t>
      </w:r>
      <w:r>
        <w:rPr>
          <w:rFonts w:eastAsia="Calibri"/>
          <w:color w:val="0D0D0D"/>
          <w:lang w:val="en-US"/>
        </w:rPr>
        <w:t>t</w:t>
      </w:r>
      <w:r>
        <w:rPr>
          <w:rFonts w:eastAsia="Calibri"/>
          <w:color w:val="0D0D0D"/>
        </w:rPr>
        <w:t xml:space="preserve"> </w:t>
      </w:r>
      <w:r>
        <w:rPr>
          <w:rFonts w:eastAsia="Calibri"/>
          <w:color w:val="0D0D0D"/>
          <w:lang w:val="en-US"/>
        </w:rPr>
        <w:t>al</w:t>
      </w:r>
      <w:r>
        <w:rPr>
          <w:rFonts w:eastAsia="Calibri"/>
          <w:color w:val="0D0D0D"/>
        </w:rPr>
        <w:t>. ανέλυσαν την μελέτη Av</w:t>
      </w:r>
      <w:r>
        <w:rPr>
          <w:rFonts w:eastAsia="Calibri"/>
          <w:color w:val="0D0D0D"/>
          <w:lang w:val="en-US"/>
        </w:rPr>
        <w:t>on</w:t>
      </w:r>
      <w:r>
        <w:rPr>
          <w:rFonts w:eastAsia="Calibri"/>
          <w:color w:val="0D0D0D"/>
        </w:rPr>
        <w:t xml:space="preserve"> </w:t>
      </w:r>
      <w:r>
        <w:rPr>
          <w:rFonts w:eastAsia="Calibri"/>
          <w:color w:val="0D0D0D"/>
          <w:lang w:val="en-US"/>
        </w:rPr>
        <w:t>Longitudinal</w:t>
      </w:r>
      <w:r>
        <w:rPr>
          <w:rFonts w:eastAsia="Calibri"/>
          <w:color w:val="0D0D0D"/>
        </w:rPr>
        <w:t xml:space="preserve"> Γονέων και Παιδιών που περιλάμβανε μια γενικού πληθυσμού κοινή κοχορτολογία κύησης και διαπίστωσαν ότι το προγεννητικό BMI της μητέρας συσχετιζόταν θετικά με τη μεθυλίωση του κορδόνιου αίματος σε δύο τοποθεσίες CpG, σε περιοχές που κωδικοποιούν τα coiled-coil domain-containing 112 (CCDC112) και mucolipin TRP cation channel 3 (MCOLN3). Επιπλέον, τα απόγονα των γυναικών με παχυσαρκία είχαν 28 τοποθεσίες CpG που εντοπίστηκαν ως διαφορετικά μεθυλιωμένες σε σχέση με τα απόγονα των γυναικών με κανονικό βάρος. Τέσσερις τοποθεσίες CpG στο περιφερικό αίμα των παιδιών συσχετίστηκαν με τη μητρική παχυσαρκία. Η μελέτη ανέφερε επίσης μια ισχυρότερη συσχέτιση μεταξύ της μεθυλίωσης των απογόνων και της μητρικής παχυσαρκίας σε σχέση με την πατρική παχυσαρκία, υποστηρίζοντας ένα μηχανισμό εντός της μήτρας </w:t>
      </w:r>
      <w:r>
        <w:fldChar w:fldCharType="begin"/>
      </w:r>
      <w:r>
        <w:rPr>
          <w:rFonts w:eastAsia="Calibri"/>
          <w:color w:val="0D0D0D"/>
        </w:rPr>
        <w:instrText xml:space="preserve">ADDIN ZOTERO_ITEM CSL_CITATION {"citationID":"A2l3EemX","properties":{"formattedCitation":"[54]","plainCitation":"[54]","noteIndex":0},"citationItems":[{"id":2425,"uris":["http://zotero.org/users/local/WDVvZTBM/items/ANNDCRDK"],"itemData":{"id":2425,"type":"article-journal","abstract":"Sedentary lifestyle and consumption of high-calorie foods have caused a relentless increase of overweight and obesity prevalence at all ages. Its presently epidemic proportion is disquieting due to the tight relationship of obesity with metabolic syndrome and several other comorbidities which do call for urgent workarounds. The usual ineffectiveness of present therapies and failure of prevention campaigns triggered overtime a number of research studies which have unveiled some relevant aspects of obesity genetic and epigenetic inheritable profiles. These findings are revealing extremely precious mainly to serve as a likely extra arrow to allow the clinician’s bow to achieve still hitherto unmet preventive goals. Evidence now exists that maternal obesity/overnutrition during pregnancy and lactation convincingly appears associated with several disorders in the offspring independently of the transmission of a purely genetic predisposition. Even the pre-conception direct exposure of either father or mother gametes to environmental factors can reprogram the epigenetic architecture of cells. Such phenomena lie behind the transfer of the obesity susceptibility to future generations through a mechanism of epigenetic inheritance. Moreover, a growing number of studies suggests that several environmental factors such as maternal malnutrition, hypoxia, and exposure to excess hormones and endocrine disruptors during pregnancy and the early postnatal period may play critical roles in programming childhood adipose tissue and obesity. A deeper understanding of how inherited genetics and epigenetics may generate an obesogenic environment at pediatric age might strengthen our knowledge about pathogenetic mechanisms and improve the clinical management of patients. Therefore, in this narrative review, we attempt to provide a general overview of the contribution of heritable genetic and epigenetic patterns to the obesity susceptibility in children, placing a particular emphasis on the mother-child dyad.","container-title":"Frontiers in Endocrinology","DOI":"10.3389/fendo.2022.1006008","ISSN":"1664-2392","journalAbbreviation":"Front. Endocrinol.","language":"en","page":"1006008","source":"DOI.org (Crossref)","title":"Genetics, epigenetics and transgenerational transmission of obesity in children","volume":"13","author":[{"family":"Panera","given":"Nadia"},{"family":"Mandato","given":"Claudia"},{"family":"Crudele","given":"Annalisa"},{"family":"Bertrando","given":"Sara"},{"family":"Vajro","given":"Pietro"},{"family":"Alisi","given":"Anna"}],"issued":{"date-parts":[["2022",11,14]]}}}],"schema":"https://github.com/citation-style-language/schema/raw/master/csl-citation.json"}</w:instrText>
      </w:r>
      <w:r>
        <w:rPr>
          <w:rFonts w:eastAsia="Calibri"/>
          <w:color w:val="0D0D0D"/>
        </w:rPr>
      </w:r>
      <w:r>
        <w:rPr>
          <w:rFonts w:eastAsia="Calibri"/>
          <w:color w:val="0D0D0D"/>
        </w:rPr>
        <w:fldChar w:fldCharType="separate"/>
      </w:r>
      <w:r>
        <w:rPr>
          <w:rFonts w:eastAsia="Calibri"/>
          <w:color w:val="0D0D0D"/>
        </w:rPr>
        <w:t>[54]</w:t>
      </w:r>
      <w:r>
        <w:rPr>
          <w:rFonts w:eastAsia="Calibri"/>
          <w:color w:val="0D0D0D"/>
        </w:rPr>
      </w:r>
      <w:r>
        <w:rPr>
          <w:rFonts w:eastAsia="Calibri"/>
          <w:color w:val="0D0D0D"/>
        </w:rPr>
        <w:fldChar w:fldCharType="end"/>
      </w:r>
      <w:r>
        <w:rPr>
          <w:rFonts w:eastAsia="Calibri"/>
          <w:color w:val="0D0D0D"/>
        </w:rPr>
        <w:t>.</w:t>
      </w:r>
    </w:p>
    <w:p>
      <w:pPr>
        <w:pStyle w:val="Normal"/>
        <w:jc w:val="both"/>
        <w:rPr>
          <w:rFonts w:eastAsia="Calibri"/>
          <w:color w:val="0D0D0D"/>
        </w:rPr>
      </w:pPr>
      <w:r>
        <w:rPr>
          <w:rFonts w:eastAsia="Calibri"/>
          <w:color w:val="0D0D0D"/>
        </w:rPr>
      </w:r>
    </w:p>
    <w:p>
      <w:pPr>
        <w:pStyle w:val="Normal"/>
        <w:keepNext w:val="true"/>
        <w:jc w:val="both"/>
        <w:rPr/>
      </w:pPr>
      <w:r>
        <w:rPr/>
        <w:drawing>
          <wp:inline distT="0" distB="0" distL="0" distR="0">
            <wp:extent cx="5278755" cy="2166620"/>
            <wp:effectExtent l="0" t="0" r="0" b="0"/>
            <wp:docPr id="13" name="Εικόνα10" descr="Εικόνα που περιέχει κείμενο, ροζ, διάγραμμα,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Εικόνα10" descr="Εικόνα που περιέχει κείμενο, ροζ, διάγραμμα, γραμματοσειρά&#10;&#10;Περιγραφή που δημιουργήθηκε αυτόματα"/>
                    <pic:cNvPicPr>
                      <a:picLocks noChangeAspect="1" noChangeArrowheads="1"/>
                    </pic:cNvPicPr>
                  </pic:nvPicPr>
                  <pic:blipFill>
                    <a:blip r:embed="rId30"/>
                    <a:stretch>
                      <a:fillRect/>
                    </a:stretch>
                  </pic:blipFill>
                  <pic:spPr bwMode="auto">
                    <a:xfrm>
                      <a:off x="0" y="0"/>
                      <a:ext cx="5278755" cy="2166620"/>
                    </a:xfrm>
                    <a:prstGeom prst="rect">
                      <a:avLst/>
                    </a:prstGeom>
                  </pic:spPr>
                </pic:pic>
              </a:graphicData>
            </a:graphic>
          </wp:inline>
        </w:drawing>
      </w:r>
    </w:p>
    <w:p>
      <w:pPr>
        <w:pStyle w:val="Caption1"/>
        <w:spacing w:lineRule="auto" w:line="240" w:before="0" w:after="0"/>
        <w:jc w:val="center"/>
        <w:rPr>
          <w:rFonts w:eastAsia="Calibri"/>
          <w:color w:val="0D0D0D"/>
        </w:rPr>
      </w:pPr>
      <w:bookmarkStart w:id="73" w:name="_Toc152764777"/>
      <w:r>
        <w:rPr/>
        <w:t xml:space="preserve">Εικόνα </w:t>
      </w:r>
      <w:r>
        <w:rPr/>
        <w:fldChar w:fldCharType="begin"/>
      </w:r>
      <w:r>
        <w:rPr/>
        <w:instrText xml:space="preserve"> SEQ Εικόνα \* ARABIC </w:instrText>
      </w:r>
      <w:r>
        <w:rPr/>
        <w:fldChar w:fldCharType="separate"/>
      </w:r>
      <w:r>
        <w:rPr/>
        <w:t>11</w:t>
      </w:r>
      <w:r>
        <w:rPr/>
        <w:fldChar w:fldCharType="end"/>
      </w:r>
      <w:r>
        <w:rPr/>
        <w:t xml:space="preserve">: </w:t>
      </w:r>
      <w:r>
        <w:rPr>
          <w:b w:val="false"/>
          <w:bCs w:val="false"/>
          <w:i/>
          <w:iCs/>
          <w:color w:val="0F0F0F"/>
          <w:sz w:val="16"/>
          <w:szCs w:val="16"/>
        </w:rPr>
        <w:t>Κληρονομική προδιάθεση για παχυσαρκία κατά την εγκυμοσύνη και μετά τη γέννηση. (Α) Κατά τη διάρκεια της εγκυμοσύνης, η πλακέντα μιας γυναίκας που εκτίθεται σε έλλειψη διατροφής, υπέρτροφης διατροφής ή ουσιών που προκαλούν παχυσαρκία υφίσταται φλεγμονή, οξείδωση/νιτροξαίνηση, επισωματιδίωση λίπους και αντίσταση στην ινσουλίνη, αυξάνοντας τον κίνδυνο παχυσαρκίας και των συνοδών της νόσων στο νεογέννητο. (Β) Ο ίδιος κίνδυνος παχυσαρκίας και συνοδών νόσων στην πρώιμη ζωή μπορεί να συνδέεται με επιδημιολογικές αλλαγές που συμβαίνουν στο γάλα του μητρικού γάλακτος.</w:t>
      </w:r>
      <w:r>
        <w:fldChar w:fldCharType="begin"/>
      </w:r>
      <w:r>
        <w:rPr>
          <w:sz w:val="16"/>
          <w:i/>
          <w:b w:val="false"/>
          <w:szCs w:val="16"/>
          <w:iCs/>
          <w:bCs w:val="false"/>
          <w:color w:val="0F0F0F"/>
        </w:rPr>
        <w:instrText xml:space="preserve">ADDIN ZOTERO_ITEM CSL_CITATION {"citationID":"dQokANOB","properties":{"formattedCitation":"[54]","plainCitation":"[54]","noteIndex":0},"citationItems":[{"id":2425,"uris":["http://zotero.org/users/local/WDVvZTBM/items/ANNDCRDK"],"itemData":{"id":2425,"type":"article-journal","abstract":"Sedentary lifestyle and consumption of high-calorie foods have caused a relentless increase of overweight and obesity prevalence at all ages. Its presently epidemic proportion is disquieting due to the tight relationship of obesity with metabolic syndrome and several other comorbidities which do call for urgent workarounds. The usual ineffectiveness of present therapies and failure of prevention campaigns triggered overtime a number of research studies which have unveiled some relevant aspects of obesity genetic and epigenetic inheritable profiles. These findings are revealing extremely precious mainly to serve as a likely extra arrow to allow the clinician’s bow to achieve still hitherto unmet preventive goals. Evidence now exists that maternal obesity/overnutrition during pregnancy and lactation convincingly appears associated with several disorders in the offspring independently of the transmission of a purely genetic predisposition. Even the pre-conception direct exposure of either father or mother gametes to environmental factors can reprogram the epigenetic architecture of cells. Such phenomena lie behind the transfer of the obesity susceptibility to future generations through a mechanism of epigenetic inheritance. Moreover, a growing number of studies suggests that several environmental factors such as maternal malnutrition, hypoxia, and exposure to excess hormones and endocrine disruptors during pregnancy and the early postnatal period may play critical roles in programming childhood adipose tissue and obesity. A deeper understanding of how inherited genetics and epigenetics may generate an obesogenic environment at pediatric age might strengthen our knowledge about pathogenetic mechanisms and improve the clinical management of patients. Therefore, in this narrative review, we attempt to provide a general overview of the contribution of heritable genetic and epigenetic patterns to the obesity susceptibility in children, placing a particular emphasis on the mother-child dyad.","container-title":"Frontiers in Endocrinology","DOI":"10.3389/fendo.2022.1006008","ISSN":"1664-2392","journalAbbreviation":"Front. Endocrinol.","language":"en","page":"1006008","source":"DOI.org (Crossref)","title":"Genetics, epigenetics and transgenerational transmission of obesity in children","volume":"13","author":[{"family":"Panera","given":"Nadia"},{"family":"Mandato","given":"Claudia"},{"family":"Crudele","given":"Annalisa"},{"family":"Bertrando","given":"Sara"},{"family":"Vajro","given":"Pietro"},{"family":"Alisi","given":"Anna"}],"issued":{"date-parts":[["2022",11,14]]}}}],"schema":"https://github.com/citation-style-language/schema/raw/master/csl-citation.json"}</w:instrText>
      </w:r>
      <w:r>
        <w:rPr>
          <w:b w:val="false"/>
          <w:bCs w:val="false"/>
          <w:i/>
          <w:iCs/>
          <w:color w:val="0F0F0F"/>
          <w:sz w:val="16"/>
          <w:szCs w:val="16"/>
        </w:rPr>
      </w:r>
      <w:r>
        <w:rPr>
          <w:sz w:val="16"/>
          <w:i/>
          <w:b w:val="false"/>
          <w:szCs w:val="16"/>
          <w:iCs/>
          <w:bCs w:val="false"/>
          <w:color w:val="0F0F0F"/>
        </w:rPr>
        <w:fldChar w:fldCharType="separate"/>
      </w:r>
      <w:r>
        <w:rPr>
          <w:b w:val="false"/>
          <w:bCs w:val="false"/>
          <w:i/>
          <w:iCs/>
          <w:color w:val="0F0F0F"/>
          <w:sz w:val="16"/>
          <w:szCs w:val="16"/>
        </w:rPr>
        <w:t>[54]</w:t>
      </w:r>
      <w:r/>
      <w:r>
        <w:rPr>
          <w:sz w:val="16"/>
          <w:i/>
          <w:b w:val="false"/>
          <w:szCs w:val="16"/>
          <w:iCs/>
          <w:bCs w:val="false"/>
          <w:color w:val="0F0F0F"/>
        </w:rPr>
        <w:fldChar w:fldCharType="end"/>
      </w:r>
      <w:r>
        <w:rPr>
          <w:b w:val="false"/>
          <w:bCs w:val="false"/>
          <w:i/>
          <w:iCs/>
          <w:color w:val="0F0F0F"/>
          <w:sz w:val="16"/>
          <w:szCs w:val="16"/>
        </w:rPr>
      </w:r>
      <w:bookmarkEnd w:id="73"/>
    </w:p>
    <w:p>
      <w:pPr>
        <w:pStyle w:val="Normal"/>
        <w:jc w:val="both"/>
        <w:rPr>
          <w:rFonts w:eastAsia="Calibri"/>
        </w:rPr>
      </w:pPr>
      <w:r>
        <w:rPr>
          <w:rFonts w:eastAsia="Calibri"/>
        </w:rPr>
        <w:tab/>
      </w:r>
    </w:p>
    <w:p>
      <w:pPr>
        <w:pStyle w:val="Normal"/>
        <w:spacing w:lineRule="auto" w:line="360"/>
        <w:ind w:firstLine="720"/>
        <w:jc w:val="both"/>
        <w:rPr>
          <w:rFonts w:eastAsia="Calibri"/>
        </w:rPr>
      </w:pPr>
      <w:r>
        <w:rPr>
          <w:rFonts w:eastAsia="Calibri"/>
        </w:rPr>
        <w:t xml:space="preserve">Το προφίλ μεθυλίωσης του DNA στο έμβρυο μπορεί να επηρεαστεί από την ποσότητα μεθυλικών δοτών στη διατροφή της μητέρας, από τις οποίες εξαρτάται ο μεθυλικός μεταβολισμός ενός άνθρωπου, συμπεριλαμβανομένων του φολικού οξέος, της μεθειονίνης, της βεταΐνης ή της χολίνης, οδηγώντας έτσι σε αρνητικές μεταβολικές επιδράσεις κατά τη διάρκεια της βρεφικής και παιδικής ηλικίας. Ελλείψεις χολίνης και βεταΐνης στη μητέρα επίσης τροποποιούν τη μεθυλίωση των γονιδίων που συμμετέχουν στην ανάπτυξη (Ρυθμιστής Κατάστασης Ανάπτυξης παρόμοιος με την Ινσουλίνη, IGRF2, κορτικοτροπίνη απελευθερωτικού ορμονίου, CRH, και πυρηνικός αντιρρησίας υποομάδας 3 ομάδας C μέλος 1, NR3C1) ή στην αγγειακή λειτουργία (αγγειογεννητικός παράγοντας αύξησης C, VEFGC, και αγγειοποιητίνη 2, ANGPT2), με αποτέλεσμα ανωμαλίες ανάπτυξης, αγγειακής διαμόρφωσης, ή αυξημένης προδιάθεσης για ανάπτυξη στεατοηπατίτιδας στα απογόνια </w:t>
      </w:r>
      <w:r>
        <w:fldChar w:fldCharType="begin"/>
      </w:r>
      <w:r>
        <w:rPr>
          <w:rFonts w:eastAsia="Calibri"/>
        </w:rPr>
        <w:instrText xml:space="preserve">ADDIN ZOTERO_ITEM CSL_CITATION {"citationID":"mrcUpLdU","properties":{"formattedCitation":"[158]","plainCitation":"[158]","noteIndex":0},"citationItems":[{"id":3173,"uris":["http://zotero.org/users/local/WDVvZTBM/items/23F7L3U9"],"itemData":{"id":3173,"type":"article-journal","abstract":"Epigenetic modifications, including DNA methylation, represent a potential mechanism for environmental impacts on human disease. Maternal smoking in pregnancy remains an important public health problem that impacts child health in a myriad of ways and has potential lifelong consequences. The mechani …","container-title":"American journal of human genetics","DOI":"10.1016/j.ajhg.2016.02.019","ISSN":"1537-6605","issue":"4","language":"en","note":"publisher: Am J Hum Genet\nPMID: 27040690","source":"pubmed.ncbi.nlm.nih.gov","title":"DNA Methylation in Newborns and Maternal Smoking in Pregnancy: Genome-wide Consortium Meta-analysis","title-short":"DNA Methylation in Newborns and Maternal Smoking in Pregnancy","URL":"https://pubmed.ncbi.nlm.nih.gov/27040690/","volume":"98","author":[{"family":"Br","given":"Joubert"},{"family":"Jf","given":"Felix"},{"family":"P","given":"Yousefi"},{"family":"Km","given":"Bakulski"},{"family":"Ac","given":"Just"},{"family":"C","given":"Breton"},{"family":"Se","given":"Reese"},{"family":"Ca","given":"Markunas"},{"family":"Rc","given":"Richmond"},{"family":"Cj","given":"Xu"},{"family":"Lk","given":"Küpers"},{"family":"Ss","given":"Oh"},{"family":"C","given":"Hoyo"},{"family":"O","given":"Gruzieva"},{"family":"C","given":"Söderhäll"},{"family":"La","given":"Salas"},{"family":"N","given":"Baïz"},{"family":"H","given":"Zhang"},{"family":"J","given":"Lepeule"},{"family":"C","given":"Ruiz"},{"family":"S","given":"Ligthart"},{"family":"T","given":"Wang"},{"family":"Ja","given":"Taylor"},{"family":"L","given":"Duijts"},{"family":"Gc","given":"Sharp"},{"family":"Sa","given":"Jankipersadsing"},{"family":"Rm","given":"Nilsen"},{"family":"A","given":"Vaez"},{"family":"Md","given":"Fallin"},{"family":"D","given":"Hu"},{"family":"Aa","given":"Litonjua"},{"family":"Bf","given":"Fuemmeler"},{"family":"K","given":"Huen"},{"family":"J","given":"Kere"},{"family":"I","given":"Kull"},{"family":"Mc","given":"Munthe-Kaas"},{"family":"U","given":"Gehring"},{"family":"M","given":"Bustamante"},{"family":"Mj","given":"Saurel-Coubizolles"},{"family":"Bm","given":"Quraishi"},{"family":"J","given":"Ren"},{"family":"J","given":"Tost"},{"family":"Jr","given":"Gonzalez"},{"family":"Mj","given":"Peters"},{"family":"Se","given":"Håberg"},{"family":"Z","given":"Xu"},{"family":"Jb","given":"van Meurs"},{"family":"Tr","given":"Gaunt"},{"family":"M","given":"Kerkhof"},{"family":"E","given":"Corpeleijn"},{"family":"Ap","given":"Feinberg"},{"family":"C","given":"Eng"},{"family":"Aa","given":"Baccarelli"},{"family":"Se","given":"Benjamin Neelon"},{"family":"A","given":"Bradman"},{"family":"Sk","given":"Merid"},{"family":"A","given":"Bergström"},{"family":"Z","given":"Herceg"},{"family":"H","given":"Hernandez-Vargas"},{"family":"B","given":"Brunekreef"},{"family":"M","given":"Pinart"},{"family":"B","given":"Heude"},{"family":"S","given":"Ewart"},{"family":"J","given":"Yao"},{"family":"N","given":"Lemonnier"},{"family":"Oh","given":"Franco"},{"family":"Mc","given":"Wu"},{"family":"A","given":"Hofman"},{"family":"W","given":"McArdle"},{"family":"P","given":"Van der Vlies"},{"family":"F","given":"Falahi"},{"family":"Mw","given":"Gillman"},{"family":"Lf","given":"Barcellos"},{"family":"A","given":"Kumar"},{"family":"M","given":"Wickman"},{"family":"S","given":"Guerra"},{"family":"Ma","given":"Charles"},{"family":"J","given":"Holloway"},{"family":"C","given":"Auffray"},{"family":"Hw","given":"Tiemeier"},{"family":"Gd","given":"Smith"},{"family":"D","given":"Postma"},{"family":"Mf","given":"Hivert"},{"family":"B","given":"Eskenazi"},{"family":"M","given":"Vrijheid"},{"family":"H","given":"Arshad"},{"family":"Jm","given":"Antó"},{"family":"A","given":"Dehghan"},{"family":"W","given":"Karmaus"},{"family":"I","given":"Annesi-Maesano"},{"family":"J","given":"Sunyer"},{"family":"A","given":"Ghantous"},{"family":"G","given":"Pershagen"},{"family":"N","given":"Holland"},{"family":"Sk","given":"Murphy"},{"family":"Dl","given":"DeMeo"},{"family":"Eg","given":"Burchard"},{"family":"C","given":"Ladd-Acosta"},{"family":"H","given":"Snieder"},{"family":"W","given":"Nystad"},{"family":"Gh","given":"Koppelman"},{"family":"Cl","given":"Relton"},{"family":"Vw","given":"Jaddoe"},{"family":"A","given":"Wilcox"},{"family":"E","given":"Melén"},{"family":"Sj","given":"London"}],"accessed":{"date-parts":[["2023",11,19]]},"issued":{"date-parts":[["2016",7,4]]}}}],"schema":"https://github.com/citation-style-language/schema/raw/master/csl-citation.json"}</w:instrText>
      </w:r>
      <w:r>
        <w:rPr>
          <w:rFonts w:eastAsia="Calibri"/>
        </w:rPr>
      </w:r>
      <w:r>
        <w:rPr>
          <w:rFonts w:eastAsia="Calibri"/>
        </w:rPr>
        <w:fldChar w:fldCharType="separate"/>
      </w:r>
      <w:r>
        <w:rPr>
          <w:rFonts w:eastAsia="Calibri"/>
        </w:rPr>
        <w:t>[158]</w:t>
      </w:r>
      <w:r>
        <w:rPr>
          <w:rFonts w:eastAsia="Calibri"/>
        </w:rPr>
      </w:r>
      <w:r>
        <w:rPr>
          <w:rFonts w:eastAsia="Calibri"/>
        </w:rPr>
        <w:fldChar w:fldCharType="end"/>
      </w:r>
      <w:r>
        <w:rPr>
          <w:rFonts w:eastAsia="Calibri"/>
        </w:rPr>
        <w:t>.</w:t>
      </w:r>
    </w:p>
    <w:p>
      <w:pPr>
        <w:pStyle w:val="Normal"/>
        <w:spacing w:lineRule="auto" w:line="360"/>
        <w:jc w:val="both"/>
        <w:rPr>
          <w:rFonts w:eastAsia="Calibri"/>
        </w:rPr>
      </w:pPr>
      <w:r>
        <w:rPr>
          <w:rFonts w:eastAsia="Calibri"/>
        </w:rPr>
        <w:tab/>
        <w:t xml:space="preserve">Τα τελευταία δέκα χρόνια, οι EWAS παρείχαν ένα χρήσιμο και επιτυχημένο εργαλείο για τον σχεδιασμό μακροχρόνιων μελετών για την παιδική παχυσαρκία. Πολλές μελέτες τόνισαν την ύπαρξη σημαντικής συσχέτισης μεταξύ μεθυλίωσης του DNA, παχυσαρκίας και ορισμένων παραγόντων κινδύνου, όπως το βάρος κατά τη γέννηση και το ΔΜΣ της μητέρας, υποστηρίζοντας την αναδυόμενη συναίνεση για την κληρονομικότητα του ΔΜΣ </w:t>
      </w:r>
      <w:r>
        <w:fldChar w:fldCharType="begin"/>
      </w:r>
      <w:r>
        <w:rPr>
          <w:rFonts w:eastAsia="Calibri"/>
        </w:rPr>
        <w:instrText xml:space="preserve">ADDIN ZOTERO_ITEM CSL_CITATION {"citationID":"hdtEwgNR","properties":{"formattedCitation":"[159], [160]","plainCitation":"[159], [160]","noteIndex":0},"citationItems":[{"id":3158,"uris":["http://zotero.org/users/local/WDVvZTBM/items/8YY9XI2E"],"itemData":{"id":3158,"type":"article-journal","abstract":"Pre-pregnancy maternal obesity is associated with adverse offspring outcomes at birth and later in life. Individual studies have shown that epigenetic modifications such as DNA methylation could contribute. Within the Pregnancy and Childhood Epigenetics ...","container-title":"Human Molecular Genetics","DOI":"10.1093/hmg/ddx290","issue":"20","language":"en","note":"publisher: Oxford University Press\nPMID: 29016858","page":"4067","source":"www.ncbi.nlm.nih.gov","title":"Maternal BMI at the start of pregnancy and offspring epigenome-wide DNA methylation: findings from the pregnancy and childhood epigenetics (PACE) consortium","title-short":"Maternal BMI at the start of pregnancy and offspring epigenome-wide DNA methylation","volume":"26","author":[{"family":"Sharp","given":"Gemma C."},{"family":"Salas","given":"Lucas A."},{"family":"Monnereau","given":"Claire"},{"family":"Allard","given":"Catherine"},{"family":"Yousefi","given":"Paul"},{"family":"Everson","given":"Todd M."},{"family":"Bohlin","given":"Jon"},{"family":"Xu","given":"Zongli"},{"family":"Huang","given":"Rae-Chi"},{"family":"Reese","given":"Sarah E."},{"family":"Xu","given":"Cheng-Jian"},{"family":"Baïz","given":"Nour"},{"family":"Hoyo","given":"Cathrine"},{"family":"Agha","given":"Golareh"},{"family":"Roy","given":"Ritu"},{"family":"Holloway","given":"John W."},{"family":"Ghantous","given":"Akram"},{"family":"Merid","given":"Simon K."},{"family":"Bakulski","given":"Kelly M."},{"family":"Küpers","given":"Leanne K."},{"family":"Zhang","given":"Hongmei"},{"family":"Richmond","given":"Rebecca C."},{"family":"Page","given":"Christian M."},{"family":"Duijts","given":"Liesbeth"},{"family":"Lie","given":"Rolv T."},{"family":"Melton","given":"Phillip E."},{"family":"Vonk","given":"Judith M."},{"family":"Nohr","given":"Ellen A."},{"family":"Williams-DeVane","given":"ClarLynda"},{"family":"Huen","given":"Karen"},{"family":"Rifas-Shiman","given":"Sheryl L."},{"family":"Ruiz-Arenas","given":"Carlos"},{"family":"Gonseth","given":"Semira"},{"family":"Rezwan","given":"Faisal I."},{"family":"Herceg","given":"Zdenko"},{"family":"Ekström","given":"Sandra"},{"family":"Croen","given":"Lisa"},{"family":"Falahi","given":"Fahimeh"},{"family":"Perron","given":"Patrice"},{"family":"Karagas","given":"Margaret R."},{"family":"Quraishi","given":"Bilal M."},{"family":"Suderman","given":"Matthew"},{"family":"Magnus","given":"Maria C."},{"family":"Jaddoe","given":"Vincent W. V."},{"family":"Taylor","given":"Jack A."},{"family":"Anderson","given":"Denise"},{"family":"Zhao","given":"Shanshan"},{"family":"Smit","given":"Henriette A."},{"family":"Josey","given":"Michele J."},{"family":"Bradman","given":"Asa"},{"family":"Baccarelli","given":"Andrea A."},{"family":"Bustamante","given":"Mariona"},{"family":"Håberg","given":"Siri E."},{"family":"Pershagen","given":"Göran"},{"family":"Hertz-Picciotto","given":"Irva"},{"family":"Newschaffer","given":"Craig"},{"family":"Corpeleijn","given":"Eva"},{"family":"Bouchard","given":"Luigi"},{"family":"Lawlor","given":"Debbie A."},{"family":"Maguire","given":"Rachel L."},{"family":"Barcellos","given":"Lisa F."},{"family":"Smith","given":"George Davey"},{"family":"Eskenazi","given":"Brenda"},{"family":"Karmaus","given":"Wilfried"},{"family":"Marsit","given":"Carmen J."},{"family":"Hivert","given":"Marie-France"},{"family":"Snieder","given":"Harold"},{"family":"Fallin","given":"M. Daniele"},{"family":"Melén","given":"Erik"},{"family":"Munthe-Kaas","given":"Monica C."},{"family":"Arshad","given":"Hasan"},{"family":"Wiemels","given":"Joseph L."},{"family":"Annesi-Maesano","given":"Isabella"},{"family":"Vrijheid","given":"Martine"},{"family":"Oken","given":"Emily"},{"family":"Holland","given":"Nina"},{"family":"Murphy","given":"Susan K."},{"family":"Sørensen","given":"Thorkild I. A."},{"family":"Koppelman","given":"Gerard H."},{"family":"Newnham","given":"John P."},{"family":"Wilcox","given":"Allen J."},{"family":"Nystad","given":"Wenche"},{"family":"London","given":"Stephanie J."},{"family":"Felix","given":"Janine F."},{"family":"Relton","given":"Caroline L."}],"issued":{"date-parts":[["2017",10,10]]}}},{"id":3156,"uris":["http://zotero.org/users/local/WDVvZTBM/items/UWB8LG4P"],"itemData":{"id":3156,"type":"article-journal","abstract":"Birthweight is associated with health outcomes across the life course, DNA methylation may be an underlying mechanism. In this meta-analysis of epigenome-wide association studies of 8,825 neonates from 24 birth cohorts in the Pregnancy And Childhood Epigenetics Consortium, we find that DNA methylati …","container-title":"Nature communications","DOI":"10.1038/s41467-019-09671-3","ISSN":"2041-1723","issue":"1","language":"en","note":"publisher: Nat Commun\nPMID: 31015461","source":"pubmed.ncbi.nlm.nih.gov","title":"Meta-analysis of epigenome-wide association studies in neonates reveals widespread differential DNA methylation associated with birthweight","URL":"https://pubmed.ncbi.nlm.nih.gov/31015461/","volume":"10","author":[{"family":"Lk","given":"Küpers"},{"family":"C","given":"Monnereau"},{"family":"Gc","given":"Sharp"},{"family":"P","given":"Yousefi"},{"family":"La","given":"Salas"},{"family":"A","given":"Ghantous"},{"family":"Cm","given":"Page"},{"family":"Se","given":"Reese"},{"family":"Aj","given":"Wilcox"},{"family":"D","given":"Czamara"},{"family":"Ap","given":"Starling"},{"family":"A","given":"Novoloaca"},{"family":"S","given":"Lent"},{"family":"R","given":"Roy"},{"family":"C","given":"Hoyo"},{"family":"Cv","given":"Breton"},{"family":"C","given":"Allard"},{"family":"Ac","given":"Just"},{"family":"Km","given":"Bakulski"},{"family":"Jw","given":"Holloway"},{"family":"Tm","given":"Everson"},{"family":"Cj","given":"Xu"},{"family":"Rc","given":"Huang"},{"family":"Da","given":"van der Plaat"},{"family":"M","given":"Wielscher"},{"family":"Sk","given":"Merid"},{"family":"V","given":"Ullemar"},{"family":"Fi","given":"Rezwan"},{"family":"J","given":"Lahti"},{"family":"J","given":"van Dongen"},{"family":"Sas","given":"Langie"},{"family":"Tg","given":"Richardson"},{"family":"Mc","given":"Magnus"},{"family":"Ea","given":"Nohr"},{"family":"Z","given":"Xu"},{"family":"L","given":"Duijts"},{"family":"S","given":"Zhao"},{"family":"W","given":"Zhang"},{"family":"M","given":"Plusquin"},{"family":"Dl","given":"DeMeo"},{"family":"O","given":"Solomon"},{"family":"Jh","given":"Heimovaara"},{"family":"Dd","given":"Jima"},{"family":"L","given":"Gao"},{"family":"M","given":"Bustamante"},{"family":"P","given":"Perron"},{"family":"Ro","given":"Wright"},{"family":"I","given":"Hertz-Picciotto"},{"family":"H","given":"Zhang"},{"family":"Mr","given":"Karagas"},{"family":"U","given":"Gehring"},{"family":"Cj","given":"Marsit"},{"family":"Lj","given":"Beilin"},{"family":"Jm","given":"Vonk"},{"family":"Mr","given":"Jarvelin"},{"family":"A","given":"Bergström"},{"family":"Ak","given":"Örtqvist"},{"family":"S","given":"Ewart"},{"family":"Pm","given":"Villa"},{"family":"Se","given":"Moore"},{"family":"G","given":"Willemsen"},{"family":"Arl","given":"Standaert"},{"family":"Se","given":"Håberg"},{"family":"Tia","given":"Sørensen"},{"family":"Ja","given":"Taylor"},{"family":"K","given":"Räikkönen"},{"family":"Iv","given":"Yang"},{"family":"K","given":"Kechris"},{"family":"Ts","given":"Nawrot"},{"family":"Mj","given":"Silver"},{"family":"Yy","given":"Gong"},{"family":"L","given":"Richiardi"},{"family":"M","given":"Kogevinas"},{"family":"Aa","given":"Litonjua"},{"family":"B","given":"Eskenazi"},{"family":"K","given":"Huen"},{"family":"H","given":"Mbarek"},{"family":"Rl","given":"Maguire"},{"family":"T","given":"Dwyer"},{"family":"M","given":"Vrijheid"},{"family":"L","given":"Bouchard"},{"family":"Aa","given":"Baccarelli"},{"family":"La","given":"Croen"},{"family":"W","given":"Karmaus"},{"family":"D","given":"Anderson"},{"family":"M","given":"de Vries"},{"family":"S","given":"Sebert"},{"family":"J","given":"Kere"},{"family":"R","given":"Karlsson"},{"family":"Sh","given":"Arshad"},{"family":"E","given":"Hämäläinen"},{"family":"Mn","given":"Routledge"},{"family":"Di","given":"Boomsma"},{"family":"Ap","given":"Feinberg"},{"family":"Cj","given":"Newschaffer"},{"family":"E","given":"Govarts"},{"family":"M","given":"Moisse"},{"family":"Md","given":"Fallin"},{"family":"E","given":"Melén"},{"family":"Am","given":"Prentice"},{"family":"E","given":"Kajantie"},{"family":"C","given":"Almqvist"},{"family":"E","given":"Oken"},{"family":"D","given":"Dabelea"},{"family":"Hm","given":"Boezen"},{"family":"Pe","given":"Melton"},{"family":"Rj","given":"Wright"},{"family":"Gh","given":"Koppelman"},{"family":"L","given":"Trevisi"},{"family":"Mf","given":"Hivert"},{"family":"J","given":"Sunyer"},{"family":"Mc","given":"Munthe-Kaas"},{"family":"Sk","given":"Murphy"},{"family":"E","given":"Corpeleijn"},{"family":"J","given":"Wiemels"},{"family":"N","given":"Holland"},{"family":"Z","given":"Herceg"},{"family":"Eb","given":"Binder"},{"family":"G","given":"Davey Smith"},{"family":"Vwv","given":"Jaddoe"},{"family":"Rt","given":"Lie"},{"family":"W","given":"Nystad"},{"family":"Sj","given":"London"},{"family":"Da","given":"Lawlor"},{"family":"Cl","given":"Relton"},{"family":"H","given":"Snieder"},{"family":"Jf","given":"Felix"}],"accessed":{"date-parts":[["2023",11,19]]},"issued":{"date-parts":[["2019",4,23]]}}}],"schema":"https://github.com/citation-style-language/schema/raw/master/csl-citation.json"}</w:instrText>
      </w:r>
      <w:r>
        <w:rPr>
          <w:rFonts w:eastAsia="Calibri"/>
        </w:rPr>
      </w:r>
      <w:r>
        <w:rPr>
          <w:rFonts w:eastAsia="Calibri"/>
        </w:rPr>
        <w:fldChar w:fldCharType="separate"/>
      </w:r>
      <w:r>
        <w:rPr>
          <w:rFonts w:eastAsia="Calibri"/>
        </w:rPr>
        <w:t>[159], [160]</w:t>
      </w:r>
      <w:r>
        <w:rPr>
          <w:rFonts w:eastAsia="Calibri"/>
        </w:rPr>
      </w:r>
      <w:r>
        <w:rPr>
          <w:rFonts w:eastAsia="Calibri"/>
        </w:rPr>
        <w:fldChar w:fldCharType="end"/>
      </w:r>
      <w:r>
        <w:rPr>
          <w:rFonts w:eastAsia="Calibri"/>
        </w:rPr>
        <w:t xml:space="preserve">. </w:t>
      </w:r>
    </w:p>
    <w:p>
      <w:pPr>
        <w:pStyle w:val="Normal"/>
        <w:spacing w:lineRule="auto" w:line="360"/>
        <w:ind w:firstLine="720"/>
        <w:jc w:val="both"/>
        <w:rPr>
          <w:rFonts w:eastAsia="Calibri"/>
        </w:rPr>
      </w:pPr>
      <w:r>
        <w:rPr>
          <w:rFonts w:eastAsia="Calibri"/>
        </w:rPr>
        <w:t xml:space="preserve">Η μεθυλίωση του γονιδίου λεπτίνης και του ρυθμιστή της (LEPR) προωθεί την ιδέα ότι επιγενετικές παραλλαγές που συνδέονται με εκτρώματα εντός της μήτρας και με μεθυλίωση του DNA μπορούν να επηρεάσουν την παιδική παχυσαρκία. Μια επιπλέον μελέτη έδειξε ότι η ελλιπής προσλήψη βάρους της μητέρας κατά την εγκυμοσύνη συσχετίζεται με αυξημένη μεθυλίωση του LEPR, επηρεάζοντας έτσι την έκφραση της πρωτεΐνης στη φλέβα ομφαλού νεογνών </w:t>
      </w:r>
      <w:r>
        <w:fldChar w:fldCharType="begin"/>
      </w:r>
      <w:r>
        <w:rPr>
          <w:rFonts w:eastAsia="Calibri"/>
        </w:rPr>
        <w:instrText xml:space="preserve">ADDIN ZOTERO_ITEM CSL_CITATION {"citationID":"vFWRXj9A","properties":{"formattedCitation":"[161]","plainCitation":"[161]","noteIndex":0},"citationItems":[{"id":3160,"uris":["http://zotero.org/users/local/WDVvZTBM/items/7ZPA9ISM"],"itemData":{"id":3160,"type":"article-journal","abstract":"Understanding the regulatory mechanisms that affect obesogenic genes expression in newborns is essential for early prevention efforts, but they remain unclear. Our study aimed to explore whether the maternal p-BMI and GWG were associated with regulatory single-locus DNA methylation in selected obesogenic genes. For this purpose, DNA methylation was assayed by Methylation-Sensitive High Resolution Melting (MS-HRM) technique and Sanger allele-bisulfite sequencing in fifty samples of umbilical vein to evaluate glucosamine-6-phosphate deaminase 2 (GNPDA2), peroxisome proliferator-activated receptor gamma coactivator 1 alpha (PGC1α), and leptin receptor (LEPR) genes. Correlations between DNA methylation levels and indicators of maternal nutritional status were carried out. Western blotting was used to evaluate protein expression in extracts of the same samples. Results indicated that GNPDA2 and PGC1α genes have the same level of DNA methylation in all samples; however, a differential DNA methylation of LEPR gene promoter was found, correlating it with GWG and this correlation is unaffected by maternal age or unhealthy habits. Furthermore, leptin receptor (Lep-Rb) was upregulated in samples that showed the lowest levels of DNA methylation. This study highlights the association between poor GWG and adjustments on obesogenic genes expression in newborn tissues with potential consequences for development of obesity in the future.","container-title":"PLOS ONE","DOI":"10.1371/journal.pone.0226010","ISSN":"1932-6203","issue":"12","journalAbbreviation":"PLOS ONE","language":"en","note":"publisher: Public Library of Science","page":"e0226010","source":"journals.plos.org","title":"Influence of pre-pregnancy body mass index (p-BMI) and gestational weight gain (GWG) on DNA methylation and protein expression of obesogenic genes in umbilical vein","volume":"14","author":[{"family":"Chavira-Suárez","given":"Erika"},{"family":"Ramírez-Mendieta","given":"Angélica Jazmín"},{"family":"Martínez-Gutiérrez","given":"Sofía"},{"family":"Zárate-Segura","given":"Paola"},{"family":"Beltrán-Montoya","given":"Jorge"},{"family":"Espinosa-Maldonado","given":"Nidia Carolina"},{"family":"Cerda-Ángeles","given":"Juan Carlos","dropping-particle":"de la"},{"family":"Vadillo-Ortega","given":"Felipe"}],"issued":{"date-parts":[["2019",11,3]]}}}],"schema":"https://github.com/citation-style-language/schema/raw/master/csl-citation.json"}</w:instrText>
      </w:r>
      <w:r>
        <w:rPr>
          <w:rFonts w:eastAsia="Calibri"/>
        </w:rPr>
      </w:r>
      <w:r>
        <w:rPr>
          <w:rFonts w:eastAsia="Calibri"/>
        </w:rPr>
        <w:fldChar w:fldCharType="separate"/>
      </w:r>
      <w:r>
        <w:rPr>
          <w:rFonts w:eastAsia="Calibri"/>
        </w:rPr>
        <w:t>[161]</w:t>
      </w:r>
      <w:r>
        <w:rPr>
          <w:rFonts w:eastAsia="Calibri"/>
        </w:rPr>
      </w:r>
      <w:r>
        <w:rPr>
          <w:rFonts w:eastAsia="Calibri"/>
        </w:rPr>
        <w:fldChar w:fldCharType="end"/>
      </w:r>
      <w:r>
        <w:rPr>
          <w:rFonts w:eastAsia="Calibri"/>
        </w:rPr>
        <w:t>.</w:t>
      </w:r>
    </w:p>
    <w:p>
      <w:pPr>
        <w:pStyle w:val="Normal"/>
        <w:spacing w:lineRule="auto" w:line="360"/>
        <w:jc w:val="both"/>
        <w:rPr>
          <w:rFonts w:eastAsia="Calibri"/>
        </w:rPr>
      </w:pPr>
      <w:r>
        <w:rPr>
          <w:rFonts w:eastAsia="Calibri"/>
        </w:rPr>
        <w:tab/>
        <w:t xml:space="preserve">Πρόσφατη συστηματική ανασκόπηση ανέφερε δεδομένα από την έρευνα EWAS που διερεύνησε τα επίπεδα μεθυλίωσης του DNA σε δείγματα περιφερικού αίματος ή ομφαλικού αίματος παιδιών με ή χωρίς παχυσαρκία και/ή υπερβάρωση. Συνολικά, 19 μελέτες από τις 23 εντόπισαν μια συσχέτιση μεταξύ των ανθρωπομετρικών παραμέτρων της παιδικής ηλικίας με τουλάχιστον μία μεθυλιωμένη θέση CpG ή περιοχή. Σε τέσσερα γονίδια [histone deacetylase 4 (HDAC4), προλακτίνη-απελευθερωτικός υποδοχέας ορμονών (PRLHR), tenascin XB (TNXB), και PR domain containing 16 (PRDM16)] βρέθηκε η συσχέτιση ενός προφίλ μεθυλίωσης του DNA με την παιδική παχυσαρκία </w:t>
      </w:r>
      <w:r>
        <w:fldChar w:fldCharType="begin"/>
      </w:r>
      <w:r>
        <w:rPr>
          <w:rFonts w:eastAsia="Calibri"/>
        </w:rPr>
        <w:instrText xml:space="preserve">ADDIN ZOTERO_ITEM CSL_CITATION {"citationID":"jEeVULoU","properties":{"formattedCitation":"[54]","plainCitation":"[54]","noteIndex":0},"citationItems":[{"id":2425,"uris":["http://zotero.org/users/local/WDVvZTBM/items/ANNDCRDK"],"itemData":{"id":2425,"type":"article-journal","abstract":"Sedentary lifestyle and consumption of high-calorie foods have caused a relentless increase of overweight and obesity prevalence at all ages. Its presently epidemic proportion is disquieting due to the tight relationship of obesity with metabolic syndrome and several other comorbidities which do call for urgent workarounds. The usual ineffectiveness of present therapies and failure of prevention campaigns triggered overtime a number of research studies which have unveiled some relevant aspects of obesity genetic and epigenetic inheritable profiles. These findings are revealing extremely precious mainly to serve as a likely extra arrow to allow the clinician’s bow to achieve still hitherto unmet preventive goals. Evidence now exists that maternal obesity/overnutrition during pregnancy and lactation convincingly appears associated with several disorders in the offspring independently of the transmission of a purely genetic predisposition. Even the pre-conception direct exposure of either father or mother gametes to environmental factors can reprogram the epigenetic architecture of cells. Such phenomena lie behind the transfer of the obesity susceptibility to future generations through a mechanism of epigenetic inheritance. Moreover, a growing number of studies suggests that several environmental factors such as maternal malnutrition, hypoxia, and exposure to excess hormones and endocrine disruptors during pregnancy and the early postnatal period may play critical roles in programming childhood adipose tissue and obesity. A deeper understanding of how inherited genetics and epigenetics may generate an obesogenic environment at pediatric age might strengthen our knowledge about pathogenetic mechanisms and improve the clinical management of patients. Therefore, in this narrative review, we attempt to provide a general overview of the contribution of heritable genetic and epigenetic patterns to the obesity susceptibility in children, placing a particular emphasis on the mother-child dyad.","container-title":"Frontiers in Endocrinology","DOI":"10.3389/fendo.2022.1006008","ISSN":"1664-2392","journalAbbreviation":"Front. Endocrinol.","language":"en","page":"1006008","source":"DOI.org (Crossref)","title":"Genetics, epigenetics and transgenerational transmission of obesity in children","volume":"13","author":[{"family":"Panera","given":"Nadia"},{"family":"Mandato","given":"Claudia"},{"family":"Crudele","given":"Annalisa"},{"family":"Bertrando","given":"Sara"},{"family":"Vajro","given":"Pietro"},{"family":"Alisi","given":"Anna"}],"issued":{"date-parts":[["2022",11,14]]}}}],"schema":"https://github.com/citation-style-language/schema/raw/master/csl-citation.json"}</w:instrText>
      </w:r>
      <w:r>
        <w:rPr>
          <w:rFonts w:eastAsia="Calibri"/>
        </w:rPr>
      </w:r>
      <w:r>
        <w:rPr>
          <w:rFonts w:eastAsia="Calibri"/>
        </w:rPr>
        <w:fldChar w:fldCharType="separate"/>
      </w:r>
      <w:r>
        <w:rPr>
          <w:rFonts w:eastAsia="Calibri"/>
        </w:rPr>
        <w:t>[54]</w:t>
      </w:r>
      <w:r>
        <w:rPr>
          <w:rFonts w:eastAsia="Calibri"/>
        </w:rPr>
      </w:r>
      <w:r>
        <w:rPr>
          <w:rFonts w:eastAsia="Calibri"/>
        </w:rPr>
        <w:fldChar w:fldCharType="end"/>
      </w:r>
      <w:r>
        <w:rPr>
          <w:rFonts w:eastAsia="Calibri"/>
        </w:rPr>
        <w:t>.</w:t>
      </w:r>
    </w:p>
    <w:p>
      <w:pPr>
        <w:pStyle w:val="Normal"/>
        <w:spacing w:lineRule="auto" w:line="360"/>
        <w:jc w:val="both"/>
        <w:rPr>
          <w:rFonts w:eastAsia="Calibri"/>
        </w:rPr>
      </w:pPr>
      <w:r>
        <w:rPr>
          <w:rFonts w:eastAsia="Calibri"/>
        </w:rPr>
        <w:tab/>
        <w:t>Μια μελέτη μετα-ανάλυσης που αφορούσε δεδομένα από τις EWAS επτά συνόλων που συμμετείχαν στο Συνασπισμό Επιγενετικής της Κύησης και της Παιδικής Ηλικίας (P</w:t>
      </w:r>
      <w:r>
        <w:rPr>
          <w:rFonts w:eastAsia="Calibri"/>
          <w:lang w:val="en-US"/>
        </w:rPr>
        <w:t>regnancy</w:t>
      </w:r>
      <w:r>
        <w:rPr>
          <w:rFonts w:eastAsia="Calibri"/>
        </w:rPr>
        <w:t xml:space="preserve"> </w:t>
      </w:r>
      <w:r>
        <w:rPr>
          <w:rFonts w:eastAsia="Calibri"/>
          <w:lang w:val="en-US"/>
        </w:rPr>
        <w:t>and</w:t>
      </w:r>
      <w:r>
        <w:rPr>
          <w:rFonts w:eastAsia="Calibri"/>
        </w:rPr>
        <w:t xml:space="preserve"> </w:t>
      </w:r>
      <w:r>
        <w:rPr>
          <w:rFonts w:eastAsia="Calibri"/>
          <w:lang w:val="en-US"/>
        </w:rPr>
        <w:t>Childhood</w:t>
      </w:r>
      <w:r>
        <w:rPr>
          <w:rFonts w:eastAsia="Calibri"/>
        </w:rPr>
        <w:t xml:space="preserve"> </w:t>
      </w:r>
      <w:r>
        <w:rPr>
          <w:rFonts w:eastAsia="Calibri"/>
          <w:lang w:val="en-US"/>
        </w:rPr>
        <w:t>Epigenetics</w:t>
      </w:r>
      <w:r>
        <w:rPr>
          <w:rFonts w:eastAsia="Calibri"/>
        </w:rPr>
        <w:t xml:space="preserve">-PACE) βρήκε ότι </w:t>
      </w:r>
      <w:r>
        <w:rPr>
          <w:rFonts w:eastAsia="Calibri"/>
          <w:lang w:val="en-US"/>
        </w:rPr>
        <w:t>o</w:t>
      </w:r>
      <w:r>
        <w:rPr>
          <w:rFonts w:eastAsia="Calibri"/>
        </w:rPr>
        <w:t xml:space="preserve"> σακχαρώδης διαβήτης κατά τη διάρκεια της κύησης (GDM) συσχετίζεται με χαμηλότερα επίπεδα μεθυλίωσης στο ομφαλικό αίμα εντός δύο περιοχών. Μια περιοχή που καλύπτει τον προωθητή του γονιδίου OR2L13, ένα γονίδιο που συσχετίζεται με το φάσμα του αυτιστικού φάσματος, και μια άλλη που καλύπτει το γονίδιο cytochrome P450 family 2 subfamily E member 1 (CYP2E1), το οποίο είναι υπερεκφραζόμενο στον τύπο 1 και τον T2D </w:t>
      </w:r>
      <w:r>
        <w:fldChar w:fldCharType="begin"/>
      </w:r>
      <w:r>
        <w:rPr>
          <w:rFonts w:eastAsia="Calibri"/>
        </w:rPr>
        <w:instrText xml:space="preserve">ADDIN ZOTERO_ITEM CSL_CITATION {"citationID":"ALjitVaa","properties":{"formattedCitation":"[162]","plainCitation":"[162]","noteIndex":0},"citationItems":[{"id":3161,"uris":["http://zotero.org/users/local/WDVvZTBM/items/4LE2YFPR"],"itemData":{"id":3161,"type":"article-journal","abstract":"Maternal GDM was associated with lower cord blood methylation levels within two regions, including the promoter of &lt;i&gt;OR2L13&lt;/i&gt;, a gene associated with autism spectrum disorder, and the gene body of &lt;i&gt;CYP2E1&lt;/i&gt;, which is upregulated in type 1 and type 2 diabetes. Future studies are needed to unde …","container-title":"Diabetes care","DOI":"10.2337/dc19-0524","ISSN":"1935-5548","issue":"1","language":"en","note":"publisher: Diabetes Care\nPMID: 31601636","source":"pubmed.ncbi.nlm.nih.gov","title":"Maternal Gestational Diabetes Mellitus and Newborn DNA Methylation: Findings From the Pregnancy and Childhood Epigenetics Consortium","title-short":"Maternal Gestational Diabetes Mellitus and Newborn DNA Methylation","URL":"https://pubmed.ncbi.nlm.nih.gov/31601636/","volume":"43","author":[{"family":"Cg","given":"Howe"},{"family":"B","given":"Cox"},{"family":"R","given":"Fore"},{"family":"J","given":"Jungius"},{"family":"T","given":"Kvist"},{"family":"S","given":"Lent"},{"family":"He","given":"Miles"},{"family":"La","given":"Salas"},{"family":"S","given":"Rifas-Shiman"},{"family":"Ap","given":"Starling"},{"family":"P","given":"Yousefi"},{"family":"C","given":"Ladd-Acosta"},{"family":"A","given":"Baccarelli"},{"family":"Eb","given":"Binder"},{"family":"Vl","given":"Chatzi"},{"family":"D","given":"Czamara"},{"family":"D","given":"Dabelea"},{"family":"Dl","given":"DeMeo"},{"family":"A","given":"Ghantous"},{"family":"Z","given":"Herceg"},{"family":"E","given":"Kajantie"},{"family":"Jmt","given":"Lahti"},{"family":"Da","given":"Lawlor"},{"family":"A","given":"Litonjua"},{"family":"Ts","given":"Nawrot"},{"family":"Ea","given":"Nohr"},{"family":"E","given":"Oken"},{"family":"C","given":"Pizzi"},{"family":"M","given":"Plusquin"},{"family":"K","given":"Räikkönen"},{"family":"Cl","given":"Relton"},{"family":"Gc","given":"Sharp"},{"family":"Tia","given":"Sørensen"},{"family":"J","given":"Sunyer"},{"family":"M","given":"Vrijheid"},{"family":"W","given":"Zhang"},{"family":"Mf","given":"Hivert"},{"family":"Cv","given":"Breton"}],"accessed":{"date-parts":[["2023",11,19]]},"issued":{"date-parts":[["2020",1]]}}}],"schema":"https://github.com/citation-style-language/schema/raw/master/csl-citation.json"}</w:instrText>
      </w:r>
      <w:r>
        <w:rPr>
          <w:rFonts w:eastAsia="Calibri"/>
        </w:rPr>
      </w:r>
      <w:r>
        <w:rPr>
          <w:rFonts w:eastAsia="Calibri"/>
        </w:rPr>
        <w:fldChar w:fldCharType="separate"/>
      </w:r>
      <w:r>
        <w:rPr>
          <w:rFonts w:eastAsia="Calibri"/>
        </w:rPr>
        <w:t>[162]</w:t>
      </w:r>
      <w:r>
        <w:rPr>
          <w:rFonts w:eastAsia="Calibri"/>
        </w:rPr>
      </w:r>
      <w:r>
        <w:rPr>
          <w:rFonts w:eastAsia="Calibri"/>
        </w:rPr>
        <w:fldChar w:fldCharType="end"/>
      </w:r>
      <w:r>
        <w:rPr>
          <w:rFonts w:eastAsia="Calibri"/>
        </w:rPr>
        <w:t>.</w:t>
      </w:r>
    </w:p>
    <w:p>
      <w:pPr>
        <w:pStyle w:val="Normal"/>
        <w:spacing w:lineRule="auto" w:line="360"/>
        <w:jc w:val="both"/>
        <w:rPr>
          <w:rFonts w:eastAsia="Calibri"/>
        </w:rPr>
      </w:pPr>
      <w:r>
        <w:rPr>
          <w:rFonts w:eastAsia="Calibri"/>
        </w:rPr>
        <w:tab/>
        <w:t xml:space="preserve">Μια πρόσφατη μελέτη EWAS χρησιμοποιώντας δείγματα αίματος μητέρας και ομφαλικού αίματος από την μελέτη FinnGeDi (Φινλανδικός Διαβήτης κατά τη Κύηση) (298 ζεύγη μητέρας-απογόνου με GDM και 238 χωρίς) είχε ως στόχο να διερευνήσει τις επιπτώσεις της επιγενετικής στο παιδί σε απάντηση στην έκθεση σε GDM και τα επίπεδα μεθυλίωσης της μητέρας </w:t>
      </w:r>
      <w:r>
        <w:fldChar w:fldCharType="begin"/>
      </w:r>
      <w:r>
        <w:rPr>
          <w:rFonts w:eastAsia="Calibri"/>
        </w:rPr>
        <w:instrText xml:space="preserve">ADDIN ZOTERO_ITEM CSL_CITATION {"citationID":"OiMSgZiS","properties":{"formattedCitation":"[163]","plainCitation":"[163]","noteIndex":0},"citationItems":[{"id":3164,"uris":["http://zotero.org/users/local/WDVvZTBM/items/GPHSTHTI"],"itemData":{"id":3164,"type":"article-journal","abstract":"Gestational diabetes mellitus (GDM) is associated with an increased risk of obesity and insulin resistance in offspring later in life, which might be explained by epigenetic changes in response to maternal hyperglycemic exposure.We explored the association ...","container-title":"Diabetes Care","DOI":"10.2337/dc20-2960","issue":"9","language":"en","note":"publisher: American Diabetes Association\nPMID: 34116986","page":"1992","source":"www.ncbi.nlm.nih.gov","title":"Epigenome-Wide Association Study Reveals Methylation Loci Associated With Offspring Gestational Diabetes Mellitus Exposure and Maternal Methylome","volume":"44","author":[{"family":"Canouil","given":"Mickaël"},{"family":"Khamis","given":"Amna"},{"family":"Keikkala","given":"Elina"},{"family":"Hummel","given":"Sandra"},{"family":"Lobbens","given":"Stephane"},{"family":"Bonnefond","given":"Amélie"},{"family":"Delahaye","given":"Fabien"},{"family":"Tzala","given":"Evangelia"},{"family":"Mustaniemi","given":"Sanna"},{"family":"Vääräsmäki","given":"Marja"},{"family":"Jarvelin","given":"Marjo-Riitta"},{"family":"Sebert","given":"Sylvain"},{"family":"Kajantie","given":"Eero"},{"family":"Froguel","given":"Philippe"},{"family":"Andrew","given":"Toby"}],"issued":{"date-parts":[["2021",9]]}}}],"schema":"https://github.com/citation-style-language/schema/raw/master/csl-citation.json"}</w:instrText>
      </w:r>
      <w:r>
        <w:rPr>
          <w:rFonts w:eastAsia="Calibri"/>
        </w:rPr>
      </w:r>
      <w:r>
        <w:rPr>
          <w:rFonts w:eastAsia="Calibri"/>
        </w:rPr>
        <w:fldChar w:fldCharType="separate"/>
      </w:r>
      <w:r>
        <w:rPr>
          <w:rFonts w:eastAsia="Calibri"/>
        </w:rPr>
        <w:t>[163]</w:t>
      </w:r>
      <w:r>
        <w:rPr>
          <w:rFonts w:eastAsia="Calibri"/>
        </w:rPr>
      </w:r>
      <w:r>
        <w:rPr>
          <w:rFonts w:eastAsia="Calibri"/>
        </w:rPr>
        <w:fldChar w:fldCharType="end"/>
      </w:r>
      <w:r>
        <w:rPr>
          <w:rFonts w:eastAsia="Calibri"/>
        </w:rPr>
        <w:t>. Με ανάλυση γραμμικής παλινδρόμησης, οι συγγραφείς βρήκαν σημαντική συσχέτιση της μεθυλίωσης στο γονίδιο του παράγοντα μεταγραφής CP2 (TFCP2) στα απόγονα της έκθεσης σε GDM και της μητρικής μεθυλίωσης. Επιπλέον, χρησιμοποιώντας το ποσοστό ανακάλυψης ψευδών, οι συγγραφείς βρήκαν επτά σημαντικές διαφορές στη μεθυλίωση του DNA μεταξύ της μητρικής μεθυλίωσης και της κατάστασης GDM. Αυτά τα l</w:t>
      </w:r>
      <w:r>
        <w:rPr>
          <w:rFonts w:eastAsia="Calibri"/>
          <w:lang w:val="en-US"/>
        </w:rPr>
        <w:t>oci</w:t>
      </w:r>
      <w:r>
        <w:rPr>
          <w:rFonts w:eastAsia="Calibri"/>
        </w:rPr>
        <w:t xml:space="preserve"> περιλάμβαναν: το γονίδιο DLG-Associated Protein 2 (DLGAP2), το γονίδιο H3 clustered histone 6 (H3C6), το γονίδιο family with sequence similarity 13 member A (FAM13A), το γονίδιο ubiquitin protein ligase E3C (UBE3C), το LOC127841, και δύο τοποθεσίες εντός των μεταγενετικών περιοχών. Επιπλέον, είναι ενδιαφέρον αν σημειωθεί ότι τα DLGAP2 και FAM13A, που έχουν προηγουμένως εντοπιστεί, ότι έχουν ρόλο που συσχετίζεται με τον διαβήτη και τη μητρική ανοσία στην εγκυμοσύνη, υποδεικνύοντας ένα πιθανό ρόλο της μεθυλίωσής τους στον μελλοντικό κίνδυνο παχυσαρκίας και T2D στα απόγονα </w:t>
      </w:r>
      <w:r>
        <w:fldChar w:fldCharType="begin"/>
      </w:r>
      <w:r>
        <w:rPr>
          <w:rFonts w:eastAsia="Calibri"/>
        </w:rPr>
        <w:instrText xml:space="preserve">ADDIN ZOTERO_ITEM CSL_CITATION {"citationID":"mTTZXkpw","properties":{"formattedCitation":"[164]","plainCitation":"[164]","noteIndex":0},"citationItems":[{"id":3168,"uris":["http://zotero.org/users/local/WDVvZTBM/items/R532S22T"],"itemData":{"id":3168,"type":"article-journal","abstract":"The placenta participates in maternal insulin sensitivity changes during pregnancy; however, mechanisms remain unclear. We investigated associations between maternal insulin sensitivity and placental DNA methylation markers across the genome. We analyzed data from 430 mother-offspring dyads in the G …","container-title":"Diabetes","DOI":"10.2337/db19-0798","ISSN":"1939-327X","issue":"3","language":"en","note":"publisher: Diabetes\nPMID: 31882564","source":"pubmed.ncbi.nlm.nih.gov","title":"Interplay of Placental DNA Methylation and Maternal Insulin Sensitivity in Pregnancy","URL":"https://pubmed.ncbi.nlm.nih.gov/31882564/","volume":"69","author":[{"family":"Mf","given":"Hivert"},{"family":"A","given":"Cardenas"},{"family":"C","given":"Allard"},{"family":"M","given":"Doyon"},{"family":"Ce","given":"Powe"},{"family":"Pm","given":"Catalano"},{"family":"P","given":"Perron"},{"family":"L","given":"Bouchard"}],"accessed":{"date-parts":[["2023",11,19]]},"issued":{"date-parts":[["2020",3]]}}}],"schema":"https://github.com/citation-style-language/schema/raw/master/csl-citation.json"}</w:instrText>
      </w:r>
      <w:r>
        <w:rPr>
          <w:rFonts w:eastAsia="Calibri"/>
        </w:rPr>
      </w:r>
      <w:r>
        <w:rPr>
          <w:rFonts w:eastAsia="Calibri"/>
        </w:rPr>
        <w:fldChar w:fldCharType="separate"/>
      </w:r>
      <w:r>
        <w:rPr>
          <w:rFonts w:eastAsia="Calibri"/>
        </w:rPr>
        <w:t>[164]</w:t>
      </w:r>
      <w:r>
        <w:rPr>
          <w:rFonts w:eastAsia="Calibri"/>
        </w:rPr>
      </w:r>
      <w:r>
        <w:rPr>
          <w:rFonts w:eastAsia="Calibri"/>
        </w:rPr>
        <w:fldChar w:fldCharType="end"/>
      </w:r>
      <w:r>
        <w:rPr>
          <w:rFonts w:eastAsia="Calibri"/>
        </w:rPr>
        <w:t xml:space="preserve">. Επιπλέον, οι αλλαγές στη μεθυλίωση και στα δύο γονίδια FAM13A και DLGAP2 σε νεογέννητα συνδέθηκαν επίσης με αλλαγές στο περιβάλλον κατά τη διάρκεια της εγκυμοσύνης, συμπεριλαμβανομένης της ατμοσφαιρικής ρύπανσης και του καπνίσματος κατά την εγκυμοσύνη, αντίστοιχα </w:t>
      </w:r>
      <w:r>
        <w:fldChar w:fldCharType="begin"/>
      </w:r>
      <w:r>
        <w:rPr>
          <w:rFonts w:eastAsia="Calibri"/>
        </w:rPr>
        <w:instrText xml:space="preserve">ADDIN ZOTERO_ITEM CSL_CITATION {"citationID":"WLxFV5aB","properties":{"formattedCitation":"[158], [165]","plainCitation":"[158], [165]","noteIndex":0},"citationItems":[{"id":3173,"uris":["http://zotero.org/users/local/WDVvZTBM/items/23F7L3U9"],"itemData":{"id":3173,"type":"article-journal","abstract":"Epigenetic modifications, including DNA methylation, represent a potential mechanism for environmental impacts on human disease. Maternal smoking in pregnancy remains an important public health problem that impacts child health in a myriad of ways and has potential lifelong consequences. The mechani …","container-title":"American journal of human genetics","DOI":"10.1016/j.ajhg.2016.02.019","ISSN":"1537-6605","issue":"4","language":"en","note":"publisher: Am J Hum Genet\nPMID: 27040690","source":"pubmed.ncbi.nlm.nih.gov","title":"DNA Methylation in Newborns and Maternal Smoking in Pregnancy: Genome-wide Consortium Meta-analysis","title-short":"DNA Methylation in Newborns and Maternal Smoking in Pregnancy","URL":"https://pubmed.ncbi.nlm.nih.gov/27040690/","volume":"98","author":[{"family":"Br","given":"Joubert"},{"family":"Jf","given":"Felix"},{"family":"P","given":"Yousefi"},{"family":"Km","given":"Bakulski"},{"family":"Ac","given":"Just"},{"family":"C","given":"Breton"},{"family":"Se","given":"Reese"},{"family":"Ca","given":"Markunas"},{"family":"Rc","given":"Richmond"},{"family":"Cj","given":"Xu"},{"family":"Lk","given":"Küpers"},{"family":"Ss","given":"Oh"},{"family":"C","given":"Hoyo"},{"family":"O","given":"Gruzieva"},{"family":"C","given":"Söderhäll"},{"family":"La","given":"Salas"},{"family":"N","given":"Baïz"},{"family":"H","given":"Zhang"},{"family":"J","given":"Lepeule"},{"family":"C","given":"Ruiz"},{"family":"S","given":"Ligthart"},{"family":"T","given":"Wang"},{"family":"Ja","given":"Taylor"},{"family":"L","given":"Duijts"},{"family":"Gc","given":"Sharp"},{"family":"Sa","given":"Jankipersadsing"},{"family":"Rm","given":"Nilsen"},{"family":"A","given":"Vaez"},{"family":"Md","given":"Fallin"},{"family":"D","given":"Hu"},{"family":"Aa","given":"Litonjua"},{"family":"Bf","given":"Fuemmeler"},{"family":"K","given":"Huen"},{"family":"J","given":"Kere"},{"family":"I","given":"Kull"},{"family":"Mc","given":"Munthe-Kaas"},{"family":"U","given":"Gehring"},{"family":"M","given":"Bustamante"},{"family":"Mj","given":"Saurel-Coubizolles"},{"family":"Bm","given":"Quraishi"},{"family":"J","given":"Ren"},{"family":"J","given":"Tost"},{"family":"Jr","given":"Gonzalez"},{"family":"Mj","given":"Peters"},{"family":"Se","given":"Håberg"},{"family":"Z","given":"Xu"},{"family":"Jb","given":"van Meurs"},{"family":"Tr","given":"Gaunt"},{"family":"M","given":"Kerkhof"},{"family":"E","given":"Corpeleijn"},{"family":"Ap","given":"Feinberg"},{"family":"C","given":"Eng"},{"family":"Aa","given":"Baccarelli"},{"family":"Se","given":"Benjamin Neelon"},{"family":"A","given":"Bradman"},{"family":"Sk","given":"Merid"},{"family":"A","given":"Bergström"},{"family":"Z","given":"Herceg"},{"family":"H","given":"Hernandez-Vargas"},{"family":"B","given":"Brunekreef"},{"family":"M","given":"Pinart"},{"family":"B","given":"Heude"},{"family":"S","given":"Ewart"},{"family":"J","given":"Yao"},{"family":"N","given":"Lemonnier"},{"family":"Oh","given":"Franco"},{"family":"Mc","given":"Wu"},{"family":"A","given":"Hofman"},{"family":"W","given":"McArdle"},{"family":"P","given":"Van der Vlies"},{"family":"F","given":"Falahi"},{"family":"Mw","given":"Gillman"},{"family":"Lf","given":"Barcellos"},{"family":"A","given":"Kumar"},{"family":"M","given":"Wickman"},{"family":"S","given":"Guerra"},{"family":"Ma","given":"Charles"},{"family":"J","given":"Holloway"},{"family":"C","given":"Auffray"},{"family":"Hw","given":"Tiemeier"},{"family":"Gd","given":"Smith"},{"family":"D","given":"Postma"},{"family":"Mf","given":"Hivert"},{"family":"B","given":"Eskenazi"},{"family":"M","given":"Vrijheid"},{"family":"H","given":"Arshad"},{"family":"Jm","given":"Antó"},{"family":"A","given":"Dehghan"},{"family":"W","given":"Karmaus"},{"family":"I","given":"Annesi-Maesano"},{"family":"J","given":"Sunyer"},{"family":"A","given":"Ghantous"},{"family":"G","given":"Pershagen"},{"family":"N","given":"Holland"},{"family":"Sk","given":"Murphy"},{"family":"Dl","given":"DeMeo"},{"family":"Eg","given":"Burchard"},{"family":"C","given":"Ladd-Acosta"},{"family":"H","given":"Snieder"},{"family":"W","given":"Nystad"},{"family":"Gh","given":"Koppelman"},{"family":"Cl","given":"Relton"},{"family":"Vw","given":"Jaddoe"},{"family":"A","given":"Wilcox"},{"family":"E","given":"Melén"},{"family":"Sj","given":"London"}],"accessed":{"date-parts":[["2023",11,19]]},"issued":{"date-parts":[["2016",7,4]]}}},{"id":3171,"uris":["http://zotero.org/users/local/WDVvZTBM/items/RR5CJ8JN"],"itemData":{"id":3171,"type":"article-journal","abstract":"Several differentially methylated CpGs and DMRs associated with prenatal PM exposure were identified in newborns, with annotation to genes previously implicated in lung-related outcomes. https://doi.org/10.1289/EHP4522.","container-title":"Environmental health perspectives","DOI":"10.1289/EHP4522","ISSN":"1552-9924","issue":"5","language":"en","note":"publisher: Environ Health Perspect\nPMID: 31148503","source":"pubmed.ncbi.nlm.nih.gov","title":"Prenatal Particulate Air Pollution and DNA Methylation in Newborns: An Epigenome-Wide Meta-Analysis","title-short":"Prenatal Particulate Air Pollution and DNA Methylation in Newborns","URL":"https://pubmed.ncbi.nlm.nih.gov/31148503/","volume":"127","author":[{"family":"O","given":"Gruzieva"},{"family":"Cj","given":"Xu"},{"family":"P","given":"Yousefi"},{"family":"C","given":"Relton"},{"family":"Sk","given":"Merid"},{"family":"Cv","given":"Breton"},{"family":"L","given":"Gao"},{"family":"He","given":"Volk"},{"family":"Ji","given":"Feinberg"},{"family":"C","given":"Ladd-Acosta"},{"family":"K","given":"Bakulski"},{"family":"C","given":"Auffray"},{"family":"N","given":"Lemonnier"},{"family":"M","given":"Plusquin"},{"family":"A","given":"Ghantous"},{"family":"Z","given":"Herceg"},{"family":"Ts","given":"Nawrot"},{"family":"C","given":"Pizzi"},{"family":"L","given":"Richiardi"},{"family":"F","given":"Rusconi"},{"family":"P","given":"Vineis"},{"family":"M","given":"Kogevinas"},{"family":"Jf","given":"Felix"},{"family":"L","given":"Duijts"},{"family":"Ht","given":"den Dekker"},{"family":"Vwv","given":"Jaddoe"},{"family":"Jl","given":"Ruiz"},{"family":"M","given":"Bustamante"},{"family":"Jm","given":"Antó"},{"family":"J","given":"Sunyer"},{"family":"M","given":"Vrijheid"},{"family":"Kb","given":"Gutzkow"},{"family":"R","given":"Grazuleviciene"},{"family":"C","given":"Hernandez-Ferrer"},{"family":"I","given":"Annesi-Maesano"},{"family":"J","given":"Lepeule"},{"family":"J","given":"Bousquet"},{"family":"A","given":"Bergström"},{"family":"I","given":"Kull"},{"family":"C","given":"Söderhäll"},{"family":"J","given":"Kere"},{"family":"U","given":"Gehring"},{"family":"B","given":"Brunekreef"},{"family":"Ac","given":"Just"},{"family":"Rj","given":"Wright"},{"family":"C","given":"Peng"},{"family":"Dr","given":"Gold"},{"family":"I","given":"Kloog"},{"family":"Dl","given":"DeMeo"},{"family":"G","given":"Pershagen"},{"family":"Gh","given":"Koppelman"},{"family":"Sj","given":"London"},{"family":"Aa","given":"Baccarelli"},{"family":"E","given":"Melén"}],"accessed":{"date-parts":[["2023",11,19]]},"issued":{"date-parts":[["2019",12]]}}}],"schema":"https://github.com/citation-style-language/schema/raw/master/csl-citation.json"}</w:instrText>
      </w:r>
      <w:r>
        <w:rPr>
          <w:rFonts w:eastAsia="Calibri"/>
        </w:rPr>
      </w:r>
      <w:r>
        <w:rPr>
          <w:rFonts w:eastAsia="Calibri"/>
        </w:rPr>
        <w:fldChar w:fldCharType="separate"/>
      </w:r>
      <w:r>
        <w:rPr>
          <w:rFonts w:eastAsia="Calibri"/>
        </w:rPr>
        <w:t>[158], [165]</w:t>
      </w:r>
      <w:r>
        <w:rPr>
          <w:rFonts w:eastAsia="Calibri"/>
        </w:rPr>
      </w:r>
      <w:r>
        <w:rPr>
          <w:rFonts w:eastAsia="Calibri"/>
        </w:rPr>
        <w:fldChar w:fldCharType="end"/>
      </w:r>
      <w:r>
        <w:rPr>
          <w:rFonts w:eastAsia="Calibri"/>
        </w:rPr>
        <w:t>.</w:t>
      </w:r>
    </w:p>
    <w:p>
      <w:pPr>
        <w:pStyle w:val="Normal"/>
        <w:spacing w:lineRule="auto" w:line="360"/>
        <w:ind w:firstLine="720"/>
        <w:jc w:val="both"/>
        <w:rPr>
          <w:rFonts w:eastAsia="Calibri"/>
        </w:rPr>
      </w:pPr>
      <w:r>
        <w:rPr>
          <w:rFonts w:eastAsia="Calibri"/>
        </w:rPr>
        <w:t xml:space="preserve">Ο ρόλος του εμβρυϊκού προγραμματισμού στην πρώιμη αύξηση του βάρους του νεογνού λόγω της μητρικής παχυσαρκίας προτάθηκε πρόσφατα από μια μελέτη που συγκρίνει το προφίλ miRNA σε καλλιέργειες περιφερικών αιμονηκών κυττάρων παιδιών από μητέρες με κανονικό βάρος και από αυτές με υπέρβαρο/παχυσαρκία. Το προφίλ miRNA στα μονονηκεϊκά κύτταρα έδειξε μια υπο-ρύθμιση των miR-155, miR-221 και miR-1301, καθώς και υπερ-ρύθμιση του miR-146a στην κυκλοφορία των νεογνών από μητέρες υπέρβαρες και με παχυσαρκία. Επιπλέον, η μελέτη έδειξε ότι στα ίδια δείγματα από νεογνά, οι αλλαγές στο προφίλ RNA που προκαλούνται από μητέρες υπέρβαρες και με παχυσαρκία συσχετίζονταν επίσης με τροποποίηση στην έκφραση του γονιδίου PPAR-g, ένας κυρίαρχος ρυθμιστής της αδιπογένεσης, και τροποποιημένα επίπεδα κυτταροκινών προ-φλεγμονώδους ανταπόκρισης στα περιφερικά αιμονηκά κύτταρα σε απόκριση σε μεταβολικούς ερεθισμούς </w:t>
      </w:r>
      <w:r>
        <w:fldChar w:fldCharType="begin"/>
      </w:r>
      <w:r>
        <w:rPr>
          <w:rFonts w:eastAsia="Calibri"/>
        </w:rPr>
        <w:instrText xml:space="preserve">ADDIN ZOTERO_ITEM CSL_CITATION {"citationID":"L6Vu6lpf","properties":{"formattedCitation":"[166]","plainCitation":"[166]","noteIndex":0},"citationItems":[{"id":3179,"uris":["http://zotero.org/users/local/WDVvZTBM/items/336TSL6J"],"itemData":{"id":3179,"type":"article-journal","abstract":"The blood microRNA profile, and in vitro PPAR-γ and inflammatory cytokine expression in cells of newborn infants are associated with maternal obesity indicating that epigenetic marks may be established during intrauterine development. Key Message: Neonatal microRNA profile is associated with materna …","container-title":"Gynecologic and obstetric investigation","DOI":"10.1159/000517116","ISSN":"1423-002X","issue":"5","language":"en","note":"publisher: Gynecol Obstet Invest\nPMID: 34547756","source":"pubmed.ncbi.nlm.nih.gov","title":"Changes in PPAR-γ Expression Are Associated with microRNA Profiles during Fetal Programming due to Maternal Overweight and Obesity","URL":"https://pubmed.ncbi.nlm.nih.gov/34547756/","volume":"86","author":[{"family":"N","given":"Gaytán-Pacheco"},{"family":"V","given":"Lima-Rogel"},{"family":"A","given":"Méndez-Mancilla"},{"family":"F","given":"Escalante-Padrón"},{"family":"Jc","given":"Toro-Ortíz"},{"family":"Me","given":"Jiménez-Capdeville"},{"family":"V","given":"Zaga-Clavellina"},{"family":"Dp","given":"Portales-Pérez"},{"family":"De","given":"Noyola"},{"family":"M","given":"Salgado-Bustamante"}],"accessed":{"date-parts":[["2023",11,19]]},"issued":{"date-parts":[["2021"]]}}}],"schema":"https://github.com/citation-style-language/schema/raw/master/csl-citation.json"}</w:instrText>
      </w:r>
      <w:r>
        <w:rPr>
          <w:rFonts w:eastAsia="Calibri"/>
        </w:rPr>
      </w:r>
      <w:r>
        <w:rPr>
          <w:rFonts w:eastAsia="Calibri"/>
        </w:rPr>
        <w:fldChar w:fldCharType="separate"/>
      </w:r>
      <w:r>
        <w:rPr>
          <w:rFonts w:eastAsia="Calibri"/>
        </w:rPr>
        <w:t>[166]</w:t>
      </w:r>
      <w:r>
        <w:rPr>
          <w:rFonts w:eastAsia="Calibri"/>
        </w:rPr>
      </w:r>
      <w:r>
        <w:rPr>
          <w:rFonts w:eastAsia="Calibri"/>
        </w:rPr>
        <w:fldChar w:fldCharType="end"/>
      </w:r>
      <w:r>
        <w:rPr>
          <w:rFonts w:eastAsia="Calibri"/>
        </w:rPr>
        <w:t>.</w:t>
      </w:r>
    </w:p>
    <w:p>
      <w:pPr>
        <w:pStyle w:val="Normal"/>
        <w:spacing w:lineRule="auto" w:line="360"/>
        <w:jc w:val="both"/>
        <w:rPr>
          <w:rFonts w:ascii="Times-Roman" w:hAnsi="Times-Roman" w:eastAsia="Calibri" w:cs="Times-Roman"/>
          <w:color w:val="18191B"/>
        </w:rPr>
      </w:pPr>
      <w:r>
        <w:rPr>
          <w:rFonts w:eastAsia="Calibri"/>
        </w:rPr>
        <w:tab/>
        <w:t xml:space="preserve">Επίσης, η επιγενετική ρύθμιση των διαγονιδιακών περιοχών φαίνεται να είναι σημαντική για την αιτολογία της παχυσαρκίας. Πράγματι, οι Sasaki </w:t>
      </w:r>
      <w:r>
        <w:rPr>
          <w:rFonts w:eastAsia="Calibri"/>
          <w:lang w:val="en-US"/>
        </w:rPr>
        <w:t>et</w:t>
      </w:r>
      <w:r>
        <w:rPr>
          <w:rFonts w:eastAsia="Calibri"/>
        </w:rPr>
        <w:t xml:space="preserve"> </w:t>
      </w:r>
      <w:r>
        <w:rPr>
          <w:rFonts w:eastAsia="Calibri"/>
          <w:lang w:val="en-US"/>
        </w:rPr>
        <w:t>al</w:t>
      </w:r>
      <w:r>
        <w:rPr>
          <w:rFonts w:eastAsia="Calibri"/>
        </w:rPr>
        <w:t xml:space="preserve">. </w:t>
      </w:r>
      <w:r>
        <w:fldChar w:fldCharType="begin"/>
      </w:r>
      <w:r>
        <w:rPr>
          <w:rFonts w:eastAsia="Calibri"/>
        </w:rPr>
        <w:instrText xml:space="preserve">ADDIN ZOTERO_ITEM CSL_CITATION {"citationID":"nC1DbpxT","properties":{"formattedCitation":"[167]","plainCitation":"[167]","noteIndex":0},"citationItems":[{"id":3182,"uris":["http://zotero.org/users/local/WDVvZTBM/items/XQAHFFRM"],"itemData":{"id":3182,"type":"article-journal","abstract":"Maternal obesity is an important risk factor for childhood obesity and influences the prevalence of metabolic diseases in offspring. As childhood obesity is influenced by postnatal factors, it is critical to determine whether children born to women with obesity during pregnancy show alterations that are detectable at birth. Epigenetic mechanisms such as DNA methylation modifications have been proposed to mediate prenatal programming. We investigated DNA methylation signatures in male and female infants from mothers with a normal Body Mass Index (BMI 18.5–24.9 kg/m2) compared to mothers with obesity (BMI≥30 kg/m2). BMI was measured during the first prenatal visit from women recruited into the Ontario Birth Study (OBS) at Mount Sinai Hospital in Toronto, ON, Canada. DNA was extracted from neonatal dried blood spots collected from heel pricks obtained 24 hours after birth at term (total n = 40) from women with a normal BMI and women with obesity matched for parity, age, and neonatal sex. Reduced representation bisulfite sequencing was used to identify genomic loci associated with differentially methylated regions (DMRs) in CpG-dense regions most likely to influence gene regulation. DMRs were predominantly localized to intergenic regions and gene bodies, with only 9% of DMRs localized to promoter regions. Genes associated with DMRs were compared to those from a large publicly available cohort study, the Avon Longitudinal Study of Parents and Children (ALSPAC; total n = 859). Hypergeometric tests revealed a significant overlap in genes associated with DMRs in the OBS and ALSPAC cohorts. PTPRN2, a gene involved in insulin secretion, and MAD1L1, which plays a role in the cell cycle and tumor suppression, contained DMRs in males and females in both cohorts. In males, KEGG pathway analysis revealed significant overrepresentation of genes involved in endocytosis and pathways in cancer, including IGF1R, which was previously shown to respond to diet-induced metabolic stress in animal models and in lymphocytes in the context of childhood obesity. These preliminary findings are consistent with Developmental Origins of Health and Disease paradigm, which posits that adverse prenatal exposures set developmental health trajectories.","container-title":"PLOS ONE","DOI":"10.1371/journal.pone.0267946","ISSN":"1932-6203","issue":"5","journalAbbreviation":"PLOS ONE","language":"en","note":"publisher: Public Library of Science","page":"e0267946","source":"journals.plos.org","title":"DNA methylation profiles in the blood of newborn term infants born to mothers with obesity","volume":"17","author":[{"family":"Sasaki","given":"Aya"},{"family":"Murphy","given":"Kellie E."},{"family":"Briollais","given":"Laurent"},{"family":"McGowan","given":"Patrick O."},{"family":"Matthews","given":"Stephen G."}],"issued":{"date-parts":[["2022"]]}}}],"schema":"https://github.com/citation-style-language/schema/raw/master/csl-citation.json"}</w:instrText>
      </w:r>
      <w:r>
        <w:rPr>
          <w:rFonts w:eastAsia="Calibri"/>
        </w:rPr>
      </w:r>
      <w:r>
        <w:rPr>
          <w:rFonts w:eastAsia="Calibri"/>
        </w:rPr>
        <w:fldChar w:fldCharType="separate"/>
      </w:r>
      <w:r>
        <w:rPr>
          <w:rFonts w:eastAsia="Calibri"/>
        </w:rPr>
        <w:t>[167]</w:t>
      </w:r>
      <w:r>
        <w:rPr>
          <w:rFonts w:eastAsia="Calibri"/>
        </w:rPr>
      </w:r>
      <w:r>
        <w:rPr>
          <w:rFonts w:eastAsia="Calibri"/>
        </w:rPr>
        <w:fldChar w:fldCharType="end"/>
      </w:r>
      <w:r>
        <w:rPr>
          <w:rFonts w:eastAsia="Calibri"/>
        </w:rPr>
        <w:t xml:space="preserve"> έχουν δείξει πρόσφατα ότι τα γονομικά τοποθετήρια (l</w:t>
      </w:r>
      <w:r>
        <w:rPr>
          <w:rFonts w:eastAsia="Calibri"/>
          <w:lang w:val="en-US"/>
        </w:rPr>
        <w:t>oci</w:t>
      </w:r>
      <w:r>
        <w:rPr>
          <w:rFonts w:eastAsia="Calibri"/>
        </w:rPr>
        <w:t>) που συσχετίζονται με DMRs που βρίσκονται σε διαγονιδιακές περιοχές και σώματα γονιδίων πιθανότατα επηρεάζουν τον κανονισμό των γονιδίων. Ειδικότερα, η ανάλυση των μονοπατιών έδειξε ότι οι άνδρες είχαν μια σημαντική υπεραντιπροσωπεία των γονιδίων που εμπλέκονται στην ενδοκυτταρική απορρόφηση και τις διαδρομές στον καρκίνο, συμπεριλαμβανομένου του IGF1R, το οποίο προηγουμένως έχει δείξει αντίδραση σε μεταβολικούς ερεθισμούς που προκαλούνται από δίαιτα σε μοντέλα ζώων και σε λεμφοκύτταρα στο πλαίσιο της παιδικής παχυσαρκίας.</w:t>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Heading1"/>
        <w:rPr>
          <w:rFonts w:ascii="Times New Roman" w:hAnsi="Times New Roman"/>
          <w:lang w:eastAsia="el-GR"/>
        </w:rPr>
      </w:pPr>
      <w:bookmarkStart w:id="74" w:name="_Toc154923836"/>
      <w:r>
        <w:rPr>
          <w:rFonts w:ascii="Times New Roman" w:hAnsi="Times New Roman"/>
          <w:lang w:eastAsia="el-GR"/>
        </w:rPr>
        <w:t>Κεφάλαιο 4: Ενίσχυση καταπολέμησης της παιδικής παχυσαρκίας- Ο ρόλος της βιοϊατρικής μηχανικής στις γονιδιακές μελέτες</w:t>
      </w:r>
      <w:bookmarkEnd w:id="74"/>
    </w:p>
    <w:p>
      <w:pPr>
        <w:pStyle w:val="Heading2"/>
        <w:rPr/>
      </w:pPr>
      <w:bookmarkStart w:id="75" w:name="_Toc154923837"/>
      <w:r>
        <w:rPr/>
        <w:t>4.1 Γενικά</w:t>
      </w:r>
      <w:bookmarkEnd w:id="75"/>
      <w:r>
        <w:rPr/>
        <w:t xml:space="preserve"> </w:t>
      </w:r>
    </w:p>
    <w:p>
      <w:pPr>
        <w:pStyle w:val="Normal"/>
        <w:spacing w:lineRule="auto" w:line="360"/>
        <w:ind w:firstLine="480"/>
        <w:jc w:val="both"/>
        <w:rPr>
          <w:rFonts w:eastAsia="Calibri"/>
          <w:color w:val="000000"/>
        </w:rPr>
      </w:pPr>
      <w:r>
        <w:rPr>
          <w:rFonts w:eastAsia="Calibri"/>
          <w:color w:val="0F110F"/>
        </w:rPr>
        <w:t xml:space="preserve">Η παιδική παχυσαρκία έχει γίνει μια παγκόσμια ανησυχία για την υγεία, με μακροπρόθεσμες επιπτώσεις για την ατομική υγεία και τα δημόσια συστήματα υγειονομικής περίθαλψης. Τα τελευταία χρόνια, βιοϊατρικοί μηχανικοί ένωσαν τις δυνάμεις τους με γενετιστές για να αξιοποιήσουν προηγμένες τεχνολογίες αλληλούχισης και να διεξάγουν γονιδιωματικές μελέτες που επικεντρώνονται στον εντοπισμό συγκεκριμένων γονιδίων που σχετίζονται με την παιδική παχυσαρκία. Αυτό το κεφάλαιο διερευνά πώς η βιοϊατρική μηχανική, μέσω γονιδιωματικών μελετών, μπορεί να συμβάλει στην ανίχνευση γονιδίων που σχετίζονται με την παχυσαρκία, οδηγώντας τελικά σε στοχευμένες παρεμβάσεις και βελτιωμένα αποτελέσματα υγείας για τα παιδιά </w:t>
      </w:r>
      <w:r>
        <w:fldChar w:fldCharType="begin"/>
      </w:r>
      <w:r>
        <w:rPr>
          <w:rFonts w:eastAsia="Calibri"/>
          <w:color w:val="0F110F"/>
        </w:rPr>
        <w:instrText xml:space="preserve">ADDIN ZOTERO_ITEM CSL_CITATION {"citationID":"1IX1P9tB","properties":{"formattedCitation":"[168]","plainCitation":"[168]","noteIndex":0},"citationItems":[{"id":2767,"uris":["http://zotero.org/users/local/WDVvZTBM/items/2VINLNUM"],"itemData":{"id":2767,"type":"article-journal","abstract":"Overweight and obesity in childhood and adolescence represents one of the most challenging public health problems of our century owing to its epidemic proportions and the associated signiﬁcant morbidity, mortality, and increase in public health costs. The pathogenesis of polygenic obesity is multifactorial and is due to the interaction among genetic, epigenetic, and environmental factors. More than 1100 independent genetic loci associated with obesity traits have been currently identiﬁed, and there is great interest in the decoding of their biological functions and the gene–environment interaction. The present study aimed to systematically review the scientiﬁc evidence and to explore the relation of single-nucleotide polymorphisms (SNPs) and copy number variants (CNVs) with changes in body mass index (BMI) and other measures of body composition in children and adolescents with obesity, as well as their response to lifestyle interventions. Twenty-seven studies were included in the qualitative synthesis, which consisted of 7928 overweight/obese children and adolescents at different stages of pubertal development who underwent multidisciplinary management. The effect of polymorphisms in 92 different genes was assessed and revealed SNPs in 24 genetic loci signiﬁcantly associated with BMI and/or body composition change, which contribute to the complex metabolic imbalance of obesity, including the regulation of appetite and energy balance, the homeostasis of glucose, lipid, and adipose tissue, as well as their interactions. The decoding of the genetic and molecular/cellular pathophysiology of obesity and the gene–environment interactions, alongside with the individual genotype, will enable us to design targeted and personalized preventive and management interventions for obesity early in life.","container-title":"Nutrients","DOI":"10.3390/nu15061416","ISSN":"2072-6643","issue":"6","journalAbbreviation":"Nutrients","language":"en","page":"1416","source":"DOI.org (Crossref)","title":"The Genetic Basis of Childhood Obesity: A Systematic Review","title-short":"The Genetic Basis of Childhood Obesity","volume":"15","author":[{"family":"Vourdoumpa","given":"Aikaterini"},{"family":"Paltoglou","given":"George"},{"family":"Charmandari","given":"Evangelia"}],"issued":{"date-parts":[["2023",3,15]]}}}],"schema":"https://github.com/citation-style-language/schema/raw/master/csl-citation.json"}</w:instrText>
      </w:r>
      <w:r>
        <w:rPr>
          <w:rFonts w:eastAsia="Calibri"/>
          <w:color w:val="0F110F"/>
        </w:rPr>
      </w:r>
      <w:r>
        <w:rPr>
          <w:rFonts w:eastAsia="Calibri"/>
          <w:color w:val="0F110F"/>
        </w:rPr>
        <w:fldChar w:fldCharType="separate"/>
      </w:r>
      <w:r>
        <w:rPr>
          <w:rFonts w:eastAsia="Calibri"/>
          <w:color w:val="0F110F"/>
        </w:rPr>
        <w:t>[168]</w:t>
      </w:r>
      <w:r>
        <w:rPr>
          <w:rFonts w:eastAsia="Calibri"/>
          <w:color w:val="0F110F"/>
        </w:rPr>
      </w:r>
      <w:r>
        <w:rPr>
          <w:rFonts w:eastAsia="Calibri"/>
          <w:color w:val="0F110F"/>
        </w:rPr>
        <w:fldChar w:fldCharType="end"/>
      </w:r>
      <w:r>
        <w:rPr>
          <w:rFonts w:eastAsia="Calibri"/>
          <w:color w:val="0F110F"/>
        </w:rPr>
        <w:t>.</w:t>
      </w:r>
    </w:p>
    <w:p>
      <w:pPr>
        <w:pStyle w:val="ListParagraph"/>
        <w:numPr>
          <w:ilvl w:val="0"/>
          <w:numId w:val="4"/>
        </w:numPr>
        <w:spacing w:lineRule="auto" w:line="360"/>
        <w:jc w:val="both"/>
        <w:rPr>
          <w:rFonts w:ascii="Times New Roman" w:hAnsi="Times New Roman"/>
          <w:color w:val="000000"/>
        </w:rPr>
      </w:pPr>
      <w:r>
        <w:rPr>
          <w:rFonts w:ascii="Times New Roman" w:hAnsi="Times New Roman"/>
          <w:b/>
          <w:bCs/>
          <w:color w:val="0F110F"/>
        </w:rPr>
        <w:t>Ξετυλίγοντας την πολυπλοκότητα της παιδικής παχυσαρκίας:</w:t>
      </w:r>
      <w:r>
        <w:rPr>
          <w:rFonts w:ascii="Times New Roman" w:hAnsi="Times New Roman"/>
          <w:color w:val="0F110F"/>
        </w:rPr>
        <w:t xml:space="preserve"> Η παχυσαρκία είναι μια πολυπαραγοντική κατάσταση που επηρεάζεται από έναν συνδυασμό γενετικών, περιβαλλοντικών παραγόντων και παραγόντων του τρόπου ζωής. Ενώ οι περιβαλλοντικοί παράγοντες και οι παράγοντες του τρόπου ζωής μπορούν να συμβάλουν σημαντικά, τα αναδυόμενα στοιχεία υποδηλώνουν ένα ισχυρό γενετικό στοιχείο στην ανάπτυξη της παχυσαρκίας. Συνεργαζόμενοι με γενετιστές, οι βιοϊατρικοί μηχανικοί βρίσκονται στην πρώτη γραμμή της αποκάλυψης της πολυπλοκότητας της παιδικής παχυσαρκίας εξετάζοντας τις γενετικές παραλλαγές που συμβάλλουν στην εμφάνισή της </w:t>
      </w:r>
      <w:r>
        <w:fldChar w:fldCharType="begin"/>
      </w:r>
      <w:r>
        <w:rPr>
          <w:rFonts w:ascii="Times New Roman" w:hAnsi="Times New Roman"/>
          <w:color w:val="0F110F"/>
        </w:rPr>
        <w:instrText xml:space="preserve">ADDIN ZOTERO_ITEM CSL_CITATION {"citationID":"Ye5GlKor","properties":{"formattedCitation":"[44]","plainCitation":"[44]","noteIndex":0},"citationItems":[{"id":2446,"uris":["http://zotero.org/users/local/WDVvZTBM/items/9EHLE2DL"],"itemData":{"id":2446,"type":"article-journal","abstract":"The prevalence of obesity has tripled over the past four decades, imposing an enormous burden on people’s health. Polygenic (or common) obesity and rare, severe, early-o nset monogenic obesity are often polarized as distinct diseases. However, gene discovery studies for both forms of obesity show that they have shared genetic and biological underpinnings, pointing to a key role for the brain in the control of body weight. Genome-w ide association studies (GWAS) with increasing sample sizes and advances in sequencing technology are the main drivers behind a recent flurry of new discoveries. However, it is the post-G WAS, cross-d isciplinary collaborations, which combine new omics technologies and analytical approaches, that have started to facilitate translation of genetic loci into meaningful biology and new avenues for treatment.","container-title":"Nature Reviews Genetics","DOI":"10.1038/s41576-021-00414-z","ISSN":"1471-0056, 1471-0064","issue":"2","journalAbbreviation":"Nat Rev Genet","language":"en","page":"120-133","source":"DOI.org (Crossref)","title":"The genetics of obesity: from discovery to biology","title-short":"The genetics of obesity","volume":"23","author":[{"family":"Loos","given":"Ruth J. F."},{"family":"Yeo","given":"Giles S. H."}],"issued":{"date-parts":[["2022",2]]}}}],"schema":"https://github.com/citation-style-language/schema/raw/master/csl-citation.json"}</w:instrText>
      </w:r>
      <w:r>
        <w:rPr>
          <w:rFonts w:ascii="Times New Roman" w:hAnsi="Times New Roman"/>
          <w:color w:val="0F110F"/>
        </w:rPr>
      </w:r>
      <w:r>
        <w:rPr>
          <w:rFonts w:ascii="Times New Roman" w:hAnsi="Times New Roman"/>
          <w:color w:val="0F110F"/>
        </w:rPr>
        <w:fldChar w:fldCharType="separate"/>
      </w:r>
      <w:r>
        <w:rPr>
          <w:rFonts w:ascii="Times New Roman" w:hAnsi="Times New Roman"/>
          <w:color w:val="0F110F"/>
        </w:rPr>
        <w:t>[44]</w:t>
      </w:r>
      <w:r>
        <w:rPr>
          <w:rFonts w:ascii="Times New Roman" w:hAnsi="Times New Roman"/>
          <w:color w:val="0F110F"/>
        </w:rPr>
      </w:r>
      <w:r>
        <w:rPr>
          <w:rFonts w:ascii="Times New Roman" w:hAnsi="Times New Roman"/>
          <w:color w:val="0F110F"/>
        </w:rPr>
        <w:fldChar w:fldCharType="end"/>
      </w:r>
      <w:r>
        <w:rPr>
          <w:rFonts w:ascii="Times New Roman" w:hAnsi="Times New Roman"/>
          <w:color w:val="0F110F"/>
        </w:rPr>
        <w:t>.</w:t>
      </w:r>
    </w:p>
    <w:p>
      <w:pPr>
        <w:pStyle w:val="ListParagraph"/>
        <w:numPr>
          <w:ilvl w:val="0"/>
          <w:numId w:val="4"/>
        </w:numPr>
        <w:spacing w:lineRule="auto" w:line="360"/>
        <w:jc w:val="both"/>
        <w:rPr>
          <w:rFonts w:ascii="Times New Roman" w:hAnsi="Times New Roman"/>
          <w:color w:val="000000"/>
        </w:rPr>
      </w:pPr>
      <w:r>
        <w:rPr>
          <w:rFonts w:ascii="Times New Roman" w:hAnsi="Times New Roman"/>
          <w:b/>
          <w:bCs/>
          <w:color w:val="0F110F"/>
        </w:rPr>
        <w:t>Προηγμένες τεχνολογίες αλληλούχισης:</w:t>
      </w:r>
      <w:r>
        <w:rPr>
          <w:rFonts w:ascii="Times New Roman" w:hAnsi="Times New Roman"/>
          <w:color w:val="0F110F"/>
        </w:rPr>
        <w:t xml:space="preserve"> Οι τεχνολογίες αλληλούχισης επόμενης γενιάς (NGS) έχουν φέρει επανάσταση στην ικανότητα αποτελεσματικής ανάλυσης ολόκληρων γονιδιωμάτων. Αυτές οι τεχνολογίες επιτρέπουν στους ερευνητές να αλληλουχούν μεγάλες ποσότητες DNA και RNA, παρέχοντας πληθώρα γενετικών δεδομένων για ανάλυση. Αξιοποιώντας το NGS, οι βιοϊατρικοί μηχανικοί μπορούν να εντοπίσουν συγκεκριμένες γενετικές παραλλαγές και μεταλλάξεις που μπορεί να συνδέονται με την παιδική παχυσαρκία </w:t>
      </w:r>
      <w:r>
        <w:fldChar w:fldCharType="begin"/>
      </w:r>
      <w:r>
        <w:rPr>
          <w:rFonts w:ascii="Times New Roman" w:hAnsi="Times New Roman"/>
          <w:color w:val="0F110F"/>
        </w:rPr>
        <w:instrText xml:space="preserve">ADDIN ZOTERO_ITEM CSL_CITATION {"citationID":"MmXIBQcs","properties":{"formattedCitation":"[80]","plainCitation":"[80]","noteIndex":0},"citationItems":[{"id":2430,"uris":["http://zotero.org/users/local/WDVvZTBM/items/XMYKQI2Y"],"itemData":{"id":2430,"type":"article-journal","abstract":"Background  Obesity is a global and severe health problem. Due to genetic heterogeneity, the identification of genetic defects in patients with obesity can be time consuming and costly. Therefore, we developed a custom For numbered affiliations see end of article. diagnostic targeted next-generation sequencing (NGS)based analysis to simultaneously identify mutations in 52 Correspondence to Dr Mieke M van Haelst, Department of Clinical Genetics VU Medical Center Amsterdam The Netherlands ; m.vanhaelst@ vumc.nl obesity-related genes. The aim of this study was to assess the diagnostic yield of this approach in patients with suspected genetic obesity.\nMethods  DNA of 1230 patients with obesity (median BMI adults 43.6 kg/m2; median body mass indexSD children +3.4 SD) was analysed in the genome Received 6 February 2018 Revised 21 May 2018 diagnostics section of the Department of Genetics of the UMC Utrecht (The Netherlands) by targeted analysis of Accepted 10 June 2018 52 obesity-related genes.\nResults In 48 patients pathogenic mutations confirming the clinical diagnosis were detected. The majority of these were observed in the MC4R gene (18/48). In an additional 67 patients a probable pathogenic mutation was identified, necessitating further analysis to confirm the clinical relevance.\nConclusions NGS-based gene panel analysis in patients with obesity led to a definitive diagnosis of a genetic obesity disorder in 3.9% of obese probands, and a possible diagnosis in an additional 5.4% of obese probands. The highest yield was achieved in a selected paediatric subgroup, establishing a definitive diagnosis in 12 out of 164 children with severe early onset obesity (7.3%). These findings give a realistic insight in the diagnostic yield of genetic testing for patients with obesity and could help these patients to receive (future) personalised treatment.","container-title":"Journal of Medical Genetics","DOI":"10.1136/jmedgenet-2018-105315","ISSN":"0022-2593, 1468-6244","issue":"9","journalAbbreviation":"J Med Genet","language":"en","page":"578-586","source":"DOI.org (Crossref)","title":"Genetic obesity: next-generation sequencing results of 1230 patients with obesity","title-short":"Genetic obesity","volume":"55","author":[{"family":"Kleinendorst","given":"Lotte"},{"family":"Massink","given":"Maarten P G"},{"family":"Cooiman","given":"Mellody I"},{"family":"Savas","given":"Mesut"},{"family":"Baan-Slootweg","given":"Olga H","non-dropping-particle":"van der"},{"family":"Roelants","given":"Roosje J"},{"family":"Janssen","given":"Ignace C M"},{"family":"Meijers-Heijboer","given":"Hanne J"},{"family":"Knoers","given":"Nine V A M"},{"family":"Ploos van Amstel","given":"Hans Kristian"},{"family":"Rossum","given":"Elisabeth F C","non-dropping-particle":"van"},{"family":"Akker","given":"Erica L T","non-dropping-particle":"van den"},{"family":"Haaften","given":"Gijs","non-dropping-particle":"van"},{"family":"Zwaag","given":"Bert","non-dropping-particle":"van der"},{"family":"Haelst","given":"Mieke M","non-dropping-particle":"van"}],"issued":{"date-parts":[["2018",9]]}}}],"schema":"https://github.com/citation-style-language/schema/raw/master/csl-citation.json"}</w:instrText>
      </w:r>
      <w:r>
        <w:rPr>
          <w:rFonts w:ascii="Times New Roman" w:hAnsi="Times New Roman"/>
          <w:color w:val="0F110F"/>
        </w:rPr>
      </w:r>
      <w:r>
        <w:rPr>
          <w:rFonts w:ascii="Times New Roman" w:hAnsi="Times New Roman"/>
          <w:color w:val="0F110F"/>
        </w:rPr>
        <w:fldChar w:fldCharType="separate"/>
      </w:r>
      <w:r>
        <w:rPr>
          <w:rFonts w:ascii="Times New Roman" w:hAnsi="Times New Roman"/>
          <w:color w:val="0F110F"/>
        </w:rPr>
        <w:t>[80]</w:t>
      </w:r>
      <w:r>
        <w:rPr>
          <w:rFonts w:ascii="Times New Roman" w:hAnsi="Times New Roman"/>
          <w:color w:val="0F110F"/>
        </w:rPr>
      </w:r>
      <w:r>
        <w:rPr>
          <w:rFonts w:ascii="Times New Roman" w:hAnsi="Times New Roman"/>
          <w:color w:val="0F110F"/>
        </w:rPr>
        <w:fldChar w:fldCharType="end"/>
      </w:r>
      <w:r>
        <w:rPr>
          <w:rFonts w:ascii="Times New Roman" w:hAnsi="Times New Roman"/>
          <w:color w:val="0F110F"/>
        </w:rPr>
        <w:t>.</w:t>
      </w:r>
    </w:p>
    <w:p>
      <w:pPr>
        <w:pStyle w:val="ListParagraph"/>
        <w:numPr>
          <w:ilvl w:val="0"/>
          <w:numId w:val="4"/>
        </w:numPr>
        <w:spacing w:lineRule="auto" w:line="360"/>
        <w:jc w:val="both"/>
        <w:rPr>
          <w:rFonts w:ascii="Times New Roman" w:hAnsi="Times New Roman"/>
          <w:color w:val="000000"/>
        </w:rPr>
      </w:pPr>
      <w:r>
        <w:rPr>
          <w:rFonts w:ascii="Times New Roman" w:hAnsi="Times New Roman"/>
          <w:b/>
          <w:bCs/>
          <w:color w:val="0F110F"/>
        </w:rPr>
        <w:t>Genome-Wide Association Studies (GWAS):</w:t>
      </w:r>
      <w:r>
        <w:rPr>
          <w:rFonts w:ascii="Times New Roman" w:hAnsi="Times New Roman"/>
          <w:color w:val="0F110F"/>
        </w:rPr>
        <w:t xml:space="preserve"> Μια πολλά υποσχόμενη προσέγγιση στις γονιδιωματικές μελέτες είναι Genome-Wide Association Studies (GWAS), η οποία αναλύει ολόκληρο το γονιδίωμα ενός μεγάλου πληθυσμού για να εντοπίσει κοινές γενετικές παραλλαγές που σχετίζονται με ένα συγκεκριμένο χαρακτηριστικό ή κατάσταση. Με τη διεξαγωγή GWAS που επικεντρώνεται στην παιδική παχυσαρκία, οι βιοϊατρικοί μηχανικοί και οι γενετιστές μπορούν να εντοπίσουν υποψήφια γονίδια που παίζουν ρόλο στην ανάπτυξή της. Αυτά τα ευρήματα χρησιμεύουν ως πολύτιμα σημεία εκκίνησης για περαιτέρω διερεύνηση και πιθανές παρεμβάσεις </w:t>
      </w:r>
      <w:r>
        <w:fldChar w:fldCharType="begin"/>
      </w:r>
      <w:r>
        <w:rPr>
          <w:rFonts w:ascii="Times New Roman" w:hAnsi="Times New Roman"/>
          <w:color w:val="0F110F"/>
        </w:rPr>
        <w:instrText xml:space="preserve">ADDIN ZOTERO_ITEM CSL_CITATION {"citationID":"O1ADCr5t","properties":{"formattedCitation":"[125]","plainCitation":"[125]","noteIndex":0},"citationItems":[{"id":3063,"uris":["http://zotero.org/users/local/WDVvZTBM/items/F6IP4ZEB"],"itemData":{"id":3063,"type":"article-journal","abstract":"Additional loci that contribute to childhood adiposity were identified, further explicating its genetic architecture.","container-title":"Obesity (Silver Spring, Md.)","DOI":"10.1002/oby.23070","ISSN":"1930-739X","issue":"2","language":"en","note":"publisher: Obesity (Silver Spring)\nPMID: 33491310","source":"pubmed.ncbi.nlm.nih.gov","title":"A Genome-Wide Association Study of Childhood Body Fatness","URL":"https://pubmed.ncbi.nlm.nih.gov/33491310/","volume":"29","author":[{"family":"Et","given":"Warner"},{"family":"L","given":"Jiang"},{"family":"Dn","given":"Adjei"},{"family":"C","given":"Turman"},{"family":"W","given":"Gordon"},{"family":"L","given":"Wang"},{"family":"R","given":"Tamimi"},{"family":"P","given":"Kraft"},{"family":"S","given":"Lindström"}],"accessed":{"date-parts":[["2023",11,19]]},"issued":{"date-parts":[["2021",2]]}}}],"schema":"https://github.com/citation-style-language/schema/raw/master/csl-citation.json"}</w:instrText>
      </w:r>
      <w:r>
        <w:rPr>
          <w:rFonts w:ascii="Times New Roman" w:hAnsi="Times New Roman"/>
          <w:color w:val="0F110F"/>
        </w:rPr>
      </w:r>
      <w:r>
        <w:rPr>
          <w:rFonts w:ascii="Times New Roman" w:hAnsi="Times New Roman"/>
          <w:color w:val="0F110F"/>
        </w:rPr>
        <w:fldChar w:fldCharType="separate"/>
      </w:r>
      <w:r>
        <w:rPr>
          <w:rFonts w:ascii="Times New Roman" w:hAnsi="Times New Roman"/>
          <w:color w:val="0F110F"/>
        </w:rPr>
        <w:t>[125]</w:t>
      </w:r>
      <w:r>
        <w:rPr>
          <w:rFonts w:ascii="Times New Roman" w:hAnsi="Times New Roman"/>
          <w:color w:val="0F110F"/>
        </w:rPr>
      </w:r>
      <w:r>
        <w:rPr>
          <w:rFonts w:ascii="Times New Roman" w:hAnsi="Times New Roman"/>
          <w:color w:val="0F110F"/>
        </w:rPr>
        <w:fldChar w:fldCharType="end"/>
      </w:r>
      <w:r>
        <w:rPr>
          <w:rFonts w:ascii="Times New Roman" w:hAnsi="Times New Roman"/>
          <w:color w:val="0F110F"/>
        </w:rPr>
        <w:t>.</w:t>
      </w:r>
    </w:p>
    <w:p>
      <w:pPr>
        <w:pStyle w:val="ListParagraph"/>
        <w:numPr>
          <w:ilvl w:val="0"/>
          <w:numId w:val="4"/>
        </w:numPr>
        <w:spacing w:lineRule="auto" w:line="360"/>
        <w:jc w:val="both"/>
        <w:rPr>
          <w:rFonts w:ascii="Times New Roman" w:hAnsi="Times New Roman"/>
          <w:color w:val="000000"/>
        </w:rPr>
      </w:pPr>
      <w:r>
        <w:rPr>
          <w:rFonts w:ascii="Times New Roman" w:hAnsi="Times New Roman"/>
          <w:b/>
          <w:bCs/>
          <w:color w:val="0F110F"/>
        </w:rPr>
        <w:t>Ιατρική ακριβείας και εξατομικευμένες παρεμβάσεις:</w:t>
      </w:r>
      <w:r>
        <w:rPr>
          <w:rFonts w:ascii="Times New Roman" w:hAnsi="Times New Roman"/>
          <w:color w:val="0F110F"/>
        </w:rPr>
        <w:t xml:space="preserve"> Η αναγνώριση γονιδίων που σχετίζονται με την παχυσαρκία μέσω γονιδιωματικών μελετών έχει τη δυνατότητα να ανοίξει το δρόμο για ιατρική ακριβείας και εξατομικευμένες παρεμβάσεις. Οι βιοϊατρικοί μηχανικοί μπορούν να συνεργαστούν με κλινικούς, διατροφολόγους και άλλους επαγγελματίες υγείας για να σχεδιάσουν προσαρμοσμένες παρεμβάσεις και στρατηγικές θεραπείας με βάση το γενετικό προφίλ ενός ατόμου. Οι εξατομικευμένες παρεμβάσεις μπορεί να κυμαίνονται από στοχευμένα προγράμματα διατροφής και προγράμματα άσκησης έως φαρμακολογικές παρεμβάσεις με βάση τη γονιδιωματική προδιάθεση ενός ατόμου για παχυσαρκία </w:t>
      </w:r>
      <w:r>
        <w:fldChar w:fldCharType="begin"/>
      </w:r>
      <w:r>
        <w:rPr>
          <w:rFonts w:ascii="Times New Roman" w:hAnsi="Times New Roman"/>
          <w:color w:val="0F110F"/>
        </w:rPr>
        <w:instrText xml:space="preserve">ADDIN ZOTERO_ITEM CSL_CITATION {"citationID":"kdrdyKBK","properties":{"formattedCitation":"[169]\\uc0\\u8211{}[171]","plainCitation":"[169]–[171]","noteIndex":0},"citationItems":[{"id":1373,"uris":["http://zotero.org/users/local/WDVvZTBM/items/3GXEUF4G"],"itemData":{"id":1373,"type":"book","abstract":"Praise for the third edition of Bioinformatics \"This book is a gem to read and use in practice.\"—Briefings in Bioinformatics \"This volume has a distinctive, special value as it offers an unrivalled level of details and unique expert insights from the leading computational biologists, including the very creators of popular bioinformatics tools.\"—ChemBioChem \"A valuable survey of this fascinating field. . . I found it to be the most useful book on bioinformatics that I have seen and recommend it very highly.\"—American Society for Microbiology News \"This should be on the bookshelf of every molecular biologist.\"—The Quarterly Review of Biolog\" The field of bioinformatics is advancing at a remarkable rate. With the development of new analytical techniques that make use of the latest advances in machine learning and data science, today’s biologists are gaining fantastic new insights into the natural world’s most complex systems. These rapidly progressing innovations can, however, be difficult to keep pace with. The expanded fourth edition of the best-selling Bioinformatics aims to remedy this by providing students and professionals alike with a comprehensive survey of the current field. Revised to reflect recent advances in computational biology, it offers practical instruction on the gathering, analysis, and interpretation of data, as well as explanations of the most powerful algorithms presently used for biological discovery. Bioinformatics, Fourth Edition offers the most readable, up-to-date, and thorough introduction to the field for biologists at all levels, covering both key concepts that have stood the test of time and the new and important developments driving this fast-moving discipline forwards. This new edition features:   New chapters on metabolomics, population genetics, metagenomics and microbial community analysis, and translational bioinformatics A thorough treatment of statistical methods as applied to biological data Special topic boxes and appendices highlighting experimental strategies and advanced concepts Annotated reference lists, comprehensive lists of relevant web resources, and an extensive glossary of commonly used terms in bioinformatics, genomics, and proteomics  Bioinformatics is an indispensable companion for researchers, instructors, and students of all levels in molecular biology and computational biology, as well as investigators involved in genomics, clinical research, proteomics, and related fields.","ISBN":"978-1-119-33558-0","language":"en","note":"Google-Books-ID: OuHNDwAAQBAJ","number-of-pages":"656","publisher":"John Wiley &amp; Sons","source":"Google Books","title":"Bioinformatics","author":[{"family":"Baxevanis","given":"Andreas D."},{"family":"Bader","given":"Gary D."},{"family":"Wishart","given":"David S."}],"issued":{"date-parts":[["2020",5,12]]}}},{"id":3237,"uris":["http://zotero.org/users/local/WDVvZTBM/items/CQL8YPAY"],"itemData":{"id":3237,"type":"article-journal","abstract":"Globally, the number of obese patients has doubled due to sedentary lifestyles and improper dieting. The tremendous increase altered human genetics, and health. According to the world health organization, Life expectancy dropped from 80 to 75 years, as obese people struggle with different chronic diseases. This report will address the problems of obesity in children and adults using ML datasets to feature, predict, and analyze the causes of obesity. By engaging neural ML networks, we will explore neural control using diffusion tensor imaging to consider body fats, BMI, waist &amp; hip ratio circumference of obese patients. To predict the present and future causes of obesity with ML, we will discuss ML techniques like decision trees, SVM, RF, GBM, LASSO, BN, and ANN and use datasets implement the stated algorithms. Different theoretical literature from experts ML &amp; Bioinformatics experiments will be outlined in this report while making recommendations on how to advance ML for predicting obesity and other chronic diseases.","language":"en","source":"Zotero","title":"Machine Learning and Bioinformatics for Diagnosis Analysis of Obesity Spectrum Disorders","author":[{"family":"Gasmi","given":"Amin"}]}},{"id":3233,"uris":["http://zotero.org/users/local/WDVvZTBM/items/YW3KPQA5"],"itemData":{"id":3233,"type":"article-journal","abstract":"Obesity is an excess accumulation of body fat. Its progression rate has remained high in recent years. Therefore, the aim of this study was to diagnose important differentially expressed genes (DEGs) associated in its development, which may be used as ...","container-title":"Frontiers in Endocrinology","DOI":"10.3389/fendo.2021.628907","language":"en","note":"publisher: Frontiers Media SA\nPMID: 34248836","source":"www.ncbi.nlm.nih.gov","title":"Identification of Key Pathways and Genes in Obesity Using Bioinformatics Analysis and Molecular Docking Studies","URL":"https://www.ncbi.nlm.nih.gov/pmc/articles/PMC8264660/","volume":"12","author":[{"family":"Joshi","given":"Harish"},{"family":"Vastrad","given":"Basavaraj"},{"family":"Joshi","given":"Nidhi"},{"family":"Vastrad","given":"Chanabasayya"},{"family":"Tengli","given":"Anandkumar"},{"family":"Kotturshetti","given":"Iranna"}],"accessed":{"date-parts":[["2023",12,4]]},"issued":{"date-parts":[["2021"]]}}}],"schema":"https://github.com/citation-style-language/schema/raw/master/csl-citation.json"}</w:instrText>
      </w:r>
      <w:r>
        <w:rPr>
          <w:rFonts w:ascii="Times New Roman" w:hAnsi="Times New Roman"/>
          <w:color w:val="0F110F"/>
        </w:rPr>
      </w:r>
      <w:r>
        <w:rPr>
          <w:rFonts w:ascii="Times New Roman" w:hAnsi="Times New Roman"/>
          <w:color w:val="0F110F"/>
        </w:rPr>
        <w:fldChar w:fldCharType="separate"/>
      </w:r>
      <w:r>
        <w:rPr>
          <w:rFonts w:ascii="Times New Roman" w:hAnsi="Times New Roman"/>
          <w:color w:val="0F110F"/>
        </w:rPr>
      </w:r>
      <w:r>
        <w:rPr>
          <w:rFonts w:ascii="Times New Roman" w:hAnsi="Times New Roman"/>
          <w:color w:val="000000"/>
        </w:rPr>
        <w:t>[169]–[171]</w:t>
      </w:r>
      <w:r>
        <w:rPr>
          <w:rFonts w:ascii="Times New Roman" w:hAnsi="Times New Roman"/>
          <w:color w:val="0F110F"/>
        </w:rPr>
      </w:r>
      <w:r>
        <w:rPr>
          <w:rFonts w:ascii="Times New Roman" w:hAnsi="Times New Roman"/>
          <w:color w:val="0F110F"/>
        </w:rPr>
        <w:fldChar w:fldCharType="end"/>
      </w:r>
      <w:r>
        <w:rPr>
          <w:rFonts w:ascii="Times New Roman" w:hAnsi="Times New Roman"/>
          <w:color w:val="0F110F"/>
          <w:lang w:val="en-US"/>
        </w:rPr>
        <w:t xml:space="preserve"> </w:t>
      </w:r>
      <w:r>
        <w:rPr>
          <w:rFonts w:ascii="Times New Roman" w:hAnsi="Times New Roman"/>
          <w:color w:val="0F110F"/>
        </w:rPr>
        <w:t xml:space="preserve"> .</w:t>
      </w:r>
    </w:p>
    <w:p>
      <w:pPr>
        <w:pStyle w:val="ListParagraph"/>
        <w:numPr>
          <w:ilvl w:val="0"/>
          <w:numId w:val="4"/>
        </w:numPr>
        <w:spacing w:lineRule="auto" w:line="360"/>
        <w:jc w:val="both"/>
        <w:rPr>
          <w:rFonts w:ascii="Times New Roman" w:hAnsi="Times New Roman"/>
          <w:color w:val="000000"/>
        </w:rPr>
      </w:pPr>
      <w:r>
        <w:rPr>
          <w:rFonts w:ascii="Times New Roman" w:hAnsi="Times New Roman"/>
          <w:b/>
          <w:bCs/>
          <w:color w:val="0F110F"/>
        </w:rPr>
        <w:t>Διαχείριση και ανάλυση γονιδιωματικών δεδομένων:</w:t>
      </w:r>
      <w:r>
        <w:rPr>
          <w:rFonts w:ascii="Times New Roman" w:hAnsi="Times New Roman"/>
          <w:color w:val="0F110F"/>
        </w:rPr>
        <w:t xml:space="preserve"> Παρά τις τεράστιες δυνατότητες και τα οφέλη των γονιδιωματικών μελετών στην έρευνα για την παιδική παχυσαρκία, υπάρχουν προκλήσεις που πρέπει να ξεπεράσουν οι βιοϊατρικοί μηχανικοί. Μια σημαντική πρόκληση είναι η διαχείριση και ανάλυση τεράστιων ποσοτήτων γονιδιωματικών δεδομένων. Οι βιοϊατρικοί μηχανικοί διαδραματίζουν κρίσιμο ρόλο στην ανάπτυξη υπολογιστικών εργαλείων, αλγορίθμων και βάσεων δεδομένων για την αποτελεσματική αποθήκευση, ανάλυση και ερμηνεία τεράστιων συνόλων δεδομένων γονιδιώματος. Αυτή η διεπιστημονική συνεργασία μεταξύ βιοϊατρικών μηχανικών και επιστημόνων δεδομένων είναι απαραίτητη για τη μεγιστοποίηση του αντίκτυπου των γονιδιωματικών μελετών στην έρευνα για την παιδική παχυσαρκία </w:t>
      </w:r>
      <w:r>
        <w:fldChar w:fldCharType="begin"/>
      </w:r>
      <w:r>
        <w:rPr>
          <w:rFonts w:ascii="Times New Roman" w:hAnsi="Times New Roman"/>
          <w:color w:val="0F110F"/>
        </w:rPr>
        <w:instrText xml:space="preserve">ADDIN ZOTERO_ITEM CSL_CITATION {"citationID":"kF4hUV4c","properties":{"formattedCitation":"[172], [173]","plainCitation":"[172], [173]","noteIndex":0},"citationItems":[{"id":3240,"uris":["http://zotero.org/users/local/WDVvZTBM/items/LZ3RNSBV"],"itemData":{"id":3240,"type":"article-journal","abstract":"Because of the strong link between childhood obesity and adulthood obesity comorbidities, and the difficulty in decreasing body mass index (BMI) later in life, effective strategies are needed to address this condition in early childhood. The ability to ...","container-title":"PLoS ONE","DOI":"10.1371/journal.pone.0215571","issue":"4","language":"en","note":"publisher: PLOS\nPMID: 31009509","source":"www.ncbi.nlm.nih.gov","title":"Predicting childhood obesity using electronic health records and publicly available data","URL":"https://www.ncbi.nlm.nih.gov/pmc/articles/PMC6476510/","volume":"14","author":[{"family":"Hammond","given":"Robert"},{"family":"Athanasiadou","given":"Rodoniki"},{"family":"Curado","given":"Silvia"},{"family":"Aphinyanaphongs","given":"Yindalon"},{"family":"Abrams","given":"Courtney"},{"family":"Messito","given":"Mary Jo"},{"family":"Gross","given":"Rachel"},{"family":"Katzow","given":"Michelle"},{"family":"Jay","given":"Melanie"},{"family":"Razavian","given":"Narges"},{"family":"Elbel","given":"Brian"}],"accessed":{"date-parts":[["2023",12,4]]},"issued":{"date-parts":[["2019"]]}}},{"id":3238,"uris":["http://zotero.org/users/local/WDVvZTBM/items/WDQFGACT"],"itemData":{"id":3238,"type":"article-journal","abstract":"Background The prevalence of childhood obesity in Wales is 12%. It has been estimated that obesity will cost the NHS £10 billion a year by 2050 ( Government Office for Science 2007 ). Aim To determine important risk factors associated with childhood obesity from the data in the Welsh Health Survey 2 …","container-title":"Nursing children and young people","DOI":"10.7748/ncyp.2017.e855","ISSN":"2046-2344","issue":"6","language":"en","note":"publisher: Nurs Child Young People\nPMID: 28691622","source":"pubmed.ncbi.nlm.nih.gov","title":"Risk factors for childhood obesity: a data analysis of the Welsh Health Survey","title-short":"Risk factors for childhood obesity","URL":"https://pubmed.ncbi.nlm.nih.gov/28691622/","volume":"29","author":[{"family":"C","given":"Beynon"},{"family":"D","given":"Fone"}],"accessed":{"date-parts":[["2023",12,4]]},"issued":{"date-parts":[["2017",10,7]]}}}],"schema":"https://github.com/citation-style-language/schema/raw/master/csl-citation.json"}</w:instrText>
      </w:r>
      <w:r>
        <w:rPr>
          <w:rFonts w:ascii="Times New Roman" w:hAnsi="Times New Roman"/>
          <w:color w:val="0F110F"/>
        </w:rPr>
      </w:r>
      <w:r>
        <w:rPr>
          <w:rFonts w:ascii="Times New Roman" w:hAnsi="Times New Roman"/>
          <w:color w:val="0F110F"/>
        </w:rPr>
        <w:fldChar w:fldCharType="separate"/>
      </w:r>
      <w:r>
        <w:rPr>
          <w:rFonts w:ascii="Times New Roman" w:hAnsi="Times New Roman"/>
          <w:color w:val="0F110F"/>
        </w:rPr>
        <w:t>[172], [173]</w:t>
      </w:r>
      <w:r>
        <w:rPr>
          <w:rFonts w:ascii="Times New Roman" w:hAnsi="Times New Roman"/>
          <w:color w:val="0F110F"/>
        </w:rPr>
      </w:r>
      <w:r>
        <w:rPr>
          <w:rFonts w:ascii="Times New Roman" w:hAnsi="Times New Roman"/>
          <w:color w:val="0F110F"/>
        </w:rPr>
        <w:fldChar w:fldCharType="end"/>
      </w:r>
      <w:r>
        <w:rPr>
          <w:rFonts w:ascii="Times New Roman" w:hAnsi="Times New Roman"/>
          <w:color w:val="0F110F"/>
        </w:rPr>
        <w:t>.</w:t>
      </w:r>
    </w:p>
    <w:p>
      <w:pPr>
        <w:pStyle w:val="Normal"/>
        <w:spacing w:lineRule="auto" w:line="360"/>
        <w:ind w:firstLine="960"/>
        <w:jc w:val="both"/>
        <w:rPr>
          <w:rFonts w:eastAsia="Calibri"/>
          <w:color w:val="000000"/>
        </w:rPr>
      </w:pPr>
      <w:r>
        <w:rPr>
          <w:rFonts w:eastAsia="Calibri"/>
          <w:color w:val="0F110F"/>
        </w:rPr>
        <w:t>Μέσα από συνεργατικές προσπάθειες με γενετιστές και την εφαρμογή προηγμένων τεχνολογιών αλληλούχισης, οι βιοϊατρικοί μηχανικοί συμβάλλουν σημαντικά στην ανίχνευση γονιδίων που σχετίζονται με την παχυσαρκία στα παιδιά. Οι γονιδιωματικές μελέτες προσφέρουν πληροφορίες για τις πολύπλοκες αλληλεπιδράσεις μεταξύ γονιδίων και παχυσαρκίας, διαμορφώνοντας τελικά εξατομικευμένες παρεμβάσεις και ανοίγοντας το δρόμο για την ιατρική ακριβείας. Καθώς η έρευνα προχωρά, οι βιοϊατρικοί μηχανικοί θα συνεχίσουν να διαδραματίζουν κρίσιμο ρόλο στην απελευθέρωση των δυνατοτήτων των γονιδιωματικών μελετών, οδηγώντας σε βελτιωμένα αποτελέσματα υγείας για τα παιδιά που πάσχουν από παχυσαρκία.</w:t>
      </w:r>
    </w:p>
    <w:p>
      <w:pPr>
        <w:pStyle w:val="Normal"/>
        <w:spacing w:lineRule="auto" w:line="360"/>
        <w:jc w:val="both"/>
        <w:rPr>
          <w:rFonts w:ascii="Times-Roman" w:hAnsi="Times-Roman" w:eastAsia="Calibri" w:cs="Times-Roman"/>
          <w:color w:val="18191B"/>
        </w:rPr>
      </w:pPr>
      <w:r>
        <w:rPr>
          <w:rFonts w:eastAsia="Calibri" w:cs="Times-Roman" w:ascii="Times-Roman" w:hAnsi="Times-Roman"/>
          <w:color w:val="18191B"/>
        </w:rPr>
      </w:r>
    </w:p>
    <w:p>
      <w:pPr>
        <w:pStyle w:val="Heading2"/>
        <w:rPr/>
      </w:pPr>
      <w:bookmarkStart w:id="76" w:name="_Toc154923838"/>
      <w:r>
        <w:rPr/>
        <w:t>4.2 Η δύναμη της Βιοπληροφορικής και της Ανάλυσης Δεδομένων στη Βιοϊατρική Μηχανική</w:t>
      </w:r>
      <w:bookmarkEnd w:id="76"/>
      <w:r>
        <w:rPr/>
        <w:t xml:space="preserve"> </w:t>
      </w:r>
    </w:p>
    <w:p>
      <w:pPr>
        <w:pStyle w:val="Normal"/>
        <w:spacing w:lineRule="auto" w:line="360"/>
        <w:ind w:firstLine="720"/>
        <w:jc w:val="both"/>
        <w:rPr>
          <w:rFonts w:eastAsia="Calibri"/>
          <w:color w:val="000000"/>
        </w:rPr>
      </w:pPr>
      <w:r>
        <w:rPr>
          <w:rFonts w:eastAsia="Calibri"/>
          <w:color w:val="0F110F"/>
        </w:rPr>
        <w:t xml:space="preserve">Καθώς η τεχνολογία συνεχίζει να προοδεύει, αυξάνεται και η ικανότητά μας να συλλέγουμε και να αναλύουμε τεράστιες ποσότητες δεδομένων. Στον τομέα της βιοϊατρικής μηχανικής, η ενσωμάτωση εργαλείων βιοπληροφορικής και τεχνικών ανάλυσης δεδομένων έχει φέρει επανάσταση στην κατανόησή μας περί πολύπλοκων γενετικών δεδομένων. Αυτό το άρθρο διερευνά πώς οι βιοϊατρικοί μηχανικοί αξιοποιούν αυτά τα εργαλεία για να εντοπίσουν γενετικούς δείκτες που σχετίζονται με την παχυσαρκία και να αποκαλύψουν περίπλοκα μοτίβα μέσα στο γονιδίωμα. </w:t>
      </w:r>
      <w:r>
        <w:fldChar w:fldCharType="begin"/>
      </w:r>
      <w:r>
        <w:rPr>
          <w:rFonts w:eastAsia="Calibri"/>
          <w:color w:val="0F110F"/>
        </w:rPr>
        <w:instrText xml:space="preserve">ADDIN ZOTERO_ITEM CSL_CITATION {"citationID":"DbOO8nOE","properties":{"formattedCitation":"[169]","plainCitation":"[169]","noteIndex":0},"citationItems":[{"id":1373,"uris":["http://zotero.org/users/local/WDVvZTBM/items/3GXEUF4G"],"itemData":{"id":1373,"type":"book","abstract":"Praise for the third edition of Bioinformatics \"This book is a gem to read and use in practice.\"—Briefings in Bioinformatics \"This volume has a distinctive, special value as it offers an unrivalled level of details and unique expert insights from the leading computational biologists, including the very creators of popular bioinformatics tools.\"—ChemBioChem \"A valuable survey of this fascinating field. . . I found it to be the most useful book on bioinformatics that I have seen and recommend it very highly.\"—American Society for Microbiology News \"This should be on the bookshelf of every molecular biologist.\"—The Quarterly Review of Biolog\" The field of bioinformatics is advancing at a remarkable rate. With the development of new analytical techniques that make use of the latest advances in machine learning and data science, today’s biologists are gaining fantastic new insights into the natural world’s most complex systems. These rapidly progressing innovations can, however, be difficult to keep pace with. The expanded fourth edition of the best-selling Bioinformatics aims to remedy this by providing students and professionals alike with a comprehensive survey of the current field. Revised to reflect recent advances in computational biology, it offers practical instruction on the gathering, analysis, and interpretation of data, as well as explanations of the most powerful algorithms presently used for biological discovery. Bioinformatics, Fourth Edition offers the most readable, up-to-date, and thorough introduction to the field for biologists at all levels, covering both key concepts that have stood the test of time and the new and important developments driving this fast-moving discipline forwards. This new edition features:   New chapters on metabolomics, population genetics, metagenomics and microbial community analysis, and translational bioinformatics A thorough treatment of statistical methods as applied to biological data Special topic boxes and appendices highlighting experimental strategies and advanced concepts Annotated reference lists, comprehensive lists of relevant web resources, and an extensive glossary of commonly used terms in bioinformatics, genomics, and proteomics  Bioinformatics is an indispensable companion for researchers, instructors, and students of all levels in molecular biology and computational biology, as well as investigators involved in genomics, clinical research, proteomics, and related fields.","ISBN":"978-1-119-33558-0","language":"en","note":"Google-Books-ID: OuHNDwAAQBAJ","number-of-pages":"656","publisher":"John Wiley &amp; Sons","source":"Google Books","title":"Bioinformatics","author":[{"family":"Baxevanis","given":"Andreas D."},{"family":"Bader","given":"Gary D."},{"family":"Wishart","given":"David S."}],"issued":{"date-parts":[["2020",5,12]]}}}],"schema":"https://github.com/citation-style-language/schema/raw/master/csl-citation.json"}</w:instrText>
      </w:r>
      <w:r>
        <w:rPr>
          <w:rFonts w:eastAsia="Calibri"/>
          <w:color w:val="0F110F"/>
        </w:rPr>
      </w:r>
      <w:r>
        <w:rPr>
          <w:rFonts w:eastAsia="Calibri"/>
          <w:color w:val="0F110F"/>
        </w:rPr>
        <w:fldChar w:fldCharType="separate"/>
      </w:r>
      <w:r>
        <w:rPr>
          <w:rFonts w:eastAsia="Calibri"/>
          <w:color w:val="0F110F"/>
        </w:rPr>
        <w:t>[169]</w:t>
      </w:r>
      <w:r/>
      <w:r>
        <w:rPr>
          <w:rFonts w:eastAsia="Calibri"/>
          <w:color w:val="0F110F"/>
        </w:rPr>
        <w:fldChar w:fldCharType="end"/>
      </w:r>
      <w:r>
        <w:rPr>
          <w:rFonts w:eastAsia="Calibri"/>
          <w:color w:val="0F110F"/>
        </w:rPr>
      </w:r>
    </w:p>
    <w:p>
      <w:pPr>
        <w:pStyle w:val="Normal"/>
        <w:spacing w:lineRule="auto" w:line="360"/>
        <w:jc w:val="both"/>
        <w:rPr>
          <w:rFonts w:eastAsia="Calibri"/>
          <w:b/>
          <w:bCs/>
          <w:i/>
          <w:i/>
          <w:iCs/>
          <w:color w:val="0F110F"/>
          <w:u w:val="single"/>
        </w:rPr>
      </w:pPr>
      <w:r>
        <w:rPr>
          <w:rFonts w:eastAsia="Calibri"/>
          <w:b/>
          <w:bCs/>
          <w:i/>
          <w:iCs/>
          <w:color w:val="0F110F"/>
          <w:u w:val="single"/>
        </w:rPr>
      </w:r>
    </w:p>
    <w:p>
      <w:pPr>
        <w:pStyle w:val="Normal"/>
        <w:spacing w:lineRule="auto" w:line="360"/>
        <w:jc w:val="both"/>
        <w:rPr>
          <w:rFonts w:eastAsia="Calibri"/>
          <w:b/>
          <w:bCs/>
          <w:i/>
          <w:i/>
          <w:iCs/>
          <w:color w:val="0F110F"/>
          <w:u w:val="single"/>
        </w:rPr>
      </w:pPr>
      <w:r>
        <w:rPr>
          <w:rFonts w:eastAsia="Calibri"/>
          <w:b/>
          <w:bCs/>
          <w:i/>
          <w:iCs/>
          <w:color w:val="0F110F"/>
          <w:u w:val="single"/>
        </w:rPr>
        <w:t>Τα κρυμμένα μυστικά των γονιδιακών δεδομένων</w:t>
      </w:r>
    </w:p>
    <w:p>
      <w:pPr>
        <w:pStyle w:val="Normal"/>
        <w:spacing w:lineRule="auto" w:line="360"/>
        <w:ind w:firstLine="720"/>
        <w:jc w:val="both"/>
        <w:rPr>
          <w:rFonts w:eastAsia="Calibri"/>
          <w:color w:val="000000"/>
        </w:rPr>
      </w:pPr>
      <w:r>
        <w:rPr>
          <w:rFonts w:eastAsia="Calibri"/>
          <w:color w:val="0F110F"/>
        </w:rPr>
        <w:t xml:space="preserve"> </w:t>
      </w:r>
      <w:r>
        <w:rPr>
          <w:rFonts w:eastAsia="Calibri"/>
          <w:color w:val="0F110F"/>
        </w:rPr>
        <w:t xml:space="preserve">Η βιοπληροφορική χρησιμεύει ως ζωτικός ακρογωνιαίος λίθος στον τομέα της βιοϊατρικής μηχανικής. Χρησιμοποιώντας υπολογιστικούς αλγόριθμους και στατιστικά μοντέλα, η βιοπληροφορική δίνει τη δυνατότητα στους ερευνητές να αναλύσουν τεράστια σύνολα δεδομένων και να αποκαλύψουν σημαντικές γνώσεις από το γονιδίωμα. Όσον αφορά τη μελέτη της παχυσαρκίας, η βιοπληροφορική παίζει καθοριστικό ρόλο στον εντοπισμό γενετικών δεικτών που συμβάλλουν στην ευαισθησία ενός ατόμου σε αυτήν την πάθηση </w:t>
      </w:r>
      <w:r>
        <w:fldChar w:fldCharType="begin"/>
      </w:r>
      <w:r>
        <w:rPr>
          <w:rFonts w:eastAsia="Calibri"/>
          <w:color w:val="0F110F"/>
          <w:lang w:val="en-US"/>
        </w:rPr>
        <w:instrText xml:space="preserve">ADDIN ZOTERO_ITEM CSL_CITATION {"citationID":"t8Yn2Uvr","properties":{"formattedCitation":"[174]","plainCitation":"[174]","noteIndex":0},"citationItems":[{"id":1356,"uris":["http://zotero.org/users/local/WDVvZTBM/items/2X8SCWAX"],"itemData":{"id":1356,"type":"book","call-number":"QH324.2 .C438 2014","event-place":"Amsterdam ; Boston","ISBN":"978-0-12-410471-6","language":"en","note":"OCLC: ocn891353974","number-of-pages":"225","publisher":"Elsevier/AP","publisher-place":"Amsterdam ; Boston","source":"Library of Congress ISBN","title":"Bioinformatics for beginners: genes, genomes, molecular evolution, databases, and analytical tools","title-short":"Bioinformatics for beginners","author":[{"family":"Choudhuri","given":"Supratim"},{"family":"Kotewicz","given":"Michael"}],"issued":{"date-parts":[["2014"]]}}}],"schema":"https://github.com/citation-style-language/schema/raw/master/csl-citation.json"}</w:instrText>
      </w:r>
      <w:r>
        <w:rPr>
          <w:rFonts w:eastAsia="Calibri"/>
          <w:color w:val="0F110F"/>
          <w:lang w:val="en-US"/>
        </w:rPr>
      </w:r>
      <w:r>
        <w:rPr>
          <w:rFonts w:eastAsia="Calibri"/>
          <w:color w:val="0F110F"/>
          <w:lang w:val="en-US"/>
        </w:rPr>
        <w:fldChar w:fldCharType="separate"/>
      </w:r>
      <w:r>
        <w:rPr>
          <w:rFonts w:eastAsia="Calibri"/>
          <w:color w:val="0F110F"/>
          <w:lang w:val="en-US"/>
        </w:rPr>
      </w:r>
      <w:r>
        <w:rPr>
          <w:rFonts w:eastAsia="Calibri"/>
          <w:color w:val="0F110F"/>
        </w:rPr>
        <w:t>[174]</w:t>
      </w:r>
      <w:r>
        <w:rPr>
          <w:rFonts w:eastAsia="Calibri"/>
          <w:color w:val="0F110F"/>
          <w:lang w:val="en-US"/>
        </w:rPr>
      </w:r>
      <w:r>
        <w:rPr>
          <w:rFonts w:eastAsia="Calibri"/>
          <w:color w:val="0F110F"/>
          <w:lang w:val="en-US"/>
        </w:rPr>
        <w:fldChar w:fldCharType="end"/>
      </w:r>
      <w:r>
        <w:rPr>
          <w:rFonts w:eastAsia="Calibri"/>
          <w:color w:val="0F110F"/>
        </w:rPr>
        <w:t>.</w:t>
      </w:r>
    </w:p>
    <w:p>
      <w:pPr>
        <w:pStyle w:val="Normal"/>
        <w:spacing w:lineRule="auto" w:line="360"/>
        <w:jc w:val="both"/>
        <w:rPr>
          <w:rFonts w:eastAsia="Calibri"/>
          <w:color w:val="0F110F"/>
        </w:rPr>
      </w:pPr>
      <w:r>
        <w:rPr>
          <w:rFonts w:eastAsia="Calibri"/>
          <w:color w:val="0F110F"/>
        </w:rPr>
      </w:r>
    </w:p>
    <w:p>
      <w:pPr>
        <w:pStyle w:val="Normal"/>
        <w:spacing w:lineRule="auto" w:line="360"/>
        <w:jc w:val="both"/>
        <w:rPr>
          <w:rFonts w:eastAsia="Calibri"/>
          <w:b/>
          <w:bCs/>
          <w:i/>
          <w:i/>
          <w:iCs/>
          <w:color w:val="0F110F"/>
          <w:u w:val="single"/>
        </w:rPr>
      </w:pPr>
      <w:r>
        <w:rPr>
          <w:rFonts w:eastAsia="Calibri"/>
          <w:b/>
          <w:bCs/>
          <w:i/>
          <w:iCs/>
          <w:color w:val="0F110F"/>
          <w:u w:val="single"/>
        </w:rPr>
        <w:t>Προσδιορισμός πολυμορφισμών μεμονωμένων νουκλεοτιδίων (SNPs)</w:t>
      </w:r>
    </w:p>
    <w:p>
      <w:pPr>
        <w:pStyle w:val="Normal"/>
        <w:spacing w:lineRule="auto" w:line="360"/>
        <w:ind w:firstLine="720"/>
        <w:jc w:val="both"/>
        <w:rPr>
          <w:rFonts w:eastAsia="Calibri"/>
          <w:color w:val="000000"/>
        </w:rPr>
      </w:pPr>
      <w:r>
        <w:rPr>
          <w:rFonts w:eastAsia="Calibri"/>
          <w:color w:val="0F110F"/>
        </w:rPr>
        <w:t>Ένας από τους πρωταρχικούς στόχους της βιοπληροφορικής στην έρευνα για την παχυσαρκία είναι ο εντοπισμός μονονουκλεοτιδικών πολυμορφισμών (SNPs) που συνδέονται με αυξημένο κίνδυνο. Τα SNP είναι ο πιο κοινός τύπος γενετικής παραλλαγής και μπορούν να έχουν σημαντικό αντίκτυπο στην προδιάθεση ενός ατόμου για παχυσαρκία. Η βιοπληροφορική, που τροφοδοτείται από προηγμένους αλγόριθμους, βοηθά στον εντοπισμό αυτών των SNP συγκρίνοντας γονιδιωματικά δεδομένα από μια ομάδα ελέγχου και άτομα που πάσχουν από παχυσαρκία.</w:t>
      </w:r>
    </w:p>
    <w:p>
      <w:pPr>
        <w:pStyle w:val="Normal"/>
        <w:spacing w:lineRule="auto" w:line="360"/>
        <w:jc w:val="both"/>
        <w:rPr>
          <w:rFonts w:eastAsia="Calibri"/>
          <w:color w:val="0F110F"/>
        </w:rPr>
      </w:pPr>
      <w:r>
        <w:rPr>
          <w:rFonts w:eastAsia="Calibri"/>
          <w:color w:val="0F110F"/>
        </w:rPr>
        <w:t xml:space="preserve">Αποκάλυψη σύνθετων προτύπων μέσω της ανάλυσης δεδομένων: Ο τεράστιος όγκος και η πολυπλοκότητα των γονιδιωματικών δεδομένων απαιτούν εξελιγμένες τεχνικές ανάλυσης δεδομένων. Η μηχανική μάθηση, ένα υποσύνολο της τεχνητής νοημοσύνης, έχει αναδειχθεί ως ένα ισχυρό εργαλείο από αυτή την άποψη. Αξιοποιώντας αλγόριθμους μηχανικής μάθησης, οι ερευνητές μπορούν να αποκαλύψουν πολύπλοκα μοτίβα και αλληλεπιδράσεις στα γενετικά δεδομένα που σχετίζονται με την παχυσαρκία </w:t>
      </w:r>
      <w:r>
        <w:fldChar w:fldCharType="begin"/>
      </w:r>
      <w:r>
        <w:rPr>
          <w:rFonts w:eastAsia="Calibri"/>
          <w:color w:val="0F110F"/>
        </w:rPr>
        <w:instrText xml:space="preserve">ADDIN ZOTERO_ITEM CSL_CITATION {"citationID":"lRCf4AiR","properties":{"formattedCitation":"[170]","plainCitation":"[170]","noteIndex":0},"citationItems":[{"id":3237,"uris":["http://zotero.org/users/local/WDVvZTBM/items/CQL8YPAY"],"itemData":{"id":3237,"type":"article-journal","abstract":"Globally, the number of obese patients has doubled due to sedentary lifestyles and improper dieting. The tremendous increase altered human genetics, and health. According to the world health organization, Life expectancy dropped from 80 to 75 years, as obese people struggle with different chronic diseases. This report will address the problems of obesity in children and adults using ML datasets to feature, predict, and analyze the causes of obesity. By engaging neural ML networks, we will explore neural control using diffusion tensor imaging to consider body fats, BMI, waist &amp; hip ratio circumference of obese patients. To predict the present and future causes of obesity with ML, we will discuss ML techniques like decision trees, SVM, RF, GBM, LASSO, BN, and ANN and use datasets implement the stated algorithms. Different theoretical literature from experts ML &amp; Bioinformatics experiments will be outlined in this report while making recommendations on how to advance ML for predicting obesity and other chronic diseases.","language":"en","source":"Zotero","title":"Machine Learning and Bioinformatics for Diagnosis Analysis of Obesity Spectrum Disorders","author":[{"family":"Gasmi","given":"Amin"}]}}],"schema":"https://github.com/citation-style-language/schema/raw/master/csl-citation.json"}</w:instrText>
      </w:r>
      <w:r>
        <w:rPr>
          <w:rFonts w:eastAsia="Calibri"/>
          <w:color w:val="0F110F"/>
        </w:rPr>
      </w:r>
      <w:r>
        <w:rPr>
          <w:rFonts w:eastAsia="Calibri"/>
          <w:color w:val="0F110F"/>
        </w:rPr>
        <w:fldChar w:fldCharType="separate"/>
      </w:r>
      <w:r>
        <w:rPr>
          <w:rFonts w:eastAsia="Calibri"/>
          <w:color w:val="0F110F"/>
        </w:rPr>
        <w:t>[170]</w:t>
      </w:r>
      <w:r>
        <w:rPr>
          <w:rFonts w:eastAsia="Calibri"/>
          <w:color w:val="0F110F"/>
        </w:rPr>
      </w:r>
      <w:r>
        <w:rPr>
          <w:rFonts w:eastAsia="Calibri"/>
          <w:color w:val="0F110F"/>
        </w:rPr>
        <w:fldChar w:fldCharType="end"/>
      </w:r>
      <w:r>
        <w:rPr>
          <w:rFonts w:eastAsia="Calibri"/>
          <w:color w:val="0F110F"/>
        </w:rPr>
        <w:t>.</w:t>
      </w:r>
    </w:p>
    <w:p>
      <w:pPr>
        <w:pStyle w:val="Normal"/>
        <w:spacing w:lineRule="auto" w:line="360"/>
        <w:jc w:val="both"/>
        <w:rPr>
          <w:rFonts w:eastAsia="Calibri"/>
          <w:color w:val="000000"/>
        </w:rPr>
      </w:pPr>
      <w:r>
        <w:rPr>
          <w:rFonts w:eastAsia="Calibri"/>
          <w:color w:val="000000"/>
        </w:rPr>
      </w:r>
    </w:p>
    <w:p>
      <w:pPr>
        <w:pStyle w:val="Normal"/>
        <w:spacing w:lineRule="auto" w:line="360"/>
        <w:jc w:val="both"/>
        <w:rPr>
          <w:rFonts w:eastAsia="Calibri"/>
          <w:b/>
          <w:bCs/>
          <w:i/>
          <w:i/>
          <w:iCs/>
          <w:color w:val="0F110F"/>
          <w:u w:val="single"/>
        </w:rPr>
      </w:pPr>
      <w:r>
        <w:rPr>
          <w:rFonts w:eastAsia="Calibri"/>
          <w:b/>
          <w:bCs/>
          <w:i/>
          <w:iCs/>
          <w:color w:val="0F110F"/>
          <w:u w:val="single"/>
        </w:rPr>
        <w:t>Μηχανική μάθηση για αναγνώριση γενετικών προτύπων</w:t>
      </w:r>
    </w:p>
    <w:p>
      <w:pPr>
        <w:pStyle w:val="Normal"/>
        <w:spacing w:lineRule="auto" w:line="360"/>
        <w:ind w:firstLine="720"/>
        <w:jc w:val="both"/>
        <w:rPr>
          <w:rFonts w:eastAsia="Calibri"/>
          <w:color w:val="000000"/>
        </w:rPr>
      </w:pPr>
      <w:r>
        <w:rPr>
          <w:rFonts w:eastAsia="Calibri"/>
          <w:color w:val="0F110F"/>
        </w:rPr>
        <w:t xml:space="preserve">Τα μοντέλα μηχανικής μάθησης διαπρέπουν στην αναγνώριση περίπλοκων προτύπων σε σύνολα δεδομένων μεγάλης κλίμακας και έχουν αποδειχθεί πολύτιμα για τον εντοπισμό γενετικών δεικτών που σχετίζονται με την παχυσαρκία. Αυτά τα μοντέλα εκπαιδεύονται σε τεράστιες ποσότητες γενετικών δεδομένων, δίνοντάς τους τη δυνατότητα να διακρίνουν σημαντικά μοτίβα που μπορεί να μην είναι εμφανή μέσω των παραδοσιακών μεθόδων στατιστικής ανάλυσης. Αυτό οδηγεί σε μια βαθύτερη κατανόηση των γενετικών παραγόντων που συμβάλλουν στην παχυσαρκία </w:t>
      </w:r>
      <w:r>
        <w:fldChar w:fldCharType="begin"/>
      </w:r>
      <w:r>
        <w:rPr>
          <w:rFonts w:eastAsia="Calibri"/>
          <w:color w:val="0F110F"/>
        </w:rPr>
        <w:instrText xml:space="preserve">ADDIN ZOTERO_ITEM CSL_CITATION {"citationID":"CLNuRmHe","properties":{"formattedCitation":"[170]","plainCitation":"[170]","noteIndex":0},"citationItems":[{"id":3237,"uris":["http://zotero.org/users/local/WDVvZTBM/items/CQL8YPAY"],"itemData":{"id":3237,"type":"article-journal","abstract":"Globally, the number of obese patients has doubled due to sedentary lifestyles and improper dieting. The tremendous increase altered human genetics, and health. According to the world health organization, Life expectancy dropped from 80 to 75 years, as obese people struggle with different chronic diseases. This report will address the problems of obesity in children and adults using ML datasets to feature, predict, and analyze the causes of obesity. By engaging neural ML networks, we will explore neural control using diffusion tensor imaging to consider body fats, BMI, waist &amp; hip ratio circumference of obese patients. To predict the present and future causes of obesity with ML, we will discuss ML techniques like decision trees, SVM, RF, GBM, LASSO, BN, and ANN and use datasets implement the stated algorithms. Different theoretical literature from experts ML &amp; Bioinformatics experiments will be outlined in this report while making recommendations on how to advance ML for predicting obesity and other chronic diseases.","language":"en","source":"Zotero","title":"Machine Learning and Bioinformatics for Diagnosis Analysis of Obesity Spectrum Disorders","author":[{"family":"Gasmi","given":"Amin"}]}}],"schema":"https://github.com/citation-style-language/schema/raw/master/csl-citation.json"}</w:instrText>
      </w:r>
      <w:r>
        <w:rPr>
          <w:rFonts w:eastAsia="Calibri"/>
          <w:color w:val="0F110F"/>
        </w:rPr>
      </w:r>
      <w:r>
        <w:rPr>
          <w:rFonts w:eastAsia="Calibri"/>
          <w:color w:val="0F110F"/>
        </w:rPr>
        <w:fldChar w:fldCharType="separate"/>
      </w:r>
      <w:r>
        <w:rPr>
          <w:rFonts w:eastAsia="Calibri"/>
          <w:color w:val="0F110F"/>
        </w:rPr>
        <w:t>[170]</w:t>
      </w:r>
      <w:r>
        <w:rPr>
          <w:rFonts w:eastAsia="Calibri"/>
          <w:color w:val="0F110F"/>
        </w:rPr>
      </w:r>
      <w:r>
        <w:rPr>
          <w:rFonts w:eastAsia="Calibri"/>
          <w:color w:val="0F110F"/>
        </w:rPr>
        <w:fldChar w:fldCharType="end"/>
      </w:r>
      <w:r>
        <w:fldChar w:fldCharType="begin"/>
      </w:r>
      <w:r>
        <w:rPr>
          <w:rFonts w:eastAsia="Calibri"/>
          <w:color w:val="0F110F"/>
        </w:rPr>
        <w:instrText xml:space="preserve">ADDIN ZOTERO_ITEM CSL_CITATION {"citationID":"MGipANv2","properties":{"formattedCitation":"[175]","plainCitation":"[175]","noteIndex":0},"citationItems":[{"id":3215,"uris":["http://zotero.org/users/local/WDVvZTBM/items/NASCVV8S"],"itemData":{"id":3215,"type":"article-journal","abstract":"Abstract\n            \n              Obesity has become a serious global problem that still needs a solution. One of the factors that leads to obesity is genetic predisposition. The identity and characteristics of the genes involved have not yet been fully confirmed. Analyzing the genetic contribution to obesity is a major step towards the solution. In this\n              in silico\n              study, using online bioinformatics tools, we evaluate the role of four genes that are believed to contribute to obesity. Data were collected and analyzed for the sequences of four so-called obesity genes:\n              FTO\n              (fat mass and obesity-associated protein),\n              PPARG\n              (peroxisome proliferator activated receptor γ),\n              ADRB3\n              (adrenergic receptor β 3) and\n              FABP2\n              (fatty acid binding protein 2). In the first part of the research, information about the genes was collected and organized and data in FASTA, format are extracted from the National Center for Biotechnology Information (NCBI). In the second part, all genes were analyzed by comparing three species of organisms,\n              Homo sapiens\n              (human),\n              Mus musculus\n              (mouse) and\n              Gallus\n              (chicken). In the third part of this study, phylogenetic trees were constructed for each of the four genes, using blast local alignment search tool (BLAST) and molecular evolutionary genetics analysis (MEGA X) software. Our analysis reveals that the functions of all these genes are associated with overweight and obesity.","container-title":"Balkan Journal of Medical Genetics","DOI":"10.2478/bjmg-2021-0012","ISSN":"1311-0160","issue":"1","language":"en","page":"35-40","source":"DOI.org (Crossref)","title":"Comparative analysis of genes associated with obesity in humans using bioinformatic data and tools","volume":"24","author":[{"family":"Musliji","given":"Zs"},{"family":"Pollozhani","given":"Ak"},{"family":"Lisichkov","given":"K"},{"family":"Deligios","given":"M"},{"family":"Popovski","given":"Zt"}],"issued":{"date-parts":[["2021",7,27]]}}}],"schema":"https://github.com/citation-style-language/schema/raw/master/csl-citation.json"}</w:instrText>
      </w:r>
      <w:r>
        <w:rPr>
          <w:rFonts w:eastAsia="Calibri"/>
          <w:color w:val="0F110F"/>
        </w:rPr>
      </w:r>
      <w:r>
        <w:rPr>
          <w:rFonts w:eastAsia="Calibri"/>
          <w:color w:val="0F110F"/>
        </w:rPr>
        <w:fldChar w:fldCharType="separate"/>
      </w:r>
      <w:r>
        <w:rPr>
          <w:rFonts w:eastAsia="Calibri"/>
          <w:color w:val="0F110F"/>
        </w:rPr>
        <w:t>[175]</w:t>
      </w:r>
      <w:r>
        <w:rPr>
          <w:rFonts w:eastAsia="Calibri"/>
          <w:color w:val="0F110F"/>
        </w:rPr>
      </w:r>
      <w:r>
        <w:rPr>
          <w:rFonts w:eastAsia="Calibri"/>
          <w:color w:val="0F110F"/>
        </w:rPr>
        <w:fldChar w:fldCharType="end"/>
      </w:r>
      <w:r>
        <w:rPr>
          <w:rFonts w:eastAsia="Calibri"/>
          <w:color w:val="0F110F"/>
        </w:rPr>
        <w:t>.</w:t>
      </w:r>
    </w:p>
    <w:p>
      <w:pPr>
        <w:pStyle w:val="Normal"/>
        <w:spacing w:lineRule="auto" w:line="360"/>
        <w:jc w:val="both"/>
        <w:rPr>
          <w:rFonts w:eastAsia="Calibri"/>
          <w:color w:val="0F110F"/>
        </w:rPr>
      </w:pPr>
      <w:r>
        <w:rPr>
          <w:rFonts w:eastAsia="Calibri"/>
          <w:color w:val="0F110F"/>
        </w:rPr>
      </w:r>
    </w:p>
    <w:p>
      <w:pPr>
        <w:pStyle w:val="Normal"/>
        <w:spacing w:lineRule="auto" w:line="360"/>
        <w:jc w:val="both"/>
        <w:rPr>
          <w:rFonts w:eastAsia="Calibri"/>
          <w:b/>
          <w:bCs/>
          <w:i/>
          <w:i/>
          <w:iCs/>
          <w:color w:val="0F110F"/>
          <w:u w:val="single"/>
        </w:rPr>
      </w:pPr>
      <w:r>
        <w:rPr>
          <w:rFonts w:eastAsia="Calibri"/>
          <w:b/>
          <w:bCs/>
          <w:i/>
          <w:iCs/>
          <w:color w:val="0F110F"/>
          <w:u w:val="single"/>
        </w:rPr>
        <w:t xml:space="preserve">Εφαρμογές </w:t>
      </w:r>
    </w:p>
    <w:p>
      <w:pPr>
        <w:pStyle w:val="Normal"/>
        <w:spacing w:lineRule="auto" w:line="360"/>
        <w:ind w:firstLine="720"/>
        <w:jc w:val="both"/>
        <w:rPr>
          <w:rFonts w:eastAsia="Calibri"/>
          <w:color w:val="000000"/>
        </w:rPr>
      </w:pPr>
      <w:r>
        <w:rPr>
          <w:rFonts w:eastAsia="Calibri"/>
          <w:color w:val="0F110F"/>
        </w:rPr>
        <w:t xml:space="preserve">Η εφαρμογή της βιοπληροφορικής και της ανάλυσης δεδομένων στην έρευνα για την παχυσαρκία εκτείνεται πέρα από τον εντοπισμό γενετικών δεικτών. Επιτρέπει την ανάπτυξη εξατομικευμένων παρεμβάσεων και θεραπειών που βασίζονται στο μοναδικό γενετικό προφίλ ενός ατόμου. Με τη βοήθεια εργαλείων βιοπληροφορικής, οι βιοϊατρικοί μηχανικοί μπορούν να δημιουργήσουν στοχευμένες θεραπείες που μετριάζουν τον κίνδυνο της παχυσαρκίας ή βελτιώνουν τη διαχείρισή της </w:t>
      </w:r>
      <w:r>
        <w:fldChar w:fldCharType="begin"/>
      </w:r>
      <w:r>
        <w:rPr>
          <w:rFonts w:eastAsia="Calibri"/>
          <w:color w:val="0F110F"/>
        </w:rPr>
        <w:instrText xml:space="preserve">ADDIN ZOTERO_ITEM CSL_CITATION {"citationID":"MwDdqTyf","properties":{"formattedCitation":"[171]","plainCitation":"[171]","noteIndex":0},"citationItems":[{"id":3233,"uris":["http://zotero.org/users/local/WDVvZTBM/items/YW3KPQA5"],"itemData":{"id":3233,"type":"article-journal","abstract":"Obesity is an excess accumulation of body fat. Its progression rate has remained high in recent years. Therefore, the aim of this study was to diagnose important differentially expressed genes (DEGs) associated in its development, which may be used as ...","container-title":"Frontiers in Endocrinology","DOI":"10.3389/fendo.2021.628907","language":"en","note":"publisher: Frontiers Media SA\nPMID: 34248836","source":"www.ncbi.nlm.nih.gov","title":"Identification of Key Pathways and Genes in Obesity Using Bioinformatics Analysis and Molecular Docking Studies","URL":"https://www.ncbi.nlm.nih.gov/pmc/articles/PMC8264660/","volume":"12","author":[{"family":"Joshi","given":"Harish"},{"family":"Vastrad","given":"Basavaraj"},{"family":"Joshi","given":"Nidhi"},{"family":"Vastrad","given":"Chanabasayya"},{"family":"Tengli","given":"Anandkumar"},{"family":"Kotturshetti","given":"Iranna"}],"accessed":{"date-parts":[["2023",12,4]]},"issued":{"date-parts":[["2021"]]}}}],"schema":"https://github.com/citation-style-language/schema/raw/master/csl-citation.json"}</w:instrText>
      </w:r>
      <w:r>
        <w:rPr>
          <w:rFonts w:eastAsia="Calibri"/>
          <w:color w:val="0F110F"/>
        </w:rPr>
      </w:r>
      <w:r>
        <w:rPr>
          <w:rFonts w:eastAsia="Calibri"/>
          <w:color w:val="0F110F"/>
        </w:rPr>
        <w:fldChar w:fldCharType="separate"/>
      </w:r>
      <w:r>
        <w:rPr>
          <w:rFonts w:eastAsia="Calibri"/>
          <w:color w:val="0F110F"/>
        </w:rPr>
        <w:t>[171]</w:t>
      </w:r>
      <w:r>
        <w:rPr>
          <w:rFonts w:eastAsia="Calibri"/>
          <w:color w:val="0F110F"/>
        </w:rPr>
      </w:r>
      <w:r>
        <w:rPr>
          <w:rFonts w:eastAsia="Calibri"/>
          <w:color w:val="0F110F"/>
        </w:rPr>
        <w:fldChar w:fldCharType="end"/>
      </w:r>
      <w:r>
        <w:rPr>
          <w:rFonts w:eastAsia="Calibri"/>
          <w:color w:val="0F110F"/>
        </w:rPr>
        <w:t>.</w:t>
      </w:r>
    </w:p>
    <w:p>
      <w:pPr>
        <w:pStyle w:val="Normal"/>
        <w:spacing w:lineRule="auto" w:line="360"/>
        <w:jc w:val="both"/>
        <w:rPr>
          <w:rFonts w:eastAsia="Calibri"/>
          <w:color w:val="0F110F"/>
        </w:rPr>
      </w:pPr>
      <w:r>
        <w:rPr>
          <w:rFonts w:eastAsia="Calibri"/>
          <w:color w:val="0F110F"/>
        </w:rPr>
      </w:r>
    </w:p>
    <w:p>
      <w:pPr>
        <w:pStyle w:val="Normal"/>
        <w:spacing w:lineRule="auto" w:line="360"/>
        <w:ind w:firstLine="720"/>
        <w:jc w:val="both"/>
        <w:rPr>
          <w:rFonts w:eastAsia="Calibri"/>
          <w:color w:val="000000"/>
        </w:rPr>
      </w:pPr>
      <w:r>
        <w:rPr>
          <w:rFonts w:eastAsia="Calibri"/>
          <w:color w:val="0F110F"/>
        </w:rPr>
        <w:t>Η βιοπληροφορική και η ανάλυση δεδομένων έχουν φέρει επανάσταση στον τομέα της βιοϊατρικής μηχανικής, ιδιαίτερα στο πλαίσιο της έρευνας για την παχυσαρκία. Αξιοποιώντας αυτά τα εργαλεία, οι ερευνητές μπορούν να εμβαθύνουν στην απέραντη θάλασσα γονιδιωματικών δεδομένων, να εντοπίσουν γενετικούς δείκτες που σχετίζονται με την παχυσαρκία και να αποκαλύψουν περίπλοκα μοτίβα μέσα στο γονιδίωμα. Καθώς η τεχνολογία συνεχίζει να προοδεύει, το ίδιο κάνει και η ικανότητά μας να αποκρυπτογραφούμε το σύνθετο δίκτυο των παραγόντων που υποκρύπτουν την παχυσαρκία, ανοίγοντας το δρόμο για πιο εξατομικευμένες και αποτελεσματικές παρεμβάσεις στο μέλλον.</w:t>
      </w:r>
    </w:p>
    <w:p>
      <w:pPr>
        <w:pStyle w:val="Normal"/>
        <w:spacing w:lineRule="auto" w:line="360"/>
        <w:rPr>
          <w:rFonts w:ascii="Helvetica" w:hAnsi="Helvetica" w:eastAsia="Calibri" w:cs="Helvetica"/>
          <w:color w:val="000000"/>
        </w:rPr>
      </w:pPr>
      <w:r>
        <w:rPr>
          <w:rFonts w:eastAsia="Calibri"/>
          <w:color w:val="000000"/>
        </w:rPr>
        <w:t> </w:t>
      </w:r>
    </w:p>
    <w:p>
      <w:pPr>
        <w:pStyle w:val="Heading2"/>
        <w:rPr/>
      </w:pPr>
      <w:bookmarkStart w:id="77" w:name="_Toc154923839"/>
      <w:r>
        <w:rPr/>
        <w:t>4.3 Βιοδείκτες (</w:t>
      </w:r>
      <w:r>
        <w:rPr>
          <w:lang w:val="en-US"/>
        </w:rPr>
        <w:t>Biomarkers</w:t>
      </w:r>
      <w:r>
        <w:rPr/>
        <w:t>)</w:t>
      </w:r>
      <w:bookmarkEnd w:id="77"/>
      <w:r>
        <w:rPr/>
        <w:t xml:space="preserve"> </w:t>
      </w:r>
    </w:p>
    <w:p>
      <w:pPr>
        <w:pStyle w:val="Normal"/>
        <w:spacing w:lineRule="auto" w:line="360"/>
        <w:ind w:firstLine="720"/>
        <w:jc w:val="both"/>
        <w:rPr>
          <w:rFonts w:eastAsia="Calibri"/>
          <w:color w:val="0F110F"/>
        </w:rPr>
      </w:pPr>
      <w:r>
        <w:rPr>
          <w:rFonts w:eastAsia="Calibri"/>
          <w:color w:val="0F110F"/>
        </w:rPr>
        <w:t xml:space="preserve">Στον τομέα της βιοϊατρικής μηχανικής, η ανακάλυψη και ανάπτυξη βιοδεικτών που σχετίζονται με γενετικούς παράγοντες στην παιδική παχυσαρκία είναι ένας σημαντικός τομέας έρευνας. Οι βιοδείκτες είναι συγκεκριμένα μόρια ή γενετικές υπογραφές που μπορούν να χρησιμεύσουν ως δείκτες αυξημένου κινδύνου παχυσαρκίας στα παιδιά. Οι βιοϊατρικοί μηχανικοί διαδραματίζουν ζωτικό ρόλο στον εντοπισμό, τη μελέτη και την ανάπτυξη ευαίσθητων και ειδικών αναλύσεων για την ανίχνευση αυτών των βιοδεικτών </w:t>
      </w:r>
      <w:r>
        <w:fldChar w:fldCharType="begin"/>
      </w:r>
      <w:r>
        <w:rPr>
          <w:rFonts w:eastAsia="Calibri"/>
          <w:color w:val="0F110F"/>
        </w:rPr>
        <w:instrText xml:space="preserve">ADDIN ZOTERO_ITEM CSL_CITATION {"citationID":"pwn7HIjS","properties":{"formattedCitation":"[176]","plainCitation":"[176]","noteIndex":0},"citationItems":[{"id":3246,"uris":["http://zotero.org/users/local/WDVvZTBM/items/X3A8UYJ3"],"itemData":{"id":3246,"type":"article-journal","abstract":"Childhood obesity presents a major risk for metabolic diseases in adulthood. Noninvasive methods are needed for predicting the course of obesity in children and its complications. Using blood for longitudinal analyses of biomarkers to predict disease ...","container-title":"Frontiers in Public Health","DOI":"10.3389/fpubh.2022.800373","language":"en","note":"publisher: Frontiers Media SA\nPMID: 35757631","source":"www.ncbi.nlm.nih.gov","title":"Salivary Biomarkers as Predictors of Obesity and Intermediate Hyperglycemia in Adolescents","URL":"https://www.ncbi.nlm.nih.gov/pmc/articles/PMC9231680/","volume":"10","author":[{"family":"Alqaderi","given":"Hend"},{"family":"Hegazi","given":"Fahad"},{"family":"Al-Mulla","given":"Fahd"},{"family":"Chiu","given":"Chung-Jung"},{"family":"Kantarci","given":"Alpdogan"},{"family":"Al-Ozairi","given":"Ebaa"},{"family":"Abu-Farha","given":"Mohamed"},{"family":"Bin-Hasan","given":"Saadoun"},{"family":"Alsumait","given":"Aishah"},{"family":"Abubaker","given":"Jehad"},{"family":"Devarajan","given":"Sriraman"},{"family":"Goodson","given":"J. Max"},{"family":"Hasturk","given":"Hatice"},{"family":"Tavares","given":"Mary"}],"accessed":{"date-parts":[["2023",12,4]]},"issued":{"date-parts":[["2022"]]}}}],"schema":"https://github.com/citation-style-language/schema/raw/master/csl-citation.json"}</w:instrText>
      </w:r>
      <w:r>
        <w:rPr>
          <w:rFonts w:eastAsia="Calibri"/>
          <w:color w:val="0F110F"/>
        </w:rPr>
      </w:r>
      <w:r>
        <w:rPr>
          <w:rFonts w:eastAsia="Calibri"/>
          <w:color w:val="0F110F"/>
        </w:rPr>
        <w:fldChar w:fldCharType="separate"/>
      </w:r>
      <w:r>
        <w:rPr>
          <w:rFonts w:eastAsia="Calibri"/>
          <w:color w:val="0F110F"/>
        </w:rPr>
        <w:t>[176]</w:t>
      </w:r>
      <w:r>
        <w:rPr>
          <w:rFonts w:eastAsia="Calibri"/>
          <w:color w:val="0F110F"/>
        </w:rPr>
      </w:r>
      <w:r>
        <w:rPr>
          <w:rFonts w:eastAsia="Calibri"/>
          <w:color w:val="0F110F"/>
        </w:rPr>
        <w:fldChar w:fldCharType="end"/>
      </w:r>
      <w:r>
        <w:rPr>
          <w:rFonts w:eastAsia="Calibri"/>
          <w:color w:val="0F110F"/>
        </w:rPr>
        <w:t>.</w:t>
      </w:r>
    </w:p>
    <w:p>
      <w:pPr>
        <w:pStyle w:val="Normal"/>
        <w:spacing w:lineRule="auto" w:line="360"/>
        <w:ind w:firstLine="720"/>
        <w:jc w:val="both"/>
        <w:rPr>
          <w:rFonts w:eastAsia="Calibri"/>
          <w:color w:val="000000"/>
        </w:rPr>
      </w:pPr>
      <w:r>
        <w:rPr>
          <w:rFonts w:eastAsia="Calibri"/>
          <w:color w:val="000000"/>
        </w:rPr>
      </w:r>
    </w:p>
    <w:p>
      <w:pPr>
        <w:pStyle w:val="Normal"/>
        <w:spacing w:lineRule="auto" w:line="360"/>
        <w:jc w:val="both"/>
        <w:rPr>
          <w:rFonts w:eastAsia="Calibri"/>
          <w:b/>
          <w:bCs/>
          <w:i/>
          <w:i/>
          <w:iCs/>
          <w:color w:val="0F110F"/>
          <w:u w:val="single"/>
        </w:rPr>
      </w:pPr>
      <w:r>
        <w:rPr>
          <w:rFonts w:eastAsia="Calibri"/>
          <w:b/>
          <w:bCs/>
          <w:i/>
          <w:iCs/>
          <w:color w:val="0F110F"/>
          <w:u w:val="single"/>
        </w:rPr>
        <w:t>Προσδιορισμός βιοδεικτών για την παιδική παχυσαρκία</w:t>
      </w:r>
    </w:p>
    <w:p>
      <w:pPr>
        <w:pStyle w:val="Normal"/>
        <w:spacing w:lineRule="auto" w:line="360"/>
        <w:ind w:firstLine="720"/>
        <w:jc w:val="both"/>
        <w:rPr>
          <w:rFonts w:eastAsia="Calibri"/>
          <w:color w:val="0F110F"/>
        </w:rPr>
      </w:pPr>
      <w:r>
        <w:rPr>
          <w:rFonts w:eastAsia="Calibri"/>
          <w:color w:val="0F110F"/>
        </w:rPr>
        <w:t xml:space="preserve">Η παιδική παχυσαρκία είναι μια περίπλοκη κατάσταση που επηρεάζεται από διάφορους γενετικούς και περιβαλλοντικούς παράγοντες. Οι βιοδείκτες που σχετίζονται με γενετικούς παράγοντες μπορούν να παρέχουν πολύτιμες γνώσεις σχετικά με την ευαισθησία ενός ατόμου στην παχυσαρκία. Μέσα από εκτεταμένη έρευνα και ανάλυση γονιδιωματικών δεδομένων, οι βιοϊατρικοί μηχανικοί μπορούν να εντοπίσουν συγκεκριμένα μόρια ή γενετικές υπογραφές που συσχετίζονται με αυξημένο κίνδυνο παχυσαρκίας στα παιδιά </w:t>
      </w:r>
      <w:r>
        <w:fldChar w:fldCharType="begin"/>
      </w:r>
      <w:r>
        <w:rPr>
          <w:rFonts w:eastAsia="Calibri"/>
          <w:color w:val="0F110F"/>
          <w:lang w:val="en-US"/>
        </w:rPr>
        <w:instrText xml:space="preserve">ADDIN ZOTERO_ITEM CSL_CITATION {"citationID":"qikcIhJa","properties":{"formattedCitation":"[177]","plainCitation":"[177]","noteIndex":0},"citationItems":[{"id":2437,"uris":["http://zotero.org/users/local/WDVvZTBM/items/93J2ZFSF"],"itemData":{"id":2437,"type":"article-journal","abstract":"Abstract\n            \n              Obesity and asthma are both common diseases with high population burden worldwide. Recent genetic association studies have shown that obesity is associated with asthma in adults. The relationship between childhood obesity and childhood asthma, and the underlying mechanisms linking obesity to asthma remain to be clarified. In the present study, leveraging large-scale genetic data from UK biobank and several other data sources, we investigated the shared genetic components between body mass index (BMI,\n              n\n               = 39620) in children and childhood asthma (\n              n\n              case\n               = 10524,\n              n\n              control\n               = 373393). We included GWAS summary statistics for nine obesity-related biomarkers to evaluate potential biological mediators underlying obesity and asthma. We found a genetic correlation (Rg = 0.10,\n              P\n               = 0.02) between childhood BMI and childhood asthma, whereas the genetic correlation between adult BMI (\n              n\n               = 371541) and childhood asthma was null (Rg = −0.03,\n              P\n               = 0.21). Genomic structural equation modeling analysis further provided evidence that the genetic effect of childhood BMI on childhood asthma (standardized effect size 0.17,\n              P\n               = 0.009) was not driven by the genetic component of adult BMI. Bayesian colocalization analysis identified a shared causal variant rs12436181 that was mapped to gene\n              AMN\n              using gene expression data in lung tissue. Mendelian randomization showed that the odds ratio of childhood asthma for one standard deviation higher of childhood BMI was 1.13 (95% confidence interval: 0.96–1.34). A systematic survey of obesity-related biomarkers showed that IL-6 and adiponectin are potential biological mediators linking obesity and asthma in children. This large-scale genetic study provides evidence that unique childhood obesity pathways could lead to childhood asthma. The findings shed light on childhood asthma pathogenic mechanisms and prevention.","container-title":"Communications Biology","DOI":"10.1038/s42003-022-04070-9","ISSN":"2399-3642","issue":"1","journalAbbreviation":"Commun Biol","language":"en","page":"1098","source":"DOI.org (Crossref)","title":"Obesity-related biomarkers underlie a shared genetic architecture between childhood body mass index and childhood asthma","volume":"5","author":[{"family":"Han","given":"Xikun"},{"family":"Zhu","given":"Zhaozhong"},{"family":"Xiao","given":"Qian"},{"family":"Li","given":"Jun"},{"family":"Hong","given":"Xiumei"},{"family":"Wang","given":"Xiaobin"},{"family":"Hasegawa","given":"Kohei"},{"family":"Camargo","given":"Carlos A."},{"family":"Liang","given":"Liming"}],"issued":{"date-parts":[["2022",10,17]]}}}],"schema":"https://github.com/citation-style-language/schema/raw/master/csl-citation.json"}</w:instrText>
      </w:r>
      <w:r>
        <w:rPr>
          <w:rFonts w:eastAsia="Calibri"/>
          <w:color w:val="0F110F"/>
          <w:lang w:val="en-US"/>
        </w:rPr>
      </w:r>
      <w:r>
        <w:rPr>
          <w:rFonts w:eastAsia="Calibri"/>
          <w:color w:val="0F110F"/>
          <w:lang w:val="en-US"/>
        </w:rPr>
        <w:fldChar w:fldCharType="separate"/>
      </w:r>
      <w:r>
        <w:rPr>
          <w:rFonts w:eastAsia="Calibri"/>
          <w:color w:val="0F110F"/>
          <w:lang w:val="en-US"/>
        </w:rPr>
      </w:r>
      <w:r>
        <w:rPr>
          <w:rFonts w:eastAsia="Calibri"/>
          <w:color w:val="0F110F"/>
        </w:rPr>
        <w:t>[177]</w:t>
      </w:r>
      <w:r>
        <w:rPr>
          <w:rFonts w:eastAsia="Calibri"/>
          <w:color w:val="0F110F"/>
          <w:lang w:val="en-US"/>
        </w:rPr>
      </w:r>
      <w:r>
        <w:rPr>
          <w:rFonts w:eastAsia="Calibri"/>
          <w:color w:val="0F110F"/>
          <w:lang w:val="en-US"/>
        </w:rPr>
        <w:fldChar w:fldCharType="end"/>
      </w:r>
      <w:r>
        <w:rPr>
          <w:rFonts w:eastAsia="Calibri"/>
          <w:color w:val="0F110F"/>
        </w:rPr>
        <w:t>.</w:t>
      </w:r>
    </w:p>
    <w:p>
      <w:pPr>
        <w:pStyle w:val="Normal"/>
        <w:spacing w:lineRule="auto" w:line="360"/>
        <w:jc w:val="both"/>
        <w:rPr>
          <w:rFonts w:eastAsia="Calibri"/>
          <w:color w:val="000000"/>
        </w:rPr>
      </w:pPr>
      <w:r>
        <w:rPr>
          <w:rFonts w:eastAsia="Calibri"/>
          <w:color w:val="000000"/>
        </w:rPr>
      </w:r>
    </w:p>
    <w:p>
      <w:pPr>
        <w:pStyle w:val="Normal"/>
        <w:spacing w:lineRule="auto" w:line="360"/>
        <w:jc w:val="both"/>
        <w:rPr>
          <w:rFonts w:eastAsia="Calibri"/>
          <w:b/>
          <w:bCs/>
          <w:i/>
          <w:i/>
          <w:iCs/>
          <w:color w:val="0F110F"/>
          <w:u w:val="single"/>
        </w:rPr>
      </w:pPr>
      <w:r>
        <w:rPr>
          <w:rFonts w:eastAsia="Calibri"/>
          <w:b/>
          <w:bCs/>
          <w:i/>
          <w:iCs/>
          <w:color w:val="0F110F"/>
          <w:u w:val="single"/>
        </w:rPr>
        <w:t>Κατανόηση της μοριακής βάσης</w:t>
      </w:r>
    </w:p>
    <w:p>
      <w:pPr>
        <w:pStyle w:val="Normal"/>
        <w:spacing w:lineRule="auto" w:line="360"/>
        <w:ind w:firstLine="720"/>
        <w:jc w:val="both"/>
        <w:rPr>
          <w:rFonts w:eastAsia="Calibri"/>
          <w:color w:val="0F110F"/>
        </w:rPr>
      </w:pPr>
      <w:r>
        <w:rPr>
          <w:rFonts w:eastAsia="Calibri"/>
          <w:color w:val="0F110F"/>
        </w:rPr>
        <w:t xml:space="preserve">Μόλις εντοπιστούν πιθανοί βιοδείκτες, οι βιοϊατρικοί μηχανικοί μπορούν να εμβαθύνουν στην κατανόηση της μοριακής βάσης πίσω από τη συσχέτισή τους με την παχυσαρκία. Αυτό περιλαμβάνει τη μελέτη των υποκείμενων μηχανισμών, οδών και αλληλεπιδράσεων με τις οποίες αυτοί οι βιοδείκτες συμβάλλουν στην ανάπτυξη ή την εξέλιξη της παχυσαρκίας. Τέτοιες έρευνες βοηθούν να ρίξουν φως στις πολύπλοκες βιολογικές διεργασίες που εμπλέκονται στην πάθηση </w:t>
      </w:r>
      <w:r>
        <w:fldChar w:fldCharType="begin"/>
      </w:r>
      <w:r>
        <w:rPr>
          <w:rFonts w:eastAsia="Calibri"/>
          <w:color w:val="0F110F"/>
          <w:lang w:val="en-US"/>
        </w:rPr>
        <w:instrText xml:space="preserve">ADDIN ZOTERO_ITEM CSL_CITATION {"citationID":"qz1IsjZ1","properties":{"formattedCitation":"[178]","plainCitation":"[178]","noteIndex":0},"citationItems":[{"id":3249,"uris":["http://zotero.org/users/local/WDVvZTBM/items/6LESWJD2"],"itemData":{"id":3249,"type":"article-journal","abstract":"Obese children present a higher cardio-metabolic risk. Measuring vascular biomarkers that assess the evolution of arterial stiffness, subclinical atherosclerosis, and hypertension in such patients could be helpful in the long term. We studied 84 children, aged from 6 to 18 years: 50 obese subjects, versus 34 of normal weight. Clinical examination involved: BMI, waist circumference, waist-to-height ratio, and detection of the presence of acanthosis nigricans and irregular menstrual cycles (the latter in adolescent girls). The carotid intima-media thickness (CIMT) was measured with the Aixplorer MACH 30 echography device. The pulse wave velocity (PWV), augmentation index (AIx), and peripheral and central blood pressures (i.e., SBP, DBP, cSBP, cDBP, and cPP) were acquired through a Mobil-O-Graph device. Obese subjects underwent body composition analysis with a Tanita BC-418. Blood tests were: HOMA-IR, lipid panel, uric acid, and 25-OH vitamin D. All vascular biomarkers presented increased values in obese subjects versus controls. The following cut-off values were significant in detecting obesity: for PWV &gt; 4.6 m/s, cSBP &gt; 106 mmHg for the &lt;12-year-olds, PWV &gt; 4.5 m/s and cSBP &gt; 115 mmHg for the 12–15-year-olds, and PWV &gt; 5 m/s, cSBP &gt; 123 mmHg for the &gt;15-year-olds. AIx is higher in obese children, regardless of their insulin resistance status. Waist circumference and waist-to-height ratio correlate to all vascular parameters. HOMA-IR is an independent predictor for all vascular parameters except CIMT. Cut-off values for PWV of &gt;4.8 m/s, SBP &gt; 125 mmHg, and a cSBP &gt; 117 mmHg predicted the presence of acanthosis nigricans. Obese girls with irregular menses displayed significantly higher PWV, SBP, and DPB. Elevated levels of uric acid, LDL-c, non-LDL-c, triglycerides, and transaminases, and low levels of HDL-c and 25-OH vitamin D correlated with higher arterial stiffness and CIMT values. We conclude that CIMT and the markers of arterial stiffness are useful in the early detection of vascular damage in obese children.","container-title":"Biomedicines","DOI":"10.3390/biomedicines11071841","ISSN":"2227-9059","issue":"7","language":"en","license":"http://creativecommons.org/licenses/by/3.0/","note":"number: 7\npublisher: Multidisciplinary Digital Publishing Institute","page":"1841","source":"www.mdpi.com","title":"Unveiling the Silent Danger of Childhood Obesity: Non-Invasive Biomarkers Such as Carotid Intima-Media Thickness, Arterial Stiffness Surrogate Markers, and Blood Pressure Are Useful in Detecting Early Vascular Alterations in Obese Children","title-short":"Unveiling the Silent Danger of Childhood Obesity","volume":"11","author":[{"family":"Mihuta","given":"Monica Simina"},{"family":"Paul","given":"Corina"},{"family":"Borlea","given":"Andreea"},{"family":"Roi","given":"Cristina Mihaela"},{"family":"Velea-Barta","given":"Oana-Alexandra"},{"family":"Mozos","given":"Ioana"},{"family":"Stoian","given":"Dana"}],"issued":{"date-parts":[["2023",7]]}}}],"schema":"https://github.com/citation-style-language/schema/raw/master/csl-citation.json"}</w:instrText>
      </w:r>
      <w:r>
        <w:rPr>
          <w:rFonts w:eastAsia="Calibri"/>
          <w:color w:val="0F110F"/>
          <w:lang w:val="en-US"/>
        </w:rPr>
      </w:r>
      <w:r>
        <w:rPr>
          <w:rFonts w:eastAsia="Calibri"/>
          <w:color w:val="0F110F"/>
          <w:lang w:val="en-US"/>
        </w:rPr>
        <w:fldChar w:fldCharType="separate"/>
      </w:r>
      <w:r>
        <w:rPr>
          <w:rFonts w:eastAsia="Calibri"/>
          <w:color w:val="0F110F"/>
          <w:lang w:val="en-US"/>
        </w:rPr>
      </w:r>
      <w:r>
        <w:rPr>
          <w:rFonts w:eastAsia="Calibri"/>
          <w:color w:val="0F110F"/>
        </w:rPr>
        <w:t>[178]</w:t>
      </w:r>
      <w:r>
        <w:rPr>
          <w:rFonts w:eastAsia="Calibri"/>
          <w:color w:val="0F110F"/>
          <w:lang w:val="en-US"/>
        </w:rPr>
      </w:r>
      <w:r>
        <w:rPr>
          <w:rFonts w:eastAsia="Calibri"/>
          <w:color w:val="0F110F"/>
          <w:lang w:val="en-US"/>
        </w:rPr>
        <w:fldChar w:fldCharType="end"/>
      </w:r>
      <w:r>
        <w:rPr>
          <w:rFonts w:eastAsia="Calibri"/>
          <w:color w:val="0F110F"/>
        </w:rPr>
        <w:t>.</w:t>
      </w:r>
    </w:p>
    <w:p>
      <w:pPr>
        <w:pStyle w:val="Normal"/>
        <w:spacing w:lineRule="auto" w:line="360"/>
        <w:jc w:val="both"/>
        <w:rPr>
          <w:rFonts w:eastAsia="Calibri"/>
          <w:color w:val="000000"/>
        </w:rPr>
      </w:pPr>
      <w:r>
        <w:rPr>
          <w:rFonts w:eastAsia="Calibri"/>
          <w:color w:val="000000"/>
        </w:rPr>
      </w:r>
    </w:p>
    <w:p>
      <w:pPr>
        <w:pStyle w:val="Normal"/>
        <w:spacing w:lineRule="auto" w:line="360"/>
        <w:jc w:val="both"/>
        <w:rPr>
          <w:rFonts w:eastAsia="Calibri"/>
          <w:b/>
          <w:bCs/>
          <w:i/>
          <w:i/>
          <w:iCs/>
          <w:color w:val="0F110F"/>
          <w:u w:val="single"/>
        </w:rPr>
      </w:pPr>
      <w:r>
        <w:rPr>
          <w:rFonts w:eastAsia="Calibri"/>
          <w:b/>
          <w:bCs/>
          <w:i/>
          <w:iCs/>
          <w:color w:val="0F110F"/>
          <w:u w:val="single"/>
        </w:rPr>
        <w:t>Ανάπτυξη δοκιμών για την ανίχνευση βιοδεικτών</w:t>
      </w:r>
    </w:p>
    <w:p>
      <w:pPr>
        <w:pStyle w:val="Normal"/>
        <w:spacing w:lineRule="auto" w:line="360"/>
        <w:ind w:firstLine="720"/>
        <w:jc w:val="both"/>
        <w:rPr>
          <w:rFonts w:eastAsia="Calibri"/>
          <w:color w:val="0F110F"/>
        </w:rPr>
      </w:pPr>
      <w:r>
        <w:rPr>
          <w:rFonts w:eastAsia="Calibri"/>
          <w:color w:val="0F110F"/>
        </w:rPr>
        <w:t xml:space="preserve">Για να χρησιμοποιηθούν αποτελεσματικά αυτοί οι βιοδείκτες, είναι απαραίτητο να αναπτυχθούν δοκιμές που μπορούν να τους ανιχνεύσουν με ακρίβεια και αξιοπιστία. Οι βιοϊατρικοί μηχανικοί διαθέτουν την απαραίτητη τεχνογνωσία για να σχεδιάσουν και να βελτιστοποιήσουν ευαίσθητες και ειδικές αναλύσεις για την ανίχνευση βιοδεικτών. Αυτό περιλαμβάνει τη χρήση διαφόρων τεχνικών και τεχνολογιών, όπως η μοριακή βιολογία, η γονιδιωματική, η πρωτεϊνική και η βιοπληροφορική, για την ανάπτυξη ισχυρών διαγνωστικών εργαλείων </w:t>
      </w:r>
      <w:r>
        <w:fldChar w:fldCharType="begin"/>
      </w:r>
      <w:r>
        <w:rPr>
          <w:rFonts w:eastAsia="Calibri"/>
          <w:color w:val="0F110F"/>
          <w:lang w:val="en-US"/>
        </w:rPr>
        <w:instrText xml:space="preserve">ADDIN ZOTERO_ITEM CSL_CITATION {"citationID":"s8N1kUem","properties":{"formattedCitation":"[179]","plainCitation":"[179]","noteIndex":0},"citationItems":[{"id":3244,"uris":["http://zotero.org/users/local/WDVvZTBM/items/LPZNE85V"],"itemData":{"id":3244,"type":"article-journal","abstract":"Regulation of the Renin-Angiotensin System (RAS) and the kallikrein-kinin system (KKS) by obesity in adolescents.","container-title":"Hypertension Research","DOI":"10.1038/s41440-021-00651-z","ISSN":"1348-4214","issue":"8","journalAbbreviation":"Hypertens Res","language":"en","license":"2021 The Author(s), under exclusive licence to The Japanese Society of Hypertension","note":"number: 8\npublisher: Nature Publishing Group","page":"1030-1033","source":"www.nature.com","title":"Novel biomarkers of childhood and adolescent obesity","volume":"44","author":[{"family":"Yanes Cardozo","given":"Licy L."},{"family":"Romero","given":"Damian G."}],"issued":{"date-parts":[["2021",8]]}}}],"schema":"https://github.com/citation-style-language/schema/raw/master/csl-citation.json"}</w:instrText>
      </w:r>
      <w:r>
        <w:rPr>
          <w:rFonts w:eastAsia="Calibri"/>
          <w:color w:val="0F110F"/>
          <w:lang w:val="en-US"/>
        </w:rPr>
      </w:r>
      <w:r>
        <w:rPr>
          <w:rFonts w:eastAsia="Calibri"/>
          <w:color w:val="0F110F"/>
          <w:lang w:val="en-US"/>
        </w:rPr>
        <w:fldChar w:fldCharType="separate"/>
      </w:r>
      <w:r>
        <w:rPr>
          <w:rFonts w:eastAsia="Calibri"/>
          <w:color w:val="0F110F"/>
          <w:lang w:val="en-US"/>
        </w:rPr>
      </w:r>
      <w:r>
        <w:rPr>
          <w:rFonts w:eastAsia="Calibri"/>
          <w:color w:val="0F110F"/>
        </w:rPr>
        <w:t>[179]</w:t>
      </w:r>
      <w:r>
        <w:rPr>
          <w:rFonts w:eastAsia="Calibri"/>
          <w:color w:val="0F110F"/>
          <w:lang w:val="en-US"/>
        </w:rPr>
      </w:r>
      <w:r>
        <w:rPr>
          <w:rFonts w:eastAsia="Calibri"/>
          <w:color w:val="0F110F"/>
          <w:lang w:val="en-US"/>
        </w:rPr>
        <w:fldChar w:fldCharType="end"/>
      </w:r>
      <w:r>
        <w:rPr>
          <w:rFonts w:eastAsia="Calibri"/>
          <w:color w:val="0F110F"/>
        </w:rPr>
        <w:t>.</w:t>
      </w:r>
    </w:p>
    <w:p>
      <w:pPr>
        <w:pStyle w:val="Normal"/>
        <w:spacing w:lineRule="auto" w:line="360"/>
        <w:jc w:val="both"/>
        <w:rPr>
          <w:rFonts w:eastAsia="Calibri"/>
          <w:color w:val="000000"/>
        </w:rPr>
      </w:pPr>
      <w:r>
        <w:rPr>
          <w:rFonts w:eastAsia="Calibri"/>
          <w:color w:val="000000"/>
        </w:rPr>
      </w:r>
    </w:p>
    <w:p>
      <w:pPr>
        <w:pStyle w:val="Normal"/>
        <w:spacing w:lineRule="auto" w:line="360"/>
        <w:jc w:val="both"/>
        <w:rPr>
          <w:rFonts w:eastAsia="Calibri"/>
          <w:b/>
          <w:bCs/>
          <w:i/>
          <w:i/>
          <w:iCs/>
          <w:color w:val="0F110F"/>
          <w:u w:val="single"/>
        </w:rPr>
      </w:pPr>
      <w:r>
        <w:rPr>
          <w:rFonts w:eastAsia="Calibri"/>
          <w:b/>
          <w:bCs/>
          <w:i/>
          <w:iCs/>
          <w:color w:val="0F110F"/>
          <w:u w:val="single"/>
        </w:rPr>
        <w:t>Ενίσχυση της έγκαιρης ανίχνευσης και της παρέμβασης</w:t>
      </w:r>
    </w:p>
    <w:p>
      <w:pPr>
        <w:pStyle w:val="Normal"/>
        <w:spacing w:lineRule="auto" w:line="360"/>
        <w:ind w:firstLine="720"/>
        <w:jc w:val="both"/>
        <w:rPr>
          <w:rFonts w:eastAsia="Calibri"/>
          <w:color w:val="0F110F"/>
        </w:rPr>
      </w:pPr>
      <w:r>
        <w:rPr>
          <w:rFonts w:eastAsia="Calibri"/>
          <w:color w:val="0F110F"/>
        </w:rPr>
        <w:t xml:space="preserve">Η ανακάλυψη βιοδεικτών που σχετίζονται με γενετικούς παράγοντες στην παιδική παχυσαρκία ανοίγει δρόμους για έγκαιρη ανίχνευση και παρέμβαση. Χρησιμοποιώντας αυτούς τους βιοδείκτες ως διαγνωστικούς δείκτες, οι επαγγελματίες υγείας μπορούν να εντοπίσουν παιδιά με υψηλότερο κίνδυνο να αναπτύξουν παχυσαρκία σε πρώιμο στάδιο. Αυτή η προληπτική προσέγγιση επιτρέπει την εφαρμογή στοχευμένων παρεμβάσεων, όπως εξατομικευμένες τροποποιήσεις διατροφής και τρόπου ζωής, για την πρόληψη ή τον μετριασμό του κινδύνου παχυσαρκίας </w:t>
      </w:r>
      <w:r>
        <w:fldChar w:fldCharType="begin"/>
      </w:r>
      <w:r>
        <w:rPr>
          <w:rFonts w:eastAsia="Calibri"/>
          <w:color w:val="0F110F"/>
          <w:lang w:val="en-US"/>
        </w:rPr>
        <w:instrText xml:space="preserve">ADDIN ZOTERO_ITEM CSL_CITATION {"citationID":"nnkITtKV","properties":{"formattedCitation":"[178]","plainCitation":"[178]","noteIndex":0},"citationItems":[{"id":3249,"uris":["http://zotero.org/users/local/WDVvZTBM/items/6LESWJD2"],"itemData":{"id":3249,"type":"article-journal","abstract":"Obese children present a higher cardio-metabolic risk. Measuring vascular biomarkers that assess the evolution of arterial stiffness, subclinical atherosclerosis, and hypertension in such patients could be helpful in the long term. We studied 84 children, aged from 6 to 18 years: 50 obese subjects, versus 34 of normal weight. Clinical examination involved: BMI, waist circumference, waist-to-height ratio, and detection of the presence of acanthosis nigricans and irregular menstrual cycles (the latter in adolescent girls). The carotid intima-media thickness (CIMT) was measured with the Aixplorer MACH 30 echography device. The pulse wave velocity (PWV), augmentation index (AIx), and peripheral and central blood pressures (i.e., SBP, DBP, cSBP, cDBP, and cPP) were acquired through a Mobil-O-Graph device. Obese subjects underwent body composition analysis with a Tanita BC-418. Blood tests were: HOMA-IR, lipid panel, uric acid, and 25-OH vitamin D. All vascular biomarkers presented increased values in obese subjects versus controls. The following cut-off values were significant in detecting obesity: for PWV &gt; 4.6 m/s, cSBP &gt; 106 mmHg for the &lt;12-year-olds, PWV &gt; 4.5 m/s and cSBP &gt; 115 mmHg for the 12–15-year-olds, and PWV &gt; 5 m/s, cSBP &gt; 123 mmHg for the &gt;15-year-olds. AIx is higher in obese children, regardless of their insulin resistance status. Waist circumference and waist-to-height ratio correlate to all vascular parameters. HOMA-IR is an independent predictor for all vascular parameters except CIMT. Cut-off values for PWV of &gt;4.8 m/s, SBP &gt; 125 mmHg, and a cSBP &gt; 117 mmHg predicted the presence of acanthosis nigricans. Obese girls with irregular menses displayed significantly higher PWV, SBP, and DPB. Elevated levels of uric acid, LDL-c, non-LDL-c, triglycerides, and transaminases, and low levels of HDL-c and 25-OH vitamin D correlated with higher arterial stiffness and CIMT values. We conclude that CIMT and the markers of arterial stiffness are useful in the early detection of vascular damage in obese children.","container-title":"Biomedicines","DOI":"10.3390/biomedicines11071841","ISSN":"2227-9059","issue":"7","language":"en","license":"http://creativecommons.org/licenses/by/3.0/","note":"number: 7\npublisher: Multidisciplinary Digital Publishing Institute","page":"1841","source":"www.mdpi.com","title":"Unveiling the Silent Danger of Childhood Obesity: Non-Invasive Biomarkers Such as Carotid Intima-Media Thickness, Arterial Stiffness Surrogate Markers, and Blood Pressure Are Useful in Detecting Early Vascular Alterations in Obese Children","title-short":"Unveiling the Silent Danger of Childhood Obesity","volume":"11","author":[{"family":"Mihuta","given":"Monica Simina"},{"family":"Paul","given":"Corina"},{"family":"Borlea","given":"Andreea"},{"family":"Roi","given":"Cristina Mihaela"},{"family":"Velea-Barta","given":"Oana-Alexandra"},{"family":"Mozos","given":"Ioana"},{"family":"Stoian","given":"Dana"}],"issued":{"date-parts":[["2023",7]]}}}],"schema":"https://github.com/citation-style-language/schema/raw/master/csl-citation.json"}</w:instrText>
      </w:r>
      <w:r>
        <w:rPr>
          <w:rFonts w:eastAsia="Calibri"/>
          <w:color w:val="0F110F"/>
          <w:lang w:val="en-US"/>
        </w:rPr>
      </w:r>
      <w:r>
        <w:rPr>
          <w:rFonts w:eastAsia="Calibri"/>
          <w:color w:val="0F110F"/>
          <w:lang w:val="en-US"/>
        </w:rPr>
        <w:fldChar w:fldCharType="separate"/>
      </w:r>
      <w:r>
        <w:rPr>
          <w:rFonts w:eastAsia="Calibri"/>
          <w:color w:val="0F110F"/>
          <w:lang w:val="en-US"/>
        </w:rPr>
      </w:r>
      <w:r>
        <w:rPr>
          <w:rFonts w:eastAsia="Calibri"/>
          <w:color w:val="0F110F"/>
        </w:rPr>
        <w:t>[178]</w:t>
      </w:r>
      <w:r>
        <w:rPr>
          <w:rFonts w:eastAsia="Calibri"/>
          <w:color w:val="0F110F"/>
          <w:lang w:val="en-US"/>
        </w:rPr>
      </w:r>
      <w:r>
        <w:rPr>
          <w:rFonts w:eastAsia="Calibri"/>
          <w:color w:val="0F110F"/>
          <w:lang w:val="en-US"/>
        </w:rPr>
        <w:fldChar w:fldCharType="end"/>
      </w:r>
      <w:r>
        <w:rPr>
          <w:rFonts w:eastAsia="Calibri"/>
          <w:color w:val="0F110F"/>
        </w:rPr>
        <w:t>.</w:t>
      </w:r>
    </w:p>
    <w:p>
      <w:pPr>
        <w:pStyle w:val="Normal"/>
        <w:spacing w:lineRule="auto" w:line="360"/>
        <w:jc w:val="both"/>
        <w:rPr>
          <w:rFonts w:eastAsia="Calibri"/>
          <w:color w:val="000000"/>
        </w:rPr>
      </w:pPr>
      <w:r>
        <w:rPr>
          <w:rFonts w:eastAsia="Calibri"/>
          <w:color w:val="000000"/>
        </w:rPr>
      </w:r>
    </w:p>
    <w:p>
      <w:pPr>
        <w:pStyle w:val="Normal"/>
        <w:spacing w:lineRule="auto" w:line="360"/>
        <w:jc w:val="both"/>
        <w:rPr>
          <w:rFonts w:eastAsia="Calibri"/>
          <w:b/>
          <w:bCs/>
          <w:i/>
          <w:i/>
          <w:iCs/>
          <w:color w:val="0F110F"/>
          <w:u w:val="single"/>
        </w:rPr>
      </w:pPr>
      <w:r>
        <w:rPr>
          <w:rFonts w:eastAsia="Calibri"/>
          <w:b/>
          <w:bCs/>
          <w:i/>
          <w:iCs/>
          <w:color w:val="0F110F"/>
          <w:u w:val="single"/>
        </w:rPr>
        <w:t>Προώθηση προσεγγίσεων ιατρικής ακριβείας</w:t>
      </w:r>
    </w:p>
    <w:p>
      <w:pPr>
        <w:pStyle w:val="Normal"/>
        <w:spacing w:lineRule="auto" w:line="360"/>
        <w:ind w:firstLine="720"/>
        <w:jc w:val="both"/>
        <w:rPr>
          <w:rFonts w:eastAsia="Calibri"/>
          <w:color w:val="0F110F"/>
        </w:rPr>
      </w:pPr>
      <w:r>
        <w:rPr>
          <w:rFonts w:eastAsia="Calibri"/>
          <w:color w:val="0F110F"/>
        </w:rPr>
        <w:t xml:space="preserve">Η ανάπτυξη βιοδεικτών για την παιδική παχυσαρκία συμβάλλει στον τομέα της ιατρικής ακριβείας, που στοχεύει στην παροχή εξατομικευμένης υγειονομικής περίθαλψης με βάση το μοναδικό γενετικό προφίλ ενός ατόμου. Κατανοώντας τους γενετικούς παράγοντες που επηρεάζουν την παχυσαρκία στα παιδιά, οι επαγγελματίες υγείας μπορούν να αναπτύξουν εξατομικευμένες θεραπευτικές στρατηγικές και παρεμβάσεις. Οι βιοϊατρικοί μηχανικοί συνεργάζονται με παρόχους υγειονομικής περίθαλψης για να μεταφράσουν αυτές τις ανακαλύψεις σε πρακτικές εφαρμογές που βελτιώνουν τα αποτελέσματα των ασθενών </w:t>
      </w:r>
      <w:r>
        <w:fldChar w:fldCharType="begin"/>
      </w:r>
      <w:r>
        <w:rPr>
          <w:rFonts w:eastAsia="Calibri"/>
          <w:color w:val="0F110F"/>
        </w:rPr>
        <w:instrText xml:space="preserve">ADDIN ZOTERO_ITEM CSL_CITATION {"citationID":"qG9L1lM5","properties":{"formattedCitation":"[180]","plainCitation":"[180]","noteIndex":0},"citationItems":[{"id":3251,"uris":["http://zotero.org/users/local/WDVvZTBM/items/MZL62R99"],"itemData":{"id":3251,"type":"article-journal","abstract":"The occurrence of cardiovascular diseases and metabolic disorders steadily increases with the body mass index (BMI). Since the latter is not the best and earliest indicator of obesity and cardiovascular risk, the aim of the study was to evaluate some potential biological markers that would allow us to detect children and adolescents at higher risk at an early stage. A sample of 330 children and adolescents were included in the study and divided into four groups: obese patients with hypertension, normal-weight patients with hypertension, patients with mildly elevated lipids and a control group of healthy children and adolescents. Some clinical parameters (age, body weight, body height, BMI, waist circumference, hip circumference, blood pressure), biochemical parameters (glucose, total cholesterol, triglycerides, HDL, LDL, apolipoprotein A1, homocysteine) and biological markers of obesity (ghrelin, adiponectin, leptin) were evaluated. Ghrelin and adiponectin were found to have a strong negative statistically significant correlation with BMI in all three observed groups (p &lt; 0.001), but not in the control group (p = 0.053 and p = 0.316, respectively). In addition, leptin had a strong positive statistically significant correlation with BMI in all four groups (p &lt; 0.001 for the research groups, p = 0.009 for the controls). In the group of obese patients with hypertension, statistically significant differences in all three markers of obesity were found in comparison to the control group (p &lt; 0.001 for all markers). In the group of patients with mildly elevated lipids, ghrelin and leptin were significantly different (p = 0.002 and p &lt; 0.001, respectively). In the group of normal-weight hypertensive patients, only values of ghrelin were different compared to the control group (p = 0.001). In the research groups, significant differences were found in clinical, biochemical and biological parameters compared to the control group. The observed biological markers of obesity are useful early markers for identifying groups of patients that are at cardiovascular risk.","container-title":"BMC Pediatrics","DOI":"10.1186/s12887-020-1978-5","ISSN":"1471-2431","issue":"1","journalAbbreviation":"BMC Pediatr","language":"en","license":"2020 The Author(s).","note":"number: 1\npublisher: BioMed Central","page":"1-9","source":"bmcpediatr.biomedcentral.com","title":"The associations between some biological markers, obesity, and cardiovascular risk in Slovenian children and adolescents","volume":"20","author":[{"family":"Varda","given":"Nataša Marčun"},{"family":"Medved","given":"Martina"},{"family":"Ojsteršek","given":"Laura"}],"issued":{"date-parts":[["2020",12]]}}}],"schema":"https://github.com/citation-style-language/schema/raw/master/csl-citation.json"}</w:instrText>
      </w:r>
      <w:r>
        <w:rPr>
          <w:rFonts w:eastAsia="Calibri"/>
          <w:color w:val="0F110F"/>
        </w:rPr>
      </w:r>
      <w:r>
        <w:rPr>
          <w:rFonts w:eastAsia="Calibri"/>
          <w:color w:val="0F110F"/>
        </w:rPr>
        <w:fldChar w:fldCharType="separate"/>
      </w:r>
      <w:r>
        <w:rPr>
          <w:rFonts w:eastAsia="Calibri"/>
          <w:color w:val="0F110F"/>
        </w:rPr>
        <w:t>[180]</w:t>
      </w:r>
      <w:r>
        <w:rPr>
          <w:rFonts w:eastAsia="Calibri"/>
          <w:color w:val="0F110F"/>
        </w:rPr>
      </w:r>
      <w:r>
        <w:rPr>
          <w:rFonts w:eastAsia="Calibri"/>
          <w:color w:val="0F110F"/>
        </w:rPr>
        <w:fldChar w:fldCharType="end"/>
      </w:r>
      <w:r>
        <w:rPr>
          <w:rFonts w:eastAsia="Calibri"/>
          <w:color w:val="0F110F"/>
        </w:rPr>
        <w:t xml:space="preserve">. </w:t>
      </w:r>
    </w:p>
    <w:p>
      <w:pPr>
        <w:pStyle w:val="Normal"/>
        <w:spacing w:lineRule="auto" w:line="360"/>
        <w:jc w:val="both"/>
        <w:rPr>
          <w:rFonts w:eastAsia="Calibri"/>
          <w:color w:val="000000"/>
        </w:rPr>
      </w:pPr>
      <w:r>
        <w:rPr>
          <w:rFonts w:eastAsia="Calibri"/>
          <w:color w:val="000000"/>
        </w:rPr>
      </w:r>
    </w:p>
    <w:p>
      <w:pPr>
        <w:pStyle w:val="Normal"/>
        <w:spacing w:lineRule="auto" w:line="360"/>
        <w:ind w:firstLine="720"/>
        <w:jc w:val="both"/>
        <w:rPr>
          <w:rFonts w:eastAsia="Calibri"/>
          <w:color w:val="000000"/>
        </w:rPr>
      </w:pPr>
      <w:r>
        <w:rPr>
          <w:rFonts w:eastAsia="Calibri"/>
          <w:color w:val="0F110F"/>
        </w:rPr>
        <w:t>Ο εντοπισμός και η ανάπτυξη βιοδεικτών που σχετίζονται με γενετικούς παράγοντες στην παιδική παχυσαρκία αντιπροσωπεύουν έναν συναρπαστικό τομέα στη βιοϊατρική μηχανική. Οι βιοϊατρικοί μηχανικοί διαδραματίζουν κρίσιμο ρόλο στην ανακάλυψη αυτών των βιοδεικτών, στην κατανόηση της μοριακής τους βάσης και στην ανάπτυξη αναλύσεων για ακριβή ανίχνευση. Η ενσωμάτωση αυτών των βιοδεικτών στην κλινική πρακτική έχει τη δυνατότητα να βελτιώσει την έγκαιρη ανίχνευση, την παρέμβαση και την εξατομικευμένη διαχείριση της παιδικής παχυσαρκίας, ενώ παράλληλα ανοίγει το δρόμο για προσεγγίσεις ιατρικής ακριβείας στο πεδίο.</w:t>
      </w:r>
    </w:p>
    <w:p>
      <w:pPr>
        <w:pStyle w:val="Normal"/>
        <w:spacing w:lineRule="auto" w:line="360"/>
        <w:rPr>
          <w:rFonts w:ascii="Helvetica" w:hAnsi="Helvetica" w:eastAsia="Calibri" w:cs="Helvetica"/>
          <w:color w:val="000000"/>
        </w:rPr>
      </w:pPr>
      <w:r>
        <w:rPr>
          <w:rFonts w:eastAsia="Calibri"/>
          <w:color w:val="000000"/>
        </w:rPr>
        <w:t> </w:t>
      </w:r>
    </w:p>
    <w:p>
      <w:pPr>
        <w:pStyle w:val="Heading2"/>
        <w:rPr/>
      </w:pPr>
      <w:bookmarkStart w:id="78" w:name="_Toc154923840"/>
      <w:r>
        <w:rPr/>
        <w:t>4.4 Η λειτουργική γονιδιωματική (</w:t>
      </w:r>
      <w:r>
        <w:rPr>
          <w:lang w:val="en-US"/>
        </w:rPr>
        <w:t>Functional</w:t>
      </w:r>
      <w:r>
        <w:rPr/>
        <w:t xml:space="preserve"> </w:t>
      </w:r>
      <w:r>
        <w:rPr>
          <w:lang w:val="en-US"/>
        </w:rPr>
        <w:t>Genomics</w:t>
      </w:r>
      <w:r>
        <w:rPr/>
        <w:t>)</w:t>
      </w:r>
      <w:bookmarkEnd w:id="78"/>
    </w:p>
    <w:p>
      <w:pPr>
        <w:pStyle w:val="Normal"/>
        <w:spacing w:lineRule="auto" w:line="360"/>
        <w:ind w:firstLine="720"/>
        <w:jc w:val="both"/>
        <w:rPr>
          <w:rFonts w:eastAsia="Calibri"/>
          <w:color w:val="0F110F"/>
        </w:rPr>
      </w:pPr>
      <w:r>
        <w:rPr>
          <w:rFonts w:eastAsia="Calibri"/>
          <w:color w:val="0F110F"/>
        </w:rPr>
        <w:t>Η λειτουργική γονιδιωματική είναι ένας βασικός τομέας στον οποίο οι βιοϊατρικοί μηχανικοί μπορούν να συνεισφέρουν σημαντικά. Μελετώντας πώς λειτουργούν αναγνωρισμένες γενετικές παραλλαγές σε κυτταρικό και μοριακό επίπεδο, οι βιοϊατρικοί μηχανικοί ενισχύουν την κατανόησή μας για τον αντίκτυπο αυτών των γενετικών παραλλαγών σε διάφορες πτυχές των κυτταρικών διεργασιών, της γονιδιακής έκφρασης, της πρωτεϊνικής λειτουργίας και του μεταβολισμού και της ενεργειακής ισορροπίας.</w:t>
      </w:r>
    </w:p>
    <w:p>
      <w:pPr>
        <w:pStyle w:val="Normal"/>
        <w:spacing w:lineRule="auto" w:line="360"/>
        <w:ind w:firstLine="720"/>
        <w:jc w:val="both"/>
        <w:rPr>
          <w:rFonts w:eastAsia="Calibri"/>
          <w:color w:val="000000"/>
        </w:rPr>
      </w:pPr>
      <w:r>
        <w:rPr>
          <w:rFonts w:eastAsia="Calibri"/>
          <w:color w:val="000000"/>
        </w:rPr>
      </w:r>
    </w:p>
    <w:p>
      <w:pPr>
        <w:pStyle w:val="Normal"/>
        <w:spacing w:lineRule="auto" w:line="360"/>
        <w:jc w:val="both"/>
        <w:rPr>
          <w:rFonts w:eastAsia="Calibri"/>
          <w:b/>
          <w:bCs/>
          <w:i/>
          <w:i/>
          <w:iCs/>
          <w:color w:val="0F110F"/>
          <w:u w:val="single"/>
        </w:rPr>
      </w:pPr>
      <w:r>
        <w:rPr>
          <w:rFonts w:eastAsia="Calibri"/>
          <w:b/>
          <w:bCs/>
          <w:i/>
          <w:iCs/>
          <w:color w:val="0F110F"/>
          <w:u w:val="single"/>
        </w:rPr>
        <w:t>Διερεύνηση της γονιδιακής έκφρασης</w:t>
      </w:r>
    </w:p>
    <w:p>
      <w:pPr>
        <w:pStyle w:val="Normal"/>
        <w:spacing w:lineRule="auto" w:line="360"/>
        <w:ind w:firstLine="720"/>
        <w:jc w:val="both"/>
        <w:rPr>
          <w:rFonts w:eastAsia="Calibri"/>
          <w:color w:val="0F110F"/>
        </w:rPr>
      </w:pPr>
      <w:r>
        <w:rPr>
          <w:rFonts w:eastAsia="Calibri"/>
          <w:color w:val="0F110F"/>
        </w:rPr>
        <w:t xml:space="preserve">Μια πτυχή της λειτουργικής γονιδιωματικής περιλαμβάνει τη διερεύνηση του τρόπου με τον οποίο οι γενετικές παραλλαγές επηρεάζουν τη γονιδιακή έκφραση. Οι βιοϊατρικοί μηχανικοί μπορούν να χρησιμοποιήσουν διάφορες τεχνικές, όπως η μεταγραφική, για να μελετήσουν πώς συγκεκριμένες γενετικές παραλλαγές επηρεάζουν τα επίπεδα γονιδιακής έκφρασης. Αυτή η γνώση μας βοηθά να αποκαλύψουμε τους υποκείμενους μηχανισμούς με τους οποίους αυτές οι παραλλαγές συμβάλλουν σε μεταβολικές διαταραχές όπως η παχυσαρκία </w:t>
      </w:r>
      <w:r>
        <w:fldChar w:fldCharType="begin"/>
      </w:r>
      <w:r>
        <w:rPr>
          <w:rFonts w:eastAsia="Calibri"/>
          <w:color w:val="0F110F"/>
        </w:rPr>
        <w:instrText xml:space="preserve">ADDIN ZOTERO_ITEM CSL_CITATION {"citationID":"ofL07HAp","properties":{"formattedCitation":"[71]","plainCitation":"[71]","noteIndex":0},"citationItems":[{"id":2420,"uris":["http://zotero.org/users/local/WDVvZTBM/items/TZVACEE6"],"itemData":{"id":2420,"type":"article-journal","abstract":"Obesity represents a major health burden to both developed and developing countries. Furthermore, the incidence of obesity is increasing in children. Obesity contributes substantially to mortality in the United States by increasing the risk for type 2 diabetes, cardiovascular-related diseases, and other comorbidities. Despite environmental changes over past decades, including increases in high-calorie foods and sedentary lifestyles, there is very clear evidence of a genetic predisposition to obesity risk. Childhood obesity cases can be categorized in one of two ways: syndromic or non-syndromic. Syndromic obesity includes disorders such as PraderWilli syndrome, Bardet-Biedl syndrome, and Alström syndrome. Non-syndromic cases of obesity can be further separated into rarer instances of monogenic obesity and much more common forms of polygenic obesity. The advent of genome-wide association studies (GWAS) and next-generation sequencing has driven significant advances in our understanding of the genetic contribution to childhood obesity. Many rare and common genetic variants have been shown to contribute to the heritability in obesity, although the molecular mechanisms underlying most of these variants remain unclear. An important caveat of GWAS efforts is that they do not strictly represent gene target discoveries, rather simply the uncovering of robust genetic signals. One clear example of this is with progress in understanding the key obesity signal harbored within an intronic region of the FTO gene. It has been shown that the non-coding region in which the variant actually resides in fact influences the expression of genes distal to FTO instead, specifically IRX3 and IRX5. Such discoveries suggest that associated non-coding variants can be embedded within or next to one gene, but commonly influence the expression of other, more distal effector genes. Advances in genetics and genomics are therefore contributing to a deeper understanding of childhood obesity, allowing for development of clinical tools and therapeutic agents.","container-title":"Molecular Diagnosis &amp; Therapy","DOI":"10.1007/s40291-020-00496-1","ISSN":"1177-1062, 1179-2000","issue":"6","journalAbbreviation":"Mol Diagn Ther","language":"en","page":"653-663","source":"DOI.org (Crossref)","title":"Genetic Determinants of Childhood Obesity","volume":"24","author":[{"family":"Littleton","given":"Sheridan H."},{"family":"Berkowitz","given":"Robert I."},{"family":"Grant","given":"Struan F. A."}],"issued":{"date-parts":[["2020",12]]}}}],"schema":"https://github.com/citation-style-language/schema/raw/master/csl-citation.json"}</w:instrText>
      </w:r>
      <w:r>
        <w:rPr>
          <w:rFonts w:eastAsia="Calibri"/>
          <w:color w:val="0F110F"/>
        </w:rPr>
      </w:r>
      <w:r>
        <w:rPr>
          <w:rFonts w:eastAsia="Calibri"/>
          <w:color w:val="0F110F"/>
        </w:rPr>
        <w:fldChar w:fldCharType="separate"/>
      </w:r>
      <w:r>
        <w:rPr>
          <w:rFonts w:eastAsia="Calibri"/>
          <w:color w:val="0F110F"/>
        </w:rPr>
        <w:t>[71]</w:t>
      </w:r>
      <w:r>
        <w:rPr>
          <w:rFonts w:eastAsia="Calibri"/>
          <w:color w:val="0F110F"/>
        </w:rPr>
      </w:r>
      <w:r>
        <w:rPr>
          <w:rFonts w:eastAsia="Calibri"/>
          <w:color w:val="0F110F"/>
        </w:rPr>
        <w:fldChar w:fldCharType="end"/>
      </w:r>
      <w:r>
        <w:rPr>
          <w:rFonts w:eastAsia="Calibri"/>
          <w:color w:val="0F110F"/>
        </w:rPr>
        <w:t>.</w:t>
      </w:r>
    </w:p>
    <w:p>
      <w:pPr>
        <w:pStyle w:val="Normal"/>
        <w:spacing w:lineRule="auto" w:line="360"/>
        <w:jc w:val="both"/>
        <w:rPr>
          <w:rFonts w:eastAsia="Calibri"/>
          <w:color w:val="000000"/>
        </w:rPr>
      </w:pPr>
      <w:r>
        <w:rPr>
          <w:rFonts w:eastAsia="Calibri"/>
          <w:color w:val="000000"/>
        </w:rPr>
      </w:r>
    </w:p>
    <w:p>
      <w:pPr>
        <w:pStyle w:val="Normal"/>
        <w:spacing w:lineRule="auto" w:line="360"/>
        <w:jc w:val="both"/>
        <w:rPr>
          <w:rFonts w:eastAsia="Calibri"/>
          <w:b/>
          <w:bCs/>
          <w:i/>
          <w:i/>
          <w:iCs/>
          <w:color w:val="0F110F"/>
          <w:u w:val="single"/>
        </w:rPr>
      </w:pPr>
      <w:r>
        <w:rPr>
          <w:rFonts w:eastAsia="Calibri"/>
          <w:b/>
          <w:bCs/>
          <w:i/>
          <w:iCs/>
          <w:color w:val="0F110F"/>
          <w:u w:val="single"/>
        </w:rPr>
        <w:t>Εξερευνώντας τη λειτουργία της πρωτεΐνης</w:t>
      </w:r>
    </w:p>
    <w:p>
      <w:pPr>
        <w:pStyle w:val="Normal"/>
        <w:spacing w:lineRule="auto" w:line="360"/>
        <w:ind w:firstLine="720"/>
        <w:jc w:val="both"/>
        <w:rPr>
          <w:rFonts w:eastAsia="Calibri"/>
          <w:color w:val="0F110F"/>
        </w:rPr>
      </w:pPr>
      <w:r>
        <w:rPr>
          <w:rFonts w:eastAsia="Calibri"/>
          <w:color w:val="0F110F"/>
        </w:rPr>
        <w:t xml:space="preserve">Οι βιοϊατρικοί μηχανικοί μπορούν επίσης να εμβαθύνουν στην κατανόηση του πώς οι γενετικές παραλλαγές επηρεάζουν τη λειτουργία των πρωτεϊνών. Χρησιμοποιώντας τεχνικές όπως η πρωτεομική, οι ερευνητές μπορούν να διερευνήσουν πώς συγκεκριμένες γενετικές παραλλαγές μπορεί να αλλάξουν τη δομή ή τη λειτουργία των πρωτεϊνών που εμπλέκονται στο μεταβολισμό και την ενεργειακή ισορροπία. Τέτοιες μελέτες ρίχνουν φως στις μοριακές αλλαγές που συμβαίνουν ως αποτέλεσμα γενετικών παραλλαγών, παρέχοντας πολύτιμες γνώσεις για τους μηχανισμούς ανάπτυξης της παχυσαρκίας </w:t>
      </w:r>
      <w:r>
        <w:fldChar w:fldCharType="begin"/>
      </w:r>
      <w:r>
        <w:rPr>
          <w:rFonts w:eastAsia="Calibri"/>
          <w:color w:val="0F110F"/>
          <w:lang w:val="en-US"/>
        </w:rPr>
        <w:instrText xml:space="preserve">ADDIN ZOTERO_ITEM CSL_CITATION {"citationID":"jrLPlOSj","properties":{"formattedCitation":"[44]","plainCitation":"[44]","noteIndex":0},"citationItems":[{"id":2446,"uris":["http://zotero.org/users/local/WDVvZTBM/items/9EHLE2DL"],"itemData":{"id":2446,"type":"article-journal","abstract":"The prevalence of obesity has tripled over the past four decades, imposing an enormous burden on people’s health. Polygenic (or common) obesity and rare, severe, early-o nset monogenic obesity are often polarized as distinct diseases. However, gene discovery studies for both forms of obesity show that they have shared genetic and biological underpinnings, pointing to a key role for the brain in the control of body weight. Genome-w ide association studies (GWAS) with increasing sample sizes and advances in sequencing technology are the main drivers behind a recent flurry of new discoveries. However, it is the post-G WAS, cross-d isciplinary collaborations, which combine new omics technologies and analytical approaches, that have started to facilitate translation of genetic loci into meaningful biology and new avenues for treatment.","container-title":"Nature Reviews Genetics","DOI":"10.1038/s41576-021-00414-z","ISSN":"1471-0056, 1471-0064","issue":"2","journalAbbreviation":"Nat Rev Genet","language":"en","page":"120-133","source":"DOI.org (Crossref)","title":"The genetics of obesity: from discovery to biology","title-short":"The genetics of obesity","volume":"23","author":[{"family":"Loos","given":"Ruth J. F."},{"family":"Yeo","given":"Giles S. H."}],"issued":{"date-parts":[["2022",2]]}}}],"schema":"https://github.com/citation-style-language/schema/raw/master/csl-citation.json"}</w:instrText>
      </w:r>
      <w:r>
        <w:rPr>
          <w:rFonts w:eastAsia="Calibri"/>
          <w:color w:val="0F110F"/>
          <w:lang w:val="en-US"/>
        </w:rPr>
      </w:r>
      <w:r>
        <w:rPr>
          <w:rFonts w:eastAsia="Calibri"/>
          <w:color w:val="0F110F"/>
          <w:lang w:val="en-US"/>
        </w:rPr>
        <w:fldChar w:fldCharType="separate"/>
      </w:r>
      <w:r>
        <w:rPr>
          <w:rFonts w:eastAsia="Calibri"/>
          <w:color w:val="0F110F"/>
          <w:lang w:val="en-US"/>
        </w:rPr>
      </w:r>
      <w:r>
        <w:rPr>
          <w:rFonts w:eastAsia="Calibri"/>
          <w:color w:val="0F110F"/>
        </w:rPr>
        <w:t>[44]</w:t>
      </w:r>
      <w:r>
        <w:rPr>
          <w:rFonts w:eastAsia="Calibri"/>
          <w:color w:val="0F110F"/>
          <w:lang w:val="en-US"/>
        </w:rPr>
      </w:r>
      <w:r>
        <w:rPr>
          <w:rFonts w:eastAsia="Calibri"/>
          <w:color w:val="0F110F"/>
          <w:lang w:val="en-US"/>
        </w:rPr>
        <w:fldChar w:fldCharType="end"/>
      </w:r>
      <w:r>
        <w:rPr>
          <w:rFonts w:eastAsia="Calibri"/>
          <w:color w:val="0F110F"/>
        </w:rPr>
        <w:t>.</w:t>
      </w:r>
    </w:p>
    <w:p>
      <w:pPr>
        <w:pStyle w:val="Normal"/>
        <w:spacing w:lineRule="auto" w:line="360"/>
        <w:jc w:val="both"/>
        <w:rPr>
          <w:rFonts w:eastAsia="Calibri"/>
          <w:color w:val="000000"/>
        </w:rPr>
      </w:pPr>
      <w:r>
        <w:rPr>
          <w:rFonts w:eastAsia="Calibri"/>
          <w:color w:val="000000"/>
        </w:rPr>
      </w:r>
    </w:p>
    <w:p>
      <w:pPr>
        <w:pStyle w:val="Normal"/>
        <w:spacing w:lineRule="auto" w:line="360"/>
        <w:jc w:val="both"/>
        <w:rPr>
          <w:rFonts w:eastAsia="Calibri"/>
          <w:b/>
          <w:bCs/>
          <w:i/>
          <w:i/>
          <w:iCs/>
          <w:color w:val="0F110F"/>
          <w:u w:val="single"/>
        </w:rPr>
      </w:pPr>
      <w:r>
        <w:rPr>
          <w:rFonts w:eastAsia="Calibri"/>
          <w:b/>
          <w:bCs/>
          <w:i/>
          <w:iCs/>
          <w:color w:val="0F110F"/>
          <w:u w:val="single"/>
        </w:rPr>
        <w:t>Κυτταρικές διεργασίες και μεταβολισμός</w:t>
      </w:r>
    </w:p>
    <w:p>
      <w:pPr>
        <w:pStyle w:val="Normal"/>
        <w:spacing w:lineRule="auto" w:line="360"/>
        <w:ind w:firstLine="720"/>
        <w:jc w:val="both"/>
        <w:rPr>
          <w:rFonts w:eastAsia="Calibri"/>
          <w:color w:val="0F110F"/>
        </w:rPr>
      </w:pPr>
      <w:r>
        <w:rPr>
          <w:rFonts w:eastAsia="Calibri"/>
          <w:color w:val="0F110F"/>
        </w:rPr>
        <w:t xml:space="preserve">Η λειτουργική γονιδιωματική επιτρέπει στους βιοϊατρικούς μηχανικούς να αποκαλύψουν πώς οι γενετικές παραλλαγές επηρεάζουν τις κυτταρικές διεργασίες που σχετίζονται με το μεταβολισμό και την ενεργειακή ισορροπία. Μέσω τεχνικών όπως η μεταβολομική, οι ερευνητές μπορούν να εντοπίσουν αλλαγές στα μεταβολικά μονοπάτια και στα δίκτυα σηματοδότησης που σχετίζονται με συγκεκριμένες γενετικές παραλλαγές. Αυτά τα ευρήματα μας βοηθούν να κατανοήσουμε τις μοριακές αλλαγές που προάγουν την ανάπτυξη της παχυσαρκίας και παρέχουν πιθανούς στόχους για θεραπευτικές παρεμβάσεις </w:t>
      </w:r>
      <w:r>
        <w:fldChar w:fldCharType="begin"/>
      </w:r>
      <w:r>
        <w:rPr>
          <w:rFonts w:eastAsia="Calibri"/>
          <w:color w:val="0F110F"/>
          <w:lang w:val="en-US"/>
        </w:rPr>
        <w:instrText xml:space="preserve">ADDIN ZOTERO_ITEM CSL_CITATION {"citationID":"u1Urne4q","properties":{"formattedCitation":"[181]","plainCitation":"[181]","noteIndex":0},"citationItems":[{"id":2443,"uris":["http://zotero.org/users/local/WDVvZTBM/items/KQ382CKE"],"itemData":{"id":2443,"type":"article-journal","container-title":"Genes &amp; Nutrition","DOI":"10.1007/s12263-013-0339-5","ISSN":"1555-8932, 1865-3499","issue":"3","journalAbbreviation":"Genes Nutr","language":"en","page":"271-287","source":"DOI.org (Crossref)","title":"The genetics of childhood obesity and interaction with dietary macronutrients","volume":"8","author":[{"family":"Garver","given":"William S."},{"family":"Newman","given":"Sara B."},{"family":"Gonzales-Pacheco","given":"Diana M."},{"family":"Castillo","given":"Joseph J."},{"family":"Jelinek","given":"David"},{"family":"Heidenreich","given":"Randall A."},{"family":"Orlando","given":"Robert A."}],"issued":{"date-parts":[["2013",5]]}}}],"schema":"https://github.com/citation-style-language/schema/raw/master/csl-citation.json"}</w:instrText>
      </w:r>
      <w:r>
        <w:rPr>
          <w:rFonts w:eastAsia="Calibri"/>
          <w:color w:val="0F110F"/>
          <w:lang w:val="en-US"/>
        </w:rPr>
      </w:r>
      <w:r>
        <w:rPr>
          <w:rFonts w:eastAsia="Calibri"/>
          <w:color w:val="0F110F"/>
          <w:lang w:val="en-US"/>
        </w:rPr>
        <w:fldChar w:fldCharType="separate"/>
      </w:r>
      <w:r>
        <w:rPr>
          <w:rFonts w:eastAsia="Calibri"/>
          <w:color w:val="0F110F"/>
          <w:lang w:val="en-US"/>
        </w:rPr>
      </w:r>
      <w:r>
        <w:rPr>
          <w:rFonts w:eastAsia="Calibri"/>
          <w:color w:val="0F110F"/>
        </w:rPr>
        <w:t>[181]</w:t>
      </w:r>
      <w:r>
        <w:rPr>
          <w:rFonts w:eastAsia="Calibri"/>
          <w:color w:val="0F110F"/>
          <w:lang w:val="en-US"/>
        </w:rPr>
      </w:r>
      <w:r>
        <w:rPr>
          <w:rFonts w:eastAsia="Calibri"/>
          <w:color w:val="0F110F"/>
          <w:lang w:val="en-US"/>
        </w:rPr>
        <w:fldChar w:fldCharType="end"/>
      </w:r>
      <w:r>
        <w:rPr>
          <w:rFonts w:eastAsia="Calibri"/>
          <w:color w:val="0F110F"/>
        </w:rPr>
        <w:t>.</w:t>
      </w:r>
    </w:p>
    <w:p>
      <w:pPr>
        <w:pStyle w:val="Normal"/>
        <w:spacing w:lineRule="auto" w:line="360"/>
        <w:jc w:val="both"/>
        <w:rPr>
          <w:rFonts w:eastAsia="Calibri"/>
          <w:color w:val="000000"/>
        </w:rPr>
      </w:pPr>
      <w:r>
        <w:rPr>
          <w:rFonts w:eastAsia="Calibri"/>
          <w:color w:val="000000"/>
        </w:rPr>
      </w:r>
    </w:p>
    <w:p>
      <w:pPr>
        <w:pStyle w:val="Normal"/>
        <w:spacing w:lineRule="auto" w:line="360"/>
        <w:jc w:val="both"/>
        <w:rPr>
          <w:rFonts w:eastAsia="Calibri"/>
          <w:b/>
          <w:bCs/>
          <w:i/>
          <w:i/>
          <w:iCs/>
          <w:color w:val="0F110F"/>
          <w:u w:val="single"/>
        </w:rPr>
      </w:pPr>
      <w:r>
        <w:rPr>
          <w:rFonts w:eastAsia="Calibri"/>
          <w:b/>
          <w:bCs/>
          <w:i/>
          <w:iCs/>
          <w:color w:val="0F110F"/>
          <w:u w:val="single"/>
        </w:rPr>
        <w:t>Ενσωμάτωση υπολογιστικών προσεγγίσεων</w:t>
      </w:r>
    </w:p>
    <w:p>
      <w:pPr>
        <w:pStyle w:val="Normal"/>
        <w:spacing w:lineRule="auto" w:line="360"/>
        <w:ind w:firstLine="720"/>
        <w:jc w:val="both"/>
        <w:rPr>
          <w:rFonts w:eastAsia="Calibri"/>
          <w:color w:val="0F110F"/>
        </w:rPr>
      </w:pPr>
      <w:r>
        <w:rPr>
          <w:rFonts w:eastAsia="Calibri"/>
          <w:color w:val="0F110F"/>
        </w:rPr>
        <w:t xml:space="preserve">Οι βιοϊατρικοί μηχανικοί αξιοποιούν επίσης τις υπολογιστικές προσεγγίσεις στη λειτουργική γονιδιωματική. Αναπτύσσοντας μαθηματικά μοντέλα και χρησιμοποιώντας εργαλεία βιοπληροφορικής, οι ερευνητές μπορούν να αναλύσουν μεγάλης κλίμακας γονιδιωματικά δεδομένα για να αποκαλύψουν μοτίβα, να εντοπίσουν ρυθμιστικά δίκτυα γονιδίων και να προβλέψουν τη λειτουργική επίδραση των γενετικών παραλλαγών. Αυτές οι υπολογιστικές προσεγγίσεις ενισχύουν την κατανόησή μας για το πώς οι γενετικές παραλλαγές επηρεάζουν τις κυτταρικές διαδικασίες και βοηθούν στο σχεδιασμό στοχευμένων παρεμβάσεων </w:t>
      </w:r>
      <w:r>
        <w:fldChar w:fldCharType="begin"/>
      </w:r>
      <w:r>
        <w:rPr>
          <w:rFonts w:eastAsia="Calibri"/>
          <w:color w:val="0F110F"/>
          <w:lang w:val="en-US"/>
        </w:rPr>
        <w:instrText xml:space="preserve">ADDIN ZOTERO_ITEM CSL_CITATION {"citationID":"qHNaS5Fe","properties":{"formattedCitation":"[182]","plainCitation":"[182]","noteIndex":0},"citationItems":[{"id":3253,"uris":["http://zotero.org/users/local/WDVvZTBM/items/2Y7DTEL2"],"itemData":{"id":3253,"type":"article-journal","abstract":"Young children are increasingly exposed to an obesogenic environment through increased intake of processed food and decreased physical activity. Mothers’ perceptions of obesity and parenting styles influence children’s abilities to maintain a healthy weight. This study developed a prediction model for childhood obesity in 10-year-olds, and identify relevant risk factors using a machine learning method. Data on 1185 children and their mothers were obtained from the Korean National Panel Study. A prediction model for obesity was developed based on ten factors related to children (gender, eating habits, activity, and previous body mass index) and their mothers (education level, self-esteem, and body mass index). These factors were selected based on the least absolute shrinkage and selection operator. The prediction model was validated with an Area Under the Receiver Operator Characteristic Curve of 0.82 and an accuracy of 76%. Other than body mass index for both children and mothers, significant risk factors for childhood obesity were less physical activity among children and higher self-esteem among mothers. This study adds new evidence demonstrating that maternal self-esteem is related to children’s body mass index. Future studies are needed to develop effective strategies for screening young children at risk for obesity, along with their mothers.","container-title":"Scientific Reports","DOI":"10.1038/s41598-023-37171-4","ISSN":"2045-2322","issue":"1","journalAbbreviation":"Sci Rep","language":"en","license":"2023 The Author(s)","note":"number: 1\npublisher: Nature Publishing Group","page":"1-8","source":"www.nature.com","title":"A prediction model for childhood obesity risk using the machine learning method: a panel study on Korean children","title-short":"A prediction model for childhood obesity risk using the machine learning method","volume":"13","author":[{"family":"Lim","given":"Heemoon"},{"family":"Lee","given":"Hyejung"},{"family":"Kim","given":"Joungyoun"}],"issued":{"date-parts":[["2023",6,21]]}}}],"schema":"https://github.com/citation-style-language/schema/raw/master/csl-citation.json"}</w:instrText>
      </w:r>
      <w:r>
        <w:rPr>
          <w:rFonts w:eastAsia="Calibri"/>
          <w:color w:val="0F110F"/>
          <w:lang w:val="en-US"/>
        </w:rPr>
      </w:r>
      <w:r>
        <w:rPr>
          <w:rFonts w:eastAsia="Calibri"/>
          <w:color w:val="0F110F"/>
          <w:lang w:val="en-US"/>
        </w:rPr>
        <w:fldChar w:fldCharType="separate"/>
      </w:r>
      <w:r>
        <w:rPr>
          <w:rFonts w:eastAsia="Calibri"/>
          <w:color w:val="0F110F"/>
          <w:lang w:val="en-US"/>
        </w:rPr>
      </w:r>
      <w:r>
        <w:rPr>
          <w:rFonts w:eastAsia="Calibri"/>
          <w:color w:val="0F110F"/>
        </w:rPr>
        <w:t>[182]</w:t>
      </w:r>
      <w:r>
        <w:rPr>
          <w:rFonts w:eastAsia="Calibri"/>
          <w:color w:val="0F110F"/>
          <w:lang w:val="en-US"/>
        </w:rPr>
      </w:r>
      <w:r>
        <w:rPr>
          <w:rFonts w:eastAsia="Calibri"/>
          <w:color w:val="0F110F"/>
          <w:lang w:val="en-US"/>
        </w:rPr>
        <w:fldChar w:fldCharType="end"/>
      </w:r>
      <w:r>
        <w:rPr>
          <w:rFonts w:eastAsia="Calibri"/>
          <w:color w:val="0F110F"/>
        </w:rPr>
        <w:t>.</w:t>
      </w:r>
    </w:p>
    <w:p>
      <w:pPr>
        <w:pStyle w:val="Normal"/>
        <w:spacing w:lineRule="auto" w:line="360"/>
        <w:jc w:val="both"/>
        <w:rPr>
          <w:rFonts w:eastAsia="Calibri"/>
          <w:color w:val="000000"/>
        </w:rPr>
      </w:pPr>
      <w:r>
        <w:rPr>
          <w:rFonts w:eastAsia="Calibri"/>
          <w:color w:val="000000"/>
        </w:rPr>
      </w:r>
    </w:p>
    <w:p>
      <w:pPr>
        <w:pStyle w:val="Normal"/>
        <w:spacing w:lineRule="auto" w:line="360"/>
        <w:jc w:val="both"/>
        <w:rPr>
          <w:rFonts w:eastAsia="Calibri"/>
          <w:b/>
          <w:bCs/>
          <w:i/>
          <w:i/>
          <w:iCs/>
          <w:color w:val="0F110F"/>
          <w:u w:val="single"/>
        </w:rPr>
      </w:pPr>
      <w:r>
        <w:rPr>
          <w:rFonts w:eastAsia="Calibri"/>
          <w:b/>
          <w:bCs/>
          <w:i/>
          <w:iCs/>
          <w:color w:val="0F110F"/>
          <w:u w:val="single"/>
        </w:rPr>
        <w:t>Μετάφραση ευρημάτων έρευνας</w:t>
      </w:r>
    </w:p>
    <w:p>
      <w:pPr>
        <w:pStyle w:val="Normal"/>
        <w:spacing w:lineRule="auto" w:line="360"/>
        <w:ind w:firstLine="720"/>
        <w:jc w:val="both"/>
        <w:rPr>
          <w:rFonts w:eastAsia="Calibri"/>
          <w:color w:val="0F110F"/>
        </w:rPr>
      </w:pPr>
      <w:r>
        <w:rPr>
          <w:rFonts w:eastAsia="Calibri"/>
          <w:color w:val="0F110F"/>
        </w:rPr>
        <w:t xml:space="preserve">Οι γνώσεις που αποκτήθηκαν μέσω της έρευνας στη λειτουργική γονιδιωματική έχουν πρακτικές εφαρμογές στην ανάπτυξη νέων διαγνωστικών εργαλείων, θεραπειών και εξατομικευμένων προσεγγίσεων θεραπείας. Οι βιοϊατρικοί μηχανικοί συνεργάζονται με κλινικούς γιατρούς και άλλους επαγγελματίες υγείας για να μεταφράσουν τα ερευνητικά ευρήματα στην κλινική πράξη, οδηγώντας σε πιο αποτελεσματικές παρεμβάσεις και βελτιωμένα αποτελέσματα των ασθενών </w:t>
      </w:r>
      <w:r>
        <w:fldChar w:fldCharType="begin"/>
      </w:r>
      <w:r>
        <w:rPr>
          <w:rFonts w:eastAsia="Calibri"/>
          <w:color w:val="0F110F"/>
          <w:lang w:val="en-US"/>
        </w:rPr>
        <w:instrText xml:space="preserve">ADDIN ZOTERO_ITEM CSL_CITATION {"citationID":"Uo0b0pZ0","properties":{"formattedCitation":"[122], [183]","plainCitation":"[122], [183]","noteIndex":0},"citationItems":[{"id":3055,"uris":["http://zotero.org/users/local/WDVvZTBM/items/HNWILPFC"],"itemData":{"id":3055,"type":"article-journal","abstract":"&lt;span&gt;&lt;b&gt;Introduction:&lt;/b&gt; Childhood obesity is occurring at alarming rates in both developed and developing countries. \"Obesogenic\" environmental factors must be associated with variants of different risk alleles to determine polygenic or common obesity, and their impact depends on different developmenta&lt;/span&gt; …","container-title":"Frontiers in pediatrics","DOI":"10.3389/fped.2018.00271","ISSN":"2296-2360","language":"en","note":"publisher: Front Pediatr\nPMID: 30338250","source":"pubmed.ncbi.nlm.nih.gov","title":"New Insights Regarding Genetic Aspects of Childhood Obesity: A Minireview","title-short":"New Insights Regarding Genetic Aspects of Childhood Obesity","URL":"https://pubmed.ncbi.nlm.nih.gov/30338250/","volume":"6","author":[{"family":"Co","given":"Mǎrginean"},{"family":"C","given":"Mǎrginean"},{"family":"Le","given":"Meliţ"}],"accessed":{"date-parts":[["2023",11,19]]},"issued":{"date-parts":[["2018",4,10]]}}},{"id":2410,"uris":["http://zotero.org/users/local/WDVvZTBM/items/HIWVFPG4"],"itemData":{"id":2410,"type":"article-journal","abstract":"This brief review focuses on the genetic contribution to childhood obesity. Evidence for a genetic component to excess body weight during growth is presented from the perspective of genetic epidemiology studies. Parental obesity is a predictor of childhood excess weight. The familial risk ratio for childhood obesity when a parent is obese reaches .2.5. Birth weight is characterized by a genetic heritability component on the order of 30%, with signiﬁcant maternal and paternal effects in addition to the newborn genes. About 5% of childhood obesity cases are caused by a defect that impairs function in a gene, and \u00155 of these genes have been uncovered. However, the common forms of childhood obesity seem to result from a predisposition that primarily favors obesogenic behaviors in an obesogenic environment. Candidate gene and genomewide association studies reveal that these obesogenic genes have small effect sizes but that the risk alleles for obesity are quite common in populations. The latter may translate into a highly signiﬁcant population-attributable risk of obesity. Gene-environment interaction studies suggest that the effects of predisposing genes can be enhanced or diminished by exposure to relevant behaviors. It is possible that the prevalence of childhood obesity is increasing across generations as a result of positive assortative mating with obese husbands and wives contributing more obese offspring than normal-weight parents. Am J Clin Nutr 2009;89(suppl):1494S–501S.","container-title":"The American Journal of Clinical Nutrition","DOI":"10.3945/ajcn.2009.27113C","ISSN":"00029165","issue":"5","journalAbbreviation":"The American Journal of Clinical Nutrition","language":"en","page":"1494S-1501S","source":"DOI.org (Crossref)","title":"Childhood obesity: are genetic differences involved?","title-short":"Childhood obesity","volume":"89","author":[{"family":"Bouchard","given":"Claude"}],"issued":{"date-parts":[["2009",5]]}}}],"schema":"https://github.com/citation-style-language/schema/raw/master/csl-citation.json"}</w:instrText>
      </w:r>
      <w:r>
        <w:rPr>
          <w:rFonts w:eastAsia="Calibri"/>
          <w:color w:val="0F110F"/>
          <w:lang w:val="en-US"/>
        </w:rPr>
      </w:r>
      <w:r>
        <w:rPr>
          <w:rFonts w:eastAsia="Calibri"/>
          <w:color w:val="0F110F"/>
          <w:lang w:val="en-US"/>
        </w:rPr>
        <w:fldChar w:fldCharType="separate"/>
      </w:r>
      <w:r>
        <w:rPr>
          <w:rFonts w:eastAsia="Calibri"/>
          <w:color w:val="0F110F"/>
          <w:lang w:val="en-US"/>
        </w:rPr>
      </w:r>
      <w:r>
        <w:rPr>
          <w:rFonts w:eastAsia="Calibri"/>
          <w:color w:val="0F110F"/>
        </w:rPr>
        <w:t>[122], [183]</w:t>
      </w:r>
      <w:r>
        <w:rPr>
          <w:rFonts w:eastAsia="Calibri"/>
          <w:color w:val="0F110F"/>
          <w:lang w:val="en-US"/>
        </w:rPr>
      </w:r>
      <w:r>
        <w:rPr>
          <w:rFonts w:eastAsia="Calibri"/>
          <w:color w:val="0F110F"/>
          <w:lang w:val="en-US"/>
        </w:rPr>
        <w:fldChar w:fldCharType="end"/>
      </w:r>
      <w:r>
        <w:rPr>
          <w:rFonts w:eastAsia="Calibri"/>
          <w:color w:val="0F110F"/>
        </w:rPr>
        <w:t>.</w:t>
      </w:r>
    </w:p>
    <w:p>
      <w:pPr>
        <w:pStyle w:val="Normal"/>
        <w:spacing w:lineRule="auto" w:line="360"/>
        <w:jc w:val="both"/>
        <w:rPr>
          <w:rFonts w:eastAsia="Calibri"/>
          <w:color w:val="000000"/>
        </w:rPr>
      </w:pPr>
      <w:r>
        <w:rPr>
          <w:rFonts w:eastAsia="Calibri"/>
          <w:color w:val="000000"/>
        </w:rPr>
      </w:r>
    </w:p>
    <w:p>
      <w:pPr>
        <w:pStyle w:val="Normal"/>
        <w:spacing w:lineRule="auto" w:line="360"/>
        <w:ind w:firstLine="720"/>
        <w:jc w:val="both"/>
        <w:rPr>
          <w:rFonts w:eastAsia="Calibri"/>
          <w:color w:val="000000"/>
        </w:rPr>
      </w:pPr>
      <w:r>
        <w:rPr>
          <w:rFonts w:eastAsia="Calibri"/>
          <w:color w:val="0F110F"/>
        </w:rPr>
        <w:t>Η λειτουργική γονιδιωματική είναι ένα συναρπαστικό πεδίο της βιοϊατρικής μηχανικής που εστιάζει στην κατανόηση του τρόπου με τον οποίο οι γενετικές παραλλαγές επηρεάζουν τις κυτταρικές διεργασίες, την έκφραση γονιδίων, τη λειτουργία πρωτεϊνών και τον μεταβολισμό που σχετίζονται με την παχυσαρκία και άλλες μεταβολικές διαταραχές. Διερευνώντας αυτές τις πτυχές, οι βιοϊατρικοί μηχανικοί μπορούν να αποκαλύψουν τους υποκείμενους μηχανισμούς ανάπτυξης της παχυσαρκίας και να συμβάλουν στην ανάπτυξη καινοτόμων διαγνωστικών εργαλείων, θεραπειών και εξατομικευμένων παρεμβάσεων. Η έρευνα της λειτουργικής γονιδιωματικής διαδραματίζει κρίσιμο ρόλο στην προώθηση των γνώσεών μας και στο άνοιγμα του δρόμου για πιο αποτελεσματικές στρατηγικές για την καταπολέμηση της παχυσαρκίας και τη βελτίωση της δημόσιας υγείας.</w:t>
      </w:r>
    </w:p>
    <w:p>
      <w:pPr>
        <w:pStyle w:val="Normal"/>
        <w:spacing w:lineRule="auto" w:line="360"/>
        <w:rPr>
          <w:rFonts w:ascii="Helvetica" w:hAnsi="Helvetica" w:eastAsia="Calibri" w:cs="Helvetica"/>
          <w:color w:val="000000"/>
        </w:rPr>
      </w:pPr>
      <w:r>
        <w:rPr>
          <w:rFonts w:eastAsia="Calibri"/>
          <w:color w:val="000000"/>
        </w:rPr>
        <w:t> </w:t>
      </w:r>
    </w:p>
    <w:p>
      <w:pPr>
        <w:pStyle w:val="Heading2"/>
        <w:rPr/>
      </w:pPr>
      <w:bookmarkStart w:id="79" w:name="_Toc154923841"/>
      <w:r>
        <w:rPr/>
        <w:t xml:space="preserve">4.5 </w:t>
      </w:r>
      <w:r>
        <w:rPr>
          <w:lang w:val="en-US"/>
        </w:rPr>
        <w:t>Nutrigenomics</w:t>
      </w:r>
      <w:bookmarkEnd w:id="79"/>
      <w:r>
        <w:rPr/>
        <w:t xml:space="preserve"> </w:t>
      </w:r>
    </w:p>
    <w:p>
      <w:pPr>
        <w:pStyle w:val="Normal"/>
        <w:spacing w:lineRule="auto" w:line="360"/>
        <w:ind w:firstLine="720"/>
        <w:jc w:val="both"/>
        <w:rPr>
          <w:rFonts w:eastAsia="Calibri"/>
          <w:color w:val="0F110F"/>
        </w:rPr>
      </w:pPr>
      <w:r>
        <w:rPr>
          <w:rFonts w:eastAsia="Calibri"/>
          <w:color w:val="0F110F"/>
        </w:rPr>
        <w:t xml:space="preserve">Τα Nutrigenomics είναι ένα αναδυόμενο πεδίο που διερευνά την αλληλεπίδραση μεταξύ γενετικής και διατροφής και οι βιοϊατρικοί μηχανικοί μπορούν να διαδραματίσουν σημαντικό ρόλο στην εξερεύνηση και την προώθηση αυτού του τομέα. Κατανοώντας πώς οι γενετικοί παράγοντες επηρεάζουν την ανταπόκριση ενός ατόμου σε διαφορετικές δίαιτες και διατροφικές παρεμβάσεις, τα nutrigenomics προσφέρουν πολύτιμες γνώσεις για εξατομικευμένες προσεγγίσεις για την πρόληψη ή τη διαχείριση της παιδικής παχυσαρκίας </w:t>
      </w:r>
      <w:r>
        <w:fldChar w:fldCharType="begin"/>
      </w:r>
      <w:r>
        <w:rPr>
          <w:rFonts w:eastAsia="Calibri"/>
          <w:color w:val="0F110F"/>
          <w:lang w:val="en-US"/>
        </w:rPr>
        <w:instrText xml:space="preserve">ADDIN ZOTERO_ITEM CSL_CITATION {"citationID":"Qn2DQEzN","properties":{"formattedCitation":"[184]","plainCitation":"[184]","noteIndex":0},"citationItems":[{"id":3255,"uris":["http://zotero.org/users/local/WDVvZTBM/items/EQCHKWPI"],"itemData":{"id":3255,"type":"chapter","abstract":"Childhood obesity is considered a serious global public health issue. An increasing number of children are affected by obesity each year. Genetics are known to significantly contribute to the development of childhood obesity. Many obesity susceptibility genes have...","container-title":"Nutrigenomics and the Brain","ISBN":"9789811692055","language":"en","note":"ISSN: 2730-6720\nDOI: 10.1007/978-981-16-9205-5_10","page":"135-143","publisher":"Springer, Singapore","source":"link.springer.com","title":"Nutrigenomics and Development: Childhood Obesity Susceptibility Genes and their Impact on Dietary Behavior and Nutrient Intake","title-short":"Nutrigenomics and Development","URL":"https://link.springer.com/chapter/10.1007/978-981-16-9205-5_10","author":[{"family":"Burch","given":"Emily"}],"accessed":{"date-parts":[["2023",12,4]]},"issued":{"date-parts":[["2022"]]}}}],"schema":"https://github.com/citation-style-language/schema/raw/master/csl-citation.json"}</w:instrText>
      </w:r>
      <w:r>
        <w:rPr>
          <w:rFonts w:eastAsia="Calibri"/>
          <w:color w:val="0F110F"/>
          <w:lang w:val="en-US"/>
        </w:rPr>
      </w:r>
      <w:r>
        <w:rPr>
          <w:rFonts w:eastAsia="Calibri"/>
          <w:color w:val="0F110F"/>
          <w:lang w:val="en-US"/>
        </w:rPr>
        <w:fldChar w:fldCharType="separate"/>
      </w:r>
      <w:r>
        <w:rPr>
          <w:rFonts w:eastAsia="Calibri"/>
          <w:color w:val="0F110F"/>
          <w:lang w:val="en-US"/>
        </w:rPr>
      </w:r>
      <w:r>
        <w:rPr>
          <w:rFonts w:eastAsia="Calibri"/>
          <w:color w:val="0F110F"/>
        </w:rPr>
        <w:t>[184]</w:t>
      </w:r>
      <w:r>
        <w:rPr>
          <w:rFonts w:eastAsia="Calibri"/>
          <w:color w:val="0F110F"/>
          <w:lang w:val="en-US"/>
        </w:rPr>
      </w:r>
      <w:r>
        <w:rPr>
          <w:rFonts w:eastAsia="Calibri"/>
          <w:color w:val="0F110F"/>
          <w:lang w:val="en-US"/>
        </w:rPr>
        <w:fldChar w:fldCharType="end"/>
      </w:r>
      <w:r>
        <w:rPr>
          <w:rFonts w:eastAsia="Calibri"/>
          <w:color w:val="0F110F"/>
        </w:rPr>
        <w:t>.</w:t>
      </w:r>
    </w:p>
    <w:p>
      <w:pPr>
        <w:pStyle w:val="Normal"/>
        <w:spacing w:lineRule="auto" w:line="360"/>
        <w:ind w:firstLine="720"/>
        <w:jc w:val="both"/>
        <w:rPr>
          <w:rFonts w:eastAsia="Calibri"/>
          <w:color w:val="000000"/>
        </w:rPr>
      </w:pPr>
      <w:r>
        <w:rPr>
          <w:rFonts w:eastAsia="Calibri"/>
          <w:color w:val="000000"/>
        </w:rPr>
      </w:r>
    </w:p>
    <w:p>
      <w:pPr>
        <w:pStyle w:val="Normal"/>
        <w:spacing w:lineRule="auto" w:line="360"/>
        <w:jc w:val="both"/>
        <w:rPr>
          <w:rFonts w:eastAsia="Calibri"/>
          <w:b/>
          <w:bCs/>
          <w:i/>
          <w:i/>
          <w:iCs/>
          <w:color w:val="0F110F"/>
          <w:u w:val="single"/>
        </w:rPr>
      </w:pPr>
      <w:r>
        <w:rPr>
          <w:rFonts w:eastAsia="Calibri"/>
          <w:b/>
          <w:bCs/>
          <w:i/>
          <w:iCs/>
          <w:color w:val="0F110F"/>
          <w:u w:val="single"/>
        </w:rPr>
        <w:t>Αποκάλυψη γενετικών παραλλαγών</w:t>
      </w:r>
    </w:p>
    <w:p>
      <w:pPr>
        <w:pStyle w:val="Normal"/>
        <w:spacing w:lineRule="auto" w:line="360"/>
        <w:ind w:firstLine="720"/>
        <w:jc w:val="both"/>
        <w:rPr>
          <w:rFonts w:eastAsia="Calibri"/>
          <w:color w:val="000000"/>
        </w:rPr>
      </w:pPr>
      <w:r>
        <w:rPr>
          <w:rFonts w:eastAsia="Calibri"/>
          <w:color w:val="0F110F"/>
        </w:rPr>
        <w:t xml:space="preserve">Τα Nutrigenomics στοχεύουν στον εντοπισμό γενετικών παραλλαγών που επηρεάζουν την απόκριση ενός ατόμου σε διάφορα θρεπτικά συστατικά και βιοδραστικές ενώσεις που βρίσκονται στα τρόφιμα. Οι βιοϊατρικοί μηχανικοί μπορούν να συμβάλουν χρησιμοποιώντας προηγμένες τεχνολογίες γονιδιωματικής και εργαλεία βιοπληροφορικής για την ανάλυση γονιδιωματικών δεδομένων και την αποκάλυψη συγκεκριμένων γενετικών παραλλαγών που επηρεάζουν την ευαισθησία ενός ατόμου στην παχυσαρκία ή την ανταπόκρισή του σε συγκεκριμένες διατροφικές παρεμβάσεις </w:t>
      </w:r>
      <w:r>
        <w:fldChar w:fldCharType="begin"/>
      </w:r>
      <w:r>
        <w:rPr>
          <w:rFonts w:eastAsia="Calibri"/>
          <w:color w:val="0F110F"/>
        </w:rPr>
        <w:instrText xml:space="preserve">ADDIN ZOTERO_ITEM CSL_CITATION {"citationID":"dGQXhsUW","properties":{"formattedCitation":"[108]","plainCitation":"[108]","noteIndex":0},"citationItems":[{"id":3018,"uris":["http://zotero.org/users/local/WDVvZTBM/items/4PLV2A53"],"itemData":{"id":3018,"type":"article-journal","abstract":"The fat mass and obesity-associated gene (FTO) has been extensively reported in the literature related to nutritional status, but there has been limited description of the genetic contribution to obesity risk during childhood and adolescence, especially in Latin Americans. This study aims to associa …","container-title":"European journal of pediatrics","DOI":"10.1007/s00431-021-04120-0","ISSN":"1432-1076","issue":"11","language":"en","note":"publisher: Eur J Pediatr\nPMID: 34021399","source":"pubmed.ncbi.nlm.nih.gov","title":"FTO gene polymorphism and longitudinal changes in nutritional/obesity status in children and adolescents: Schoolchildren's health cohort study","title-short":"FTO gene polymorphism and longitudinal changes in nutritional/obesity status in children and adolescents","URL":"https://pubmed.ncbi.nlm.nih.gov/34021399/","volume":"180","author":[{"family":"Ém","given":"Reuter"},{"family":"Cp","given":"Reuter"},{"family":"Jf","given":"de Castro Silveira"},{"family":"S","given":"Carroll"},{"family":"Jp","given":"Hobkirk"},{"family":"Pf","given":"Todendi"},{"family":"Ar","given":"de Moura Valim"},{"family":"Ed","given":"de Mello"}],"accessed":{"date-parts":[["2023",11,19]]},"issued":{"date-parts":[["2021",11]]}}}],"schema":"https://github.com/citation-style-language/schema/raw/master/csl-citation.json"}</w:instrText>
      </w:r>
      <w:r>
        <w:rPr>
          <w:rFonts w:eastAsia="Calibri"/>
          <w:color w:val="0F110F"/>
        </w:rPr>
      </w:r>
      <w:r>
        <w:rPr>
          <w:rFonts w:eastAsia="Calibri"/>
          <w:color w:val="0F110F"/>
        </w:rPr>
        <w:fldChar w:fldCharType="separate"/>
      </w:r>
      <w:r>
        <w:rPr>
          <w:rFonts w:eastAsia="Calibri"/>
          <w:color w:val="0F110F"/>
        </w:rPr>
        <w:t>[108]</w:t>
      </w:r>
      <w:r>
        <w:rPr>
          <w:rFonts w:eastAsia="Calibri"/>
          <w:color w:val="0F110F"/>
        </w:rPr>
      </w:r>
      <w:r>
        <w:rPr>
          <w:rFonts w:eastAsia="Calibri"/>
          <w:color w:val="0F110F"/>
        </w:rPr>
        <w:fldChar w:fldCharType="end"/>
      </w:r>
      <w:r>
        <w:rPr>
          <w:rFonts w:eastAsia="Calibri"/>
          <w:color w:val="0F110F"/>
        </w:rPr>
        <w:t>.</w:t>
      </w:r>
    </w:p>
    <w:p>
      <w:pPr>
        <w:pStyle w:val="Normal"/>
        <w:spacing w:lineRule="auto" w:line="360"/>
        <w:jc w:val="both"/>
        <w:rPr>
          <w:rFonts w:eastAsia="Calibri"/>
          <w:color w:val="0F110F"/>
        </w:rPr>
      </w:pPr>
      <w:r>
        <w:rPr>
          <w:rFonts w:eastAsia="Calibri"/>
          <w:color w:val="0F110F"/>
        </w:rPr>
      </w:r>
    </w:p>
    <w:p>
      <w:pPr>
        <w:pStyle w:val="Normal"/>
        <w:spacing w:lineRule="auto" w:line="360"/>
        <w:jc w:val="both"/>
        <w:rPr>
          <w:rFonts w:eastAsia="Calibri"/>
          <w:b/>
          <w:bCs/>
          <w:i/>
          <w:i/>
          <w:iCs/>
          <w:color w:val="0F110F"/>
          <w:u w:val="single"/>
        </w:rPr>
      </w:pPr>
      <w:r>
        <w:rPr>
          <w:rFonts w:eastAsia="Calibri"/>
          <w:b/>
          <w:bCs/>
          <w:i/>
          <w:iCs/>
          <w:color w:val="0F110F"/>
          <w:u w:val="single"/>
        </w:rPr>
        <w:t>Εξατομικευμένες Διατροφικές Παρεμβάσεις</w:t>
      </w:r>
    </w:p>
    <w:p>
      <w:pPr>
        <w:pStyle w:val="Normal"/>
        <w:spacing w:lineRule="auto" w:line="360"/>
        <w:jc w:val="both"/>
        <w:rPr>
          <w:rFonts w:eastAsia="Calibri"/>
          <w:color w:val="0F110F"/>
        </w:rPr>
      </w:pPr>
      <w:r>
        <w:rPr>
          <w:rFonts w:eastAsia="Calibri"/>
          <w:color w:val="0F110F"/>
        </w:rPr>
        <w:t xml:space="preserve">Μέσω της διατροφογονιδιωματικής, οι βιοϊατρικοί μηχανικοί μπορούν να εργαστούν για την ανάπτυξη εξατομικευμένων διατροφικών παρεμβάσεων για παιδιά που διατρέχουν κίνδυνο παχυσαρκίας. Λαμβάνοντας υπόψη το μοναδικό γενετικό προφίλ ενός ατόμου, οι επαγγελματίες υγείας μπορούν να προσαρμόσουν διατροφικά σχέδια και διατροφικές συστάσεις για τη βελτιστοποίηση της διαχείρισης βάρους και της συνολικής υγείας. Αυτή η εξατομικευμένη προσέγγιση μπορεί να οδηγήσει σε πιο αποτελεσματικά και βιώσιμα αποτελέσματα για την πρόληψη και τη διαχείριση της παιδικής παχυσαρκίας </w:t>
      </w:r>
      <w:r>
        <w:fldChar w:fldCharType="begin"/>
      </w:r>
      <w:r>
        <w:rPr>
          <w:rFonts w:eastAsia="Calibri"/>
          <w:color w:val="0F110F"/>
          <w:lang w:val="en-US"/>
        </w:rPr>
        <w:instrText xml:space="preserve">ADDIN ZOTERO_ITEM CSL_CITATION {"citationID":"OoZ44bg2","properties":{"formattedCitation":"[185]","plainCitation":"[185]","noteIndex":0},"citationItems":[{"id":3257,"uris":["http://zotero.org/users/local/WDVvZTBM/items/IDXSHJLT"],"itemData":{"id":3257,"type":"article-journal","abstract":"Obesity has become one of the major public health problems all over the world. Recent novel eras of research are opening for the effective management of obesity though gene and nutrient intake interactions because the causes of obesity are complex and ...","container-title":"Preventive Nutrition and Food Science","DOI":"10.3746/pnf.2015.20.1.1","issue":"1","language":"en","note":"publisher: Korean Society of Food Science and Nutrition (KFN)\nPMID: 25866743","page":"1","source":"www.ncbi.nlm.nih.gov","title":"Obesity: Interactions of Genome and Nutrients Intake","title-short":"Obesity","volume":"20","author":[{"family":"Doo","given":"Miae"},{"family":"Kim","given":"Yangha"}],"issued":{"date-parts":[["2015",3]]}}}],"schema":"https://github.com/citation-style-language/schema/raw/master/csl-citation.json"}</w:instrText>
      </w:r>
      <w:r>
        <w:rPr>
          <w:rFonts w:eastAsia="Calibri"/>
          <w:color w:val="0F110F"/>
          <w:lang w:val="en-US"/>
        </w:rPr>
      </w:r>
      <w:r>
        <w:rPr>
          <w:rFonts w:eastAsia="Calibri"/>
          <w:color w:val="0F110F"/>
          <w:lang w:val="en-US"/>
        </w:rPr>
        <w:fldChar w:fldCharType="separate"/>
      </w:r>
      <w:r>
        <w:rPr>
          <w:rFonts w:eastAsia="Calibri"/>
          <w:color w:val="0F110F"/>
          <w:lang w:val="en-US"/>
        </w:rPr>
      </w:r>
      <w:r>
        <w:rPr>
          <w:rFonts w:eastAsia="Calibri"/>
          <w:color w:val="0F110F"/>
        </w:rPr>
        <w:t>[185]</w:t>
      </w:r>
      <w:r>
        <w:rPr>
          <w:rFonts w:eastAsia="Calibri"/>
          <w:color w:val="0F110F"/>
          <w:lang w:val="en-US"/>
        </w:rPr>
      </w:r>
      <w:r>
        <w:rPr>
          <w:rFonts w:eastAsia="Calibri"/>
          <w:color w:val="0F110F"/>
          <w:lang w:val="en-US"/>
        </w:rPr>
        <w:fldChar w:fldCharType="end"/>
      </w:r>
      <w:r>
        <w:rPr>
          <w:rFonts w:eastAsia="Calibri"/>
          <w:color w:val="0F110F"/>
        </w:rPr>
        <w:t>.</w:t>
      </w:r>
    </w:p>
    <w:p>
      <w:pPr>
        <w:pStyle w:val="Normal"/>
        <w:spacing w:lineRule="auto" w:line="360"/>
        <w:jc w:val="both"/>
        <w:rPr>
          <w:rFonts w:eastAsia="Calibri"/>
          <w:color w:val="000000"/>
        </w:rPr>
      </w:pPr>
      <w:r>
        <w:rPr>
          <w:rFonts w:eastAsia="Calibri"/>
          <w:color w:val="000000"/>
        </w:rPr>
      </w:r>
    </w:p>
    <w:p>
      <w:pPr>
        <w:pStyle w:val="Normal"/>
        <w:spacing w:lineRule="auto" w:line="360"/>
        <w:jc w:val="both"/>
        <w:rPr>
          <w:rFonts w:eastAsia="Calibri"/>
          <w:b/>
          <w:bCs/>
          <w:i/>
          <w:i/>
          <w:iCs/>
          <w:color w:val="0F110F"/>
          <w:u w:val="single"/>
        </w:rPr>
      </w:pPr>
      <w:r>
        <w:rPr>
          <w:rFonts w:eastAsia="Calibri"/>
          <w:b/>
          <w:bCs/>
          <w:i/>
          <w:iCs/>
          <w:color w:val="0F110F"/>
          <w:u w:val="single"/>
        </w:rPr>
        <w:t>Κατανόηση των αλληλεπιδράσεων γονιδίου-θρεπτικών συστατικών</w:t>
      </w:r>
    </w:p>
    <w:p>
      <w:pPr>
        <w:pStyle w:val="Normal"/>
        <w:spacing w:lineRule="auto" w:line="360"/>
        <w:ind w:firstLine="720"/>
        <w:jc w:val="both"/>
        <w:rPr>
          <w:rFonts w:eastAsia="Calibri"/>
          <w:color w:val="0F110F"/>
        </w:rPr>
      </w:pPr>
      <w:r>
        <w:rPr>
          <w:rFonts w:eastAsia="Calibri"/>
          <w:color w:val="0F110F"/>
        </w:rPr>
        <w:t xml:space="preserve">Τα Nutrigenomics επιτρέπουν στους ερευνητές να μελετήσουν την περίπλοκη αλληλεπίδραση μεταξύ γονιδίων και θρεπτικών συστατικών. Οι βιοϊατρικοί μηχανικοί μπορούν να διερευνήσουν πώς συγκεκριμένες γενετικές παραλλαγές επηρεάζουν τον μεταβολισμό, την απορρόφηση θρεπτικών συστατικών, την ενεργειακή ισορροπία και την ανταπόκριση ενός ατόμου σε ορισμένα διατροφικά συστατικά. Αυτή η γνώση βοηθά στον εντοπισμό των υποκείμενων μηχανισμών με τους οποίους γενετικοί παράγοντες επηρεάζουν τις διαδικασίες που σχετίζονται με τη διατροφή και βοηθά στην ανάπτυξη στρατηγικών για τη ρύθμιση αυτών των αλληλεπιδράσεων για καλύτερα αποτελέσματα στην υγεία </w:t>
      </w:r>
      <w:r>
        <w:fldChar w:fldCharType="begin"/>
      </w:r>
      <w:r>
        <w:rPr>
          <w:rFonts w:eastAsia="Calibri"/>
          <w:color w:val="0F110F"/>
        </w:rPr>
        <w:instrText xml:space="preserve">ADDIN ZOTERO_ITEM CSL_CITATION {"citationID":"GZviwCzY","properties":{"formattedCitation":"[186]","plainCitation":"[186]","noteIndex":0},"citationItems":[{"id":3223,"uris":["http://zotero.org/users/local/WDVvZTBM/items/RPXKDK9Q"],"itemData":{"id":3223,"type":"article-journal","abstract":"Overweight and obesity in childhood and adolescence represents one of the most challenging public health problems of our century owing to its epidemic proportions and the associated signiﬁcant morbidity, mortality, and increase in public health costs. The pathogenesis of polygenic obesity is multifactorial and is due to the interaction among genetic, epigenetic, and environmental factors. More than 1100 independent genetic loci associated with obesity traits have been currently identiﬁed, and there is great interest in the decoding of their biological functions and the gene–environment interaction. The present study aimed to systematically review the scientiﬁc evidence and to explore the relation of single-nucleotide polymorphisms (SNPs) and copy number variants (CNVs) with changes in body mass index (BMI) and other measures of body composition in children and adolescents with obesity, as well as their response to lifestyle interventions. Twenty-seven studies were included in the qualitative synthesis, which consisted of 7928 overweight/obese children and adolescents at different stages of pubertal development who underwent multidisciplinary management. The effect of polymorphisms in 92 different genes was assessed and revealed SNPs in 24 genetic loci signiﬁcantly associated with BMI and/or body composition change, which contribute to the complex metabolic imbalance of obesity, including the regulation of appetite and energy balance, the homeostasis of glucose, lipid, and adipose tissue, as well as their interactions. The decoding of the genetic and molecular/cellular pathophysiology of obesity and the gene–environment interactions, alongside with the individual genotype, will enable us to design targeted and personalized preventive and management interventions for obesity early in life.","container-title":"Nutrients","DOI":"10.3390/nu15061416","ISSN":"2072-6643","issue":"6","journalAbbreviation":"Nutrients","language":"en","page":"1416","source":"DOI.org (Crossref)","title":"The Genetic Basis of Childhood Obesity: A Systematic Review","title-short":"The Genetic Basis of Childhood Obesity","volume":"15","author":[{"family":"Vourdoumpa","given":"Aikaterini"},{"family":"Paltoglou","given":"George"},{"family":"Charmandari","given":"Evangelia"}],"issued":{"date-parts":[["2023",3,15]]}}}],"schema":"https://github.com/citation-style-language/schema/raw/master/csl-citation.json"}</w:instrText>
      </w:r>
      <w:r>
        <w:rPr>
          <w:rFonts w:eastAsia="Calibri"/>
          <w:color w:val="0F110F"/>
        </w:rPr>
      </w:r>
      <w:r>
        <w:rPr>
          <w:rFonts w:eastAsia="Calibri"/>
          <w:color w:val="0F110F"/>
        </w:rPr>
        <w:fldChar w:fldCharType="separate"/>
      </w:r>
      <w:r>
        <w:rPr>
          <w:rFonts w:eastAsia="Calibri"/>
          <w:color w:val="0F110F"/>
        </w:rPr>
        <w:t>[186]</w:t>
      </w:r>
      <w:r>
        <w:rPr>
          <w:rFonts w:eastAsia="Calibri"/>
          <w:color w:val="0F110F"/>
        </w:rPr>
      </w:r>
      <w:r>
        <w:rPr>
          <w:rFonts w:eastAsia="Calibri"/>
          <w:color w:val="0F110F"/>
        </w:rPr>
        <w:fldChar w:fldCharType="end"/>
      </w:r>
      <w:r>
        <w:rPr>
          <w:rFonts w:eastAsia="Calibri"/>
          <w:color w:val="0F110F"/>
        </w:rPr>
        <w:t>.</w:t>
      </w:r>
    </w:p>
    <w:p>
      <w:pPr>
        <w:pStyle w:val="Normal"/>
        <w:spacing w:lineRule="auto" w:line="360"/>
        <w:jc w:val="both"/>
        <w:rPr>
          <w:rFonts w:eastAsia="Calibri"/>
          <w:color w:val="000000"/>
        </w:rPr>
      </w:pPr>
      <w:r>
        <w:rPr>
          <w:rFonts w:eastAsia="Calibri"/>
          <w:color w:val="000000"/>
        </w:rPr>
      </w:r>
    </w:p>
    <w:p>
      <w:pPr>
        <w:pStyle w:val="Normal"/>
        <w:spacing w:lineRule="auto" w:line="360"/>
        <w:jc w:val="both"/>
        <w:rPr>
          <w:rFonts w:eastAsia="Calibri"/>
          <w:b/>
          <w:bCs/>
          <w:i/>
          <w:i/>
          <w:iCs/>
          <w:color w:val="0F110F"/>
          <w:u w:val="single"/>
        </w:rPr>
      </w:pPr>
      <w:r>
        <w:rPr>
          <w:rFonts w:eastAsia="Calibri"/>
          <w:b/>
          <w:bCs/>
          <w:i/>
          <w:iCs/>
          <w:color w:val="0F110F"/>
          <w:u w:val="single"/>
        </w:rPr>
        <w:t>Εργαλεία πρόβλεψης και βιοδείκτες</w:t>
      </w:r>
    </w:p>
    <w:p>
      <w:pPr>
        <w:pStyle w:val="Normal"/>
        <w:spacing w:lineRule="auto" w:line="360"/>
        <w:ind w:firstLine="720"/>
        <w:jc w:val="both"/>
        <w:rPr>
          <w:rFonts w:eastAsia="Calibri"/>
          <w:color w:val="0F110F"/>
        </w:rPr>
      </w:pPr>
      <w:r>
        <w:rPr>
          <w:rFonts w:eastAsia="Calibri"/>
          <w:color w:val="0F110F"/>
        </w:rPr>
        <w:t xml:space="preserve">Οι βιοϊατρικοί μηχανικοί μπορούν να αναπτύξουν προγνωστικά εργαλεία και βιοδείκτες με βάση τη διατροφογονιδιωματική έρευνα για να αξιολογήσουν τις διατροφικές ανάγκες ενός ατόμου και την ανταπόκριση σε διαφορετικές διατροφικές παρεμβάσεις. Αναλύοντας το γενετικό προφίλ ενός ατόμου, αυτά τα εργαλεία μπορούν να παρέχουν πολύτιμες γνώσεις σχετικά με τις μοναδικές απαιτήσεις του, επιτρέποντας στους επαγγελματίες υγείας να προσαρμόζουν ανάλογα τα διατροφικά προγράμματα. Οι βιοδείκτες μπορούν επίσης να χρησιμοποιηθούν για την παρακολούθηση της προόδου της θεραπείας και την προσαρμογή των παρεμβάσεων όπως απαιτείται </w:t>
      </w:r>
      <w:r>
        <w:fldChar w:fldCharType="begin"/>
      </w:r>
      <w:r>
        <w:rPr>
          <w:rFonts w:eastAsia="Calibri"/>
          <w:color w:val="0F110F"/>
          <w:lang w:val="en-US"/>
        </w:rPr>
        <w:instrText xml:space="preserve">ADDIN ZOTERO_ITEM CSL_CITATION {"citationID":"BS2twzMo","properties":{"formattedCitation":"[179]","plainCitation":"[179]","noteIndex":0},"citationItems":[{"id":3244,"uris":["http://zotero.org/users/local/WDVvZTBM/items/LPZNE85V"],"itemData":{"id":3244,"type":"article-journal","abstract":"Regulation of the Renin-Angiotensin System (RAS) and the kallikrein-kinin system (KKS) by obesity in adolescents.","container-title":"Hypertension Research","DOI":"10.1038/s41440-021-00651-z","ISSN":"1348-4214","issue":"8","journalAbbreviation":"Hypertens Res","language":"en","license":"2021 The Author(s), under exclusive licence to The Japanese Society of Hypertension","note":"number: 8\npublisher: Nature Publishing Group","page":"1030-1033","source":"www.nature.com","title":"Novel biomarkers of childhood and adolescent obesity","volume":"44","author":[{"family":"Yanes Cardozo","given":"Licy L."},{"family":"Romero","given":"Damian G."}],"issued":{"date-parts":[["2021",8]]}}}],"schema":"https://github.com/citation-style-language/schema/raw/master/csl-citation.json"}</w:instrText>
      </w:r>
      <w:r>
        <w:rPr>
          <w:rFonts w:eastAsia="Calibri"/>
          <w:color w:val="0F110F"/>
          <w:lang w:val="en-US"/>
        </w:rPr>
      </w:r>
      <w:r>
        <w:rPr>
          <w:rFonts w:eastAsia="Calibri"/>
          <w:color w:val="0F110F"/>
          <w:lang w:val="en-US"/>
        </w:rPr>
        <w:fldChar w:fldCharType="separate"/>
      </w:r>
      <w:r>
        <w:rPr>
          <w:rFonts w:eastAsia="Calibri"/>
          <w:color w:val="0F110F"/>
          <w:lang w:val="en-US"/>
        </w:rPr>
      </w:r>
      <w:r>
        <w:rPr>
          <w:rFonts w:eastAsia="Calibri"/>
          <w:color w:val="0F110F"/>
        </w:rPr>
        <w:t>[179]</w:t>
      </w:r>
      <w:r>
        <w:rPr>
          <w:rFonts w:eastAsia="Calibri"/>
          <w:color w:val="0F110F"/>
          <w:lang w:val="en-US"/>
        </w:rPr>
      </w:r>
      <w:r>
        <w:rPr>
          <w:rFonts w:eastAsia="Calibri"/>
          <w:color w:val="0F110F"/>
          <w:lang w:val="en-US"/>
        </w:rPr>
        <w:fldChar w:fldCharType="end"/>
      </w:r>
      <w:r>
        <w:rPr>
          <w:rFonts w:eastAsia="Calibri"/>
          <w:color w:val="0F110F"/>
        </w:rPr>
        <w:t>.</w:t>
      </w:r>
    </w:p>
    <w:p>
      <w:pPr>
        <w:pStyle w:val="Normal"/>
        <w:spacing w:lineRule="auto" w:line="360"/>
        <w:jc w:val="both"/>
        <w:rPr>
          <w:rFonts w:eastAsia="Calibri"/>
          <w:color w:val="000000"/>
        </w:rPr>
      </w:pPr>
      <w:r>
        <w:rPr>
          <w:rFonts w:eastAsia="Calibri"/>
          <w:color w:val="000000"/>
        </w:rPr>
      </w:r>
    </w:p>
    <w:p>
      <w:pPr>
        <w:pStyle w:val="Normal"/>
        <w:spacing w:lineRule="auto" w:line="360"/>
        <w:jc w:val="both"/>
        <w:rPr>
          <w:rFonts w:eastAsia="Calibri"/>
          <w:b/>
          <w:bCs/>
          <w:i/>
          <w:i/>
          <w:iCs/>
          <w:color w:val="0F110F"/>
          <w:u w:val="single"/>
        </w:rPr>
      </w:pPr>
      <w:r>
        <w:rPr>
          <w:rFonts w:eastAsia="Calibri"/>
          <w:b/>
          <w:bCs/>
          <w:i/>
          <w:iCs/>
          <w:color w:val="0F110F"/>
          <w:u w:val="single"/>
        </w:rPr>
        <w:t>Συνεργασίες και ενσωμάτωση δεδομένων</w:t>
      </w:r>
    </w:p>
    <w:p>
      <w:pPr>
        <w:pStyle w:val="Normal"/>
        <w:spacing w:lineRule="auto" w:line="360"/>
        <w:ind w:firstLine="720"/>
        <w:jc w:val="both"/>
        <w:rPr>
          <w:rFonts w:eastAsia="Calibri"/>
          <w:color w:val="0F110F"/>
        </w:rPr>
      </w:pPr>
      <w:r>
        <w:rPr>
          <w:rFonts w:eastAsia="Calibri"/>
          <w:color w:val="0F110F"/>
        </w:rPr>
        <w:t xml:space="preserve">Ο τομέας της διατροφογονιδιωματικής ευδοκιμεί σε διεπιστημονικές συνεργασίες, όπου οι βιοϊατρικοί μηχανικοί μπορούν να συνεργαστούν με γενετιστές, διατροφολόγους και άλλους επαγγελματίες υγείας για να ενσωματώσουν γενετικές πληροφορίες με διατροφικά δεδομένα. Συνδυάζοντας γονιδιωματικά δεδομένα, κλινικές αξιολογήσεις και διατροφικές πληροφορίες, οι ερευνητές μπορούν να αποκτήσουν μια ολοκληρωμένη κατανόηση της περίπλοκης σχέσης μεταξύ γενετικής και διατροφής, οδηγώντας σε πιο ακριβείς και αποτελεσματικές παρεμβάσεις </w:t>
      </w:r>
      <w:r>
        <w:fldChar w:fldCharType="begin"/>
      </w:r>
      <w:r>
        <w:rPr>
          <w:rFonts w:eastAsia="Calibri"/>
          <w:color w:val="0F110F"/>
        </w:rPr>
        <w:instrText xml:space="preserve">ADDIN ZOTERO_ITEM CSL_CITATION {"citationID":"pBvzH25P","properties":{"formattedCitation":"[168]","plainCitation":"[168]","noteIndex":0},"citationItems":[{"id":2767,"uris":["http://zotero.org/users/local/WDVvZTBM/items/2VINLNUM"],"itemData":{"id":2767,"type":"article-journal","abstract":"Overweight and obesity in childhood and adolescence represents one of the most challenging public health problems of our century owing to its epidemic proportions and the associated signiﬁcant morbidity, mortality, and increase in public health costs. The pathogenesis of polygenic obesity is multifactorial and is due to the interaction among genetic, epigenetic, and environmental factors. More than 1100 independent genetic loci associated with obesity traits have been currently identiﬁed, and there is great interest in the decoding of their biological functions and the gene–environment interaction. The present study aimed to systematically review the scientiﬁc evidence and to explore the relation of single-nucleotide polymorphisms (SNPs) and copy number variants (CNVs) with changes in body mass index (BMI) and other measures of body composition in children and adolescents with obesity, as well as their response to lifestyle interventions. Twenty-seven studies were included in the qualitative synthesis, which consisted of 7928 overweight/obese children and adolescents at different stages of pubertal development who underwent multidisciplinary management. The effect of polymorphisms in 92 different genes was assessed and revealed SNPs in 24 genetic loci signiﬁcantly associated with BMI and/or body composition change, which contribute to the complex metabolic imbalance of obesity, including the regulation of appetite and energy balance, the homeostasis of glucose, lipid, and adipose tissue, as well as their interactions. The decoding of the genetic and molecular/cellular pathophysiology of obesity and the gene–environment interactions, alongside with the individual genotype, will enable us to design targeted and personalized preventive and management interventions for obesity early in life.","container-title":"Nutrients","DOI":"10.3390/nu15061416","ISSN":"2072-6643","issue":"6","journalAbbreviation":"Nutrients","language":"en","page":"1416","source":"DOI.org (Crossref)","title":"The Genetic Basis of Childhood Obesity: A Systematic Review","title-short":"The Genetic Basis of Childhood Obesity","volume":"15","author":[{"family":"Vourdoumpa","given":"Aikaterini"},{"family":"Paltoglou","given":"George"},{"family":"Charmandari","given":"Evangelia"}],"issued":{"date-parts":[["2023",3,15]]}}}],"schema":"https://github.com/citation-style-language/schema/raw/master/csl-citation.json"}</w:instrText>
      </w:r>
      <w:r>
        <w:rPr>
          <w:rFonts w:eastAsia="Calibri"/>
          <w:color w:val="0F110F"/>
        </w:rPr>
      </w:r>
      <w:r>
        <w:rPr>
          <w:rFonts w:eastAsia="Calibri"/>
          <w:color w:val="0F110F"/>
        </w:rPr>
        <w:fldChar w:fldCharType="separate"/>
      </w:r>
      <w:r>
        <w:rPr>
          <w:rFonts w:eastAsia="Calibri"/>
          <w:color w:val="0F110F"/>
        </w:rPr>
        <w:t>[168]</w:t>
      </w:r>
      <w:r>
        <w:rPr>
          <w:rFonts w:eastAsia="Calibri"/>
          <w:color w:val="0F110F"/>
        </w:rPr>
      </w:r>
      <w:r>
        <w:rPr>
          <w:rFonts w:eastAsia="Calibri"/>
          <w:color w:val="0F110F"/>
        </w:rPr>
        <w:fldChar w:fldCharType="end"/>
      </w:r>
      <w:r>
        <w:rPr>
          <w:rFonts w:eastAsia="Calibri"/>
          <w:color w:val="0F110F"/>
        </w:rPr>
        <w:t>.</w:t>
      </w:r>
    </w:p>
    <w:p>
      <w:pPr>
        <w:pStyle w:val="Normal"/>
        <w:spacing w:lineRule="auto" w:line="360"/>
        <w:jc w:val="both"/>
        <w:rPr>
          <w:rFonts w:eastAsia="Calibri"/>
          <w:color w:val="000000"/>
        </w:rPr>
      </w:pPr>
      <w:r>
        <w:rPr>
          <w:rFonts w:eastAsia="Calibri"/>
          <w:color w:val="000000"/>
        </w:rPr>
      </w:r>
    </w:p>
    <w:p>
      <w:pPr>
        <w:pStyle w:val="Normal"/>
        <w:spacing w:lineRule="auto" w:line="360"/>
        <w:ind w:firstLine="720"/>
        <w:jc w:val="both"/>
        <w:rPr>
          <w:rFonts w:eastAsia="Calibri"/>
          <w:color w:val="000000"/>
        </w:rPr>
      </w:pPr>
      <w:r>
        <w:rPr>
          <w:rFonts w:eastAsia="Calibri"/>
          <w:color w:val="0F110F"/>
        </w:rPr>
        <w:t>Η διατροφογονιδιωματική αντιπροσωπεύει ένα συναρπαστικό σύνορο στη βιοϊατρική μηχανική, εστιάζοντας στην αλληλεπίδραση μεταξύ γενετικής και διατροφής στο πλαίσιο της παιδικής παχυσαρκίας. Κατανοώντας πώς οι γενετικοί παράγοντες επηρεάζουν την ανταπόκριση ενός ατόμου σε διαφορετικές δίαιτες και διατροφικές παρεμβάσεις, οι βιοϊατρικοί μηχανικοί μπορούν να συμβάλουν στην ανάπτυξη εξατομικευμένων προσεγγίσεων για την πρόληψη και τη διαχείριση της παχυσαρκίας στα παιδιά. Η έρευνα για τη διατροφογονιδιωματική έχει τεράστιες δυνατότητες για τη βελτίωση των αποτελεσμάτων της υγείας, την προώθηση υγιεινών διατροφικών συνηθειών και την καθοδήγηση του σχεδιασμού στοχευμένων παρεμβάσεων για την αντιμετώπιση της παιδικής παχυσαρκίας σε ατομικό επίπεδο.</w:t>
      </w:r>
    </w:p>
    <w:p>
      <w:pPr>
        <w:pStyle w:val="Normal"/>
        <w:spacing w:lineRule="auto" w:line="360"/>
        <w:rPr>
          <w:rFonts w:ascii="Helvetica" w:hAnsi="Helvetica" w:eastAsia="Calibri" w:cs="Helvetica"/>
          <w:color w:val="000000"/>
        </w:rPr>
      </w:pPr>
      <w:r>
        <w:rPr>
          <w:rFonts w:eastAsia="Calibri"/>
          <w:color w:val="000000"/>
        </w:rPr>
        <w:t> </w:t>
      </w:r>
    </w:p>
    <w:p>
      <w:pPr>
        <w:pStyle w:val="Heading2"/>
        <w:rPr/>
      </w:pPr>
      <w:bookmarkStart w:id="80" w:name="_Toc154923842"/>
      <w:r>
        <w:rPr/>
        <w:t>4.6 Οι Μελέτες βιοϊατρικής μηχανικής</w:t>
      </w:r>
      <w:bookmarkEnd w:id="80"/>
    </w:p>
    <w:p>
      <w:pPr>
        <w:pStyle w:val="Normal"/>
        <w:spacing w:lineRule="auto" w:line="360"/>
        <w:ind w:firstLine="720"/>
        <w:jc w:val="both"/>
        <w:rPr>
          <w:rFonts w:eastAsia="Calibri"/>
          <w:color w:val="0F110F"/>
        </w:rPr>
      </w:pPr>
      <w:r>
        <w:rPr>
          <w:rFonts w:eastAsia="Calibri"/>
          <w:color w:val="0F110F"/>
        </w:rPr>
        <w:t>Οι βιοϊατρικοί μηχανικοί διαδραματίζουν κρίσιμο ρόλο στη διεξαγωγή εμβιομηχανικών μελετών για την καλύτερη κατανόηση της επίδρασης της παχυσαρκίας στη μυοσκελετική υγεία και πώς οι γενετικοί παράγοντες επηρεάζουν την ανάπτυξη του λιπώδους ιστού. Μέσω της χρήσης τεχνολογιών απεικόνισης και εμβιομηχανικής μοντελοποίησης, μπορούν να σχεδιάσουν και να εφαρμόσουν μελέτες για τη διερεύνηση αυτών των πτυχών.</w:t>
      </w:r>
    </w:p>
    <w:p>
      <w:pPr>
        <w:pStyle w:val="Normal"/>
        <w:spacing w:lineRule="auto" w:line="360"/>
        <w:jc w:val="both"/>
        <w:rPr>
          <w:rFonts w:eastAsia="Calibri"/>
          <w:color w:val="000000"/>
        </w:rPr>
      </w:pPr>
      <w:r>
        <w:rPr>
          <w:rFonts w:eastAsia="Calibri"/>
          <w:color w:val="000000"/>
        </w:rPr>
      </w:r>
    </w:p>
    <w:p>
      <w:pPr>
        <w:pStyle w:val="Normal"/>
        <w:spacing w:lineRule="auto" w:line="360"/>
        <w:jc w:val="both"/>
        <w:rPr>
          <w:rFonts w:eastAsia="Calibri"/>
          <w:b/>
          <w:bCs/>
          <w:i/>
          <w:i/>
          <w:iCs/>
          <w:color w:val="0F110F"/>
          <w:u w:val="single"/>
        </w:rPr>
      </w:pPr>
      <w:r>
        <w:rPr>
          <w:rFonts w:eastAsia="Calibri"/>
          <w:b/>
          <w:bCs/>
          <w:i/>
          <w:iCs/>
          <w:color w:val="0F110F"/>
          <w:u w:val="single"/>
        </w:rPr>
        <w:t>Αξιολόγηση της επιρροής των γενετικών παραγόντων στην ανάπτυξη του λιπώδους ιστού</w:t>
      </w:r>
    </w:p>
    <w:p>
      <w:pPr>
        <w:pStyle w:val="Normal"/>
        <w:spacing w:lineRule="auto" w:line="360"/>
        <w:ind w:firstLine="720"/>
        <w:jc w:val="both"/>
        <w:rPr>
          <w:rFonts w:eastAsia="Calibri"/>
          <w:color w:val="0F110F"/>
        </w:rPr>
      </w:pPr>
      <w:r>
        <w:rPr>
          <w:rFonts w:eastAsia="Calibri"/>
          <w:color w:val="0F110F"/>
        </w:rPr>
        <w:t xml:space="preserve">Οι βιοϊατρικοί μηχανικοί μπορούν να διεξάγουν μελέτες για να διερευνήσουν πώς οι γενετικοί παράγοντες επηρεάζουν την ανάπτυξη και την κατανομή του λιπώδους ιστού στο σώμα. Συλλέγοντας δεδομένα από άτομα με γνωστές γενετικές παραλλαγές που σχετίζονται με την παχυσαρκία, οι ερευνητές μπορούν να αναλύσουν τη σύνθεση, την κατανομή του λιπώδους ιστού και τις επιπτώσεις του στη συνολική μηχανική του σώματος. Αυτή η γνώση βοηθά στην κατανόηση των συγκεκριμένων γενετικών παραγόντων που συμβάλλουν σε αλλαγές στη σύνθεση του σώματος που σχετίζονται με την παχυσαρκία </w:t>
      </w:r>
      <w:r>
        <w:fldChar w:fldCharType="begin"/>
      </w:r>
      <w:r>
        <w:rPr>
          <w:rFonts w:eastAsia="Calibri"/>
          <w:color w:val="0F110F"/>
        </w:rPr>
        <w:instrText xml:space="preserve">ADDIN ZOTERO_ITEM CSL_CITATION {"citationID":"YjShUI4R","properties":{"formattedCitation":"[187]","plainCitation":"[187]","noteIndex":0},"citationItems":[{"id":3273,"uris":["http://zotero.org/users/local/WDVvZTBM/items/R9M2L3BU"],"itemData":{"id":3273,"type":"webpage","container-title":"School of Biomedical Engineering, Science and Health Systems","language":"en","title":"What is Pediatric Engineering?","URL":"https://drexel.edu/biomed/research-and-design/pediatric-engineering/","accessed":{"date-parts":[["2023",12,4]]},"issued":{"date-parts":[["2022",1,31]]}}}],"schema":"https://github.com/citation-style-language/schema/raw/master/csl-citation.json"}</w:instrText>
      </w:r>
      <w:r>
        <w:rPr>
          <w:rFonts w:eastAsia="Calibri"/>
          <w:color w:val="0F110F"/>
        </w:rPr>
      </w:r>
      <w:r>
        <w:rPr>
          <w:rFonts w:eastAsia="Calibri"/>
          <w:color w:val="0F110F"/>
        </w:rPr>
        <w:fldChar w:fldCharType="separate"/>
      </w:r>
      <w:r>
        <w:rPr>
          <w:rFonts w:eastAsia="Calibri"/>
          <w:color w:val="0F110F"/>
        </w:rPr>
        <w:t>[187]</w:t>
      </w:r>
      <w:r>
        <w:rPr>
          <w:rFonts w:eastAsia="Calibri"/>
          <w:color w:val="0F110F"/>
        </w:rPr>
      </w:r>
      <w:r>
        <w:rPr>
          <w:rFonts w:eastAsia="Calibri"/>
          <w:color w:val="0F110F"/>
        </w:rPr>
        <w:fldChar w:fldCharType="end"/>
      </w:r>
      <w:r>
        <w:rPr>
          <w:rFonts w:eastAsia="Calibri"/>
          <w:color w:val="0F110F"/>
        </w:rPr>
        <w:t>.</w:t>
      </w:r>
    </w:p>
    <w:p>
      <w:pPr>
        <w:pStyle w:val="Normal"/>
        <w:spacing w:lineRule="auto" w:line="360"/>
        <w:jc w:val="both"/>
        <w:rPr>
          <w:rFonts w:eastAsia="Calibri"/>
          <w:color w:val="000000"/>
        </w:rPr>
      </w:pPr>
      <w:r>
        <w:rPr>
          <w:rFonts w:eastAsia="Calibri"/>
          <w:color w:val="000000"/>
        </w:rPr>
      </w:r>
    </w:p>
    <w:p>
      <w:pPr>
        <w:pStyle w:val="Normal"/>
        <w:spacing w:lineRule="auto" w:line="360"/>
        <w:jc w:val="both"/>
        <w:rPr>
          <w:rFonts w:eastAsia="Calibri"/>
          <w:b/>
          <w:bCs/>
          <w:i/>
          <w:i/>
          <w:iCs/>
          <w:color w:val="0F110F"/>
          <w:u w:val="single"/>
        </w:rPr>
      </w:pPr>
      <w:r>
        <w:rPr>
          <w:rFonts w:eastAsia="Calibri"/>
          <w:b/>
          <w:bCs/>
          <w:i/>
          <w:iCs/>
          <w:color w:val="0F110F"/>
          <w:u w:val="single"/>
        </w:rPr>
        <w:t>Εξέταση των επιπτώσεων στη μυοσκελετική υγεία</w:t>
      </w:r>
    </w:p>
    <w:p>
      <w:pPr>
        <w:pStyle w:val="Normal"/>
        <w:spacing w:lineRule="auto" w:line="360"/>
        <w:ind w:firstLine="720"/>
        <w:jc w:val="both"/>
        <w:rPr>
          <w:rFonts w:eastAsia="Calibri"/>
          <w:color w:val="0F110F"/>
        </w:rPr>
      </w:pPr>
      <w:r>
        <w:rPr>
          <w:rFonts w:eastAsia="Calibri"/>
          <w:color w:val="0F110F"/>
        </w:rPr>
        <w:t xml:space="preserve">Η παχυσαρκία είναι γνωστό ότι ασκεί σημαντική μηχανική πίεση στο μυοσκελετικό σύστημα. Οι βιοϊατρικοί μηχανικοί μπορούν να σχεδιάσουν μελέτες για να εξετάσουν τις εμβιομηχανικές επιδράσεις της περίσσειας λιπώδους ιστού στις αρθρώσεις, τα οστά και τους μύες. Μέσω της χρήσης ανάλυσης κίνησης, μέτρησης δύναμης και άλλων εμβιομηχανικών τεχνικών, οι ερευνητές μπορούν να ποσοτικοποιήσουν τον αντίκτυπο της παχυσαρκίας στα μοτίβα βάδισης, στη φόρτιση των αρθρώσεων και στην ενεργοποίηση των μυών. Αυτές οι μελέτες παρέχουν πληροφορίες για τους μηχανικούς παράγοντες που κρύβονται πίσω από τις μυοσκελετικές διαταραχές που σχετίζονται με την παχυσαρκία </w:t>
      </w:r>
      <w:r>
        <w:fldChar w:fldCharType="begin"/>
      </w:r>
      <w:r>
        <w:rPr>
          <w:rFonts w:eastAsia="Calibri"/>
          <w:color w:val="0F110F"/>
        </w:rPr>
        <w:instrText xml:space="preserve">ADDIN ZOTERO_ITEM CSL_CITATION {"citationID":"pVX2DsUs","properties":{"formattedCitation":"[122], [186]","plainCitation":"[122], [186]","noteIndex":0},"citationItems":[{"id":3055,"uris":["http://zotero.org/users/local/WDVvZTBM/items/HNWILPFC"],"itemData":{"id":3055,"type":"article-journal","abstract":"&lt;span&gt;&lt;b&gt;Introduction:&lt;/b&gt; Childhood obesity is occurring at alarming rates in both developed and developing countries. \"Obesogenic\" environmental factors must be associated with variants of different risk alleles to determine polygenic or common obesity, and their impact depends on different developmenta&lt;/span&gt; …","container-title":"Frontiers in pediatrics","DOI":"10.3389/fped.2018.00271","ISSN":"2296-2360","language":"en","note":"publisher: Front Pediatr\nPMID: 30338250","source":"pubmed.ncbi.nlm.nih.gov","title":"New Insights Regarding Genetic Aspects of Childhood Obesity: A Minireview","title-short":"New Insights Regarding Genetic Aspects of Childhood Obesity","URL":"https://pubmed.ncbi.nlm.nih.gov/30338250/","volume":"6","author":[{"family":"Co","given":"Mǎrginean"},{"family":"C","given":"Mǎrginean"},{"family":"Le","given":"Meliţ"}],"accessed":{"date-parts":[["2023",11,19]]},"issued":{"date-parts":[["2018",4,10]]}}},{"id":3223,"uris":["http://zotero.org/users/local/WDVvZTBM/items/RPXKDK9Q"],"itemData":{"id":3223,"type":"article-journal","abstract":"Overweight and obesity in childhood and adolescence represents one of the most challenging public health problems of our century owing to its epidemic proportions and the associated signiﬁcant morbidity, mortality, and increase in public health costs. The pathogenesis of polygenic obesity is multifactorial and is due to the interaction among genetic, epigenetic, and environmental factors. More than 1100 independent genetic loci associated with obesity traits have been currently identiﬁed, and there is great interest in the decoding of their biological functions and the gene–environment interaction. The present study aimed to systematically review the scientiﬁc evidence and to explore the relation of single-nucleotide polymorphisms (SNPs) and copy number variants (CNVs) with changes in body mass index (BMI) and other measures of body composition in children and adolescents with obesity, as well as their response to lifestyle interventions. Twenty-seven studies were included in the qualitative synthesis, which consisted of 7928 overweight/obese children and adolescents at different stages of pubertal development who underwent multidisciplinary management. The effect of polymorphisms in 92 different genes was assessed and revealed SNPs in 24 genetic loci signiﬁcantly associated with BMI and/or body composition change, which contribute to the complex metabolic imbalance of obesity, including the regulation of appetite and energy balance, the homeostasis of glucose, lipid, and adipose tissue, as well as their interactions. The decoding of the genetic and molecular/cellular pathophysiology of obesity and the gene–environment interactions, alongside with the individual genotype, will enable us to design targeted and personalized preventive and management interventions for obesity early in life.","container-title":"Nutrients","DOI":"10.3390/nu15061416","ISSN":"2072-6643","issue":"6","journalAbbreviation":"Nutrients","language":"en","page":"1416","source":"DOI.org (Crossref)","title":"The Genetic Basis of Childhood Obesity: A Systematic Review","title-short":"The Genetic Basis of Childhood Obesity","volume":"15","author":[{"family":"Vourdoumpa","given":"Aikaterini"},{"family":"Paltoglou","given":"George"},{"family":"Charmandari","given":"Evangelia"}],"issued":{"date-parts":[["2023",3,15]]}}}],"schema":"https://github.com/citation-style-language/schema/raw/master/csl-citation.json"}</w:instrText>
      </w:r>
      <w:r>
        <w:rPr>
          <w:rFonts w:eastAsia="Calibri"/>
          <w:color w:val="0F110F"/>
        </w:rPr>
      </w:r>
      <w:r>
        <w:rPr>
          <w:rFonts w:eastAsia="Calibri"/>
          <w:color w:val="0F110F"/>
        </w:rPr>
        <w:fldChar w:fldCharType="separate"/>
      </w:r>
      <w:r>
        <w:rPr>
          <w:rFonts w:eastAsia="Calibri"/>
          <w:color w:val="0F110F"/>
        </w:rPr>
        <w:t>[122], [186]</w:t>
      </w:r>
      <w:r>
        <w:rPr>
          <w:rFonts w:eastAsia="Calibri"/>
          <w:color w:val="0F110F"/>
        </w:rPr>
      </w:r>
      <w:r>
        <w:rPr>
          <w:rFonts w:eastAsia="Calibri"/>
          <w:color w:val="0F110F"/>
        </w:rPr>
        <w:fldChar w:fldCharType="end"/>
      </w:r>
      <w:r>
        <w:rPr>
          <w:rFonts w:eastAsia="Calibri"/>
          <w:color w:val="0F110F"/>
        </w:rPr>
        <w:t>.</w:t>
      </w:r>
    </w:p>
    <w:p>
      <w:pPr>
        <w:pStyle w:val="Normal"/>
        <w:spacing w:lineRule="auto" w:line="360"/>
        <w:jc w:val="both"/>
        <w:rPr>
          <w:rFonts w:eastAsia="Calibri"/>
          <w:color w:val="000000"/>
        </w:rPr>
      </w:pPr>
      <w:r>
        <w:rPr>
          <w:rFonts w:eastAsia="Calibri"/>
          <w:color w:val="000000"/>
        </w:rPr>
      </w:r>
    </w:p>
    <w:p>
      <w:pPr>
        <w:pStyle w:val="Normal"/>
        <w:spacing w:lineRule="auto" w:line="360"/>
        <w:jc w:val="both"/>
        <w:rPr>
          <w:rFonts w:eastAsia="Calibri"/>
          <w:b/>
          <w:bCs/>
          <w:i/>
          <w:i/>
          <w:iCs/>
          <w:color w:val="0F110F"/>
          <w:u w:val="single"/>
        </w:rPr>
      </w:pPr>
      <w:r>
        <w:rPr>
          <w:rFonts w:eastAsia="Calibri"/>
          <w:b/>
          <w:bCs/>
          <w:i/>
          <w:iCs/>
          <w:color w:val="0F110F"/>
          <w:u w:val="single"/>
        </w:rPr>
        <w:t>Τεχνολογίες απεικόνισης στις εμβιομηχανικές μελέτες</w:t>
      </w:r>
    </w:p>
    <w:p>
      <w:pPr>
        <w:pStyle w:val="Normal"/>
        <w:spacing w:lineRule="auto" w:line="360"/>
        <w:ind w:firstLine="720"/>
        <w:jc w:val="both"/>
        <w:rPr>
          <w:rFonts w:eastAsia="Calibri"/>
          <w:color w:val="0F110F"/>
        </w:rPr>
      </w:pPr>
      <w:r>
        <w:rPr>
          <w:rFonts w:eastAsia="Calibri"/>
          <w:color w:val="0F110F"/>
        </w:rPr>
        <w:t xml:space="preserve">Οι βιοϊατρικοί μηχανικοί έχουν πρόσβαση σε διάφορες τεχνολογίες απεικόνισης που μπορούν να βοηθήσουν στη μελέτη της εμβιομηχανικής της παχυσαρκίας. Τεχνικές όπως η μαγνητική τομογραφία (MRI), η υπολογιστική τομογραφία (CT) και η απορρόφηση ακτίνων Χ διπλής ενέργειας ( DEXA ) μπορούν να χρησιμοποιηθούν για την απεικόνιση και τη μέτρηση της κατανομής του λιπώδους ιστού, της μυϊκής μάζας και της οστικής πυκνότητας. Αυτές οι μέθοδοι απεικόνισης παρέχουν πολύτιμα δεδομένα για εμβιομηχανική μοντελοποίηση και ανάλυση </w:t>
      </w:r>
      <w:r>
        <w:fldChar w:fldCharType="begin"/>
      </w:r>
      <w:r>
        <w:rPr>
          <w:rFonts w:eastAsia="Calibri"/>
          <w:color w:val="0F110F"/>
          <w:lang w:val="en-US"/>
        </w:rPr>
        <w:instrText xml:space="preserve">ADDIN ZOTERO_ITEM CSL_CITATION {"citationID":"yoY24geo","properties":{"formattedCitation":"[188], [189]","plainCitation":"[188], [189]","noteIndex":0},"citationItems":[{"id":3270,"uris":["http://zotero.org/users/local/WDVvZTBM/items/D2YPEXL3"],"itemData":{"id":3270,"type":"article-journal","abstract":"The International Journal of Imaging Systems and Technology (IMA) covers algorithmic research, hardware &amp; software developments, and their medical applications.","container-title":"International Journal of Imaging Systems and Technology","DOI":"10.1002/ima.22572","ISSN":"1098-1098","issue":"3","language":"en","note":"publisher: John Wiley &amp; Sons, Ltd","page":"1752-1768","source":"onlinelibrary.wiley.com","title":"Thermal imaging method to evaluate childhood obesity based on machine learning techniques","volume":"31","author":[{"family":"Rashmi","given":"Richa"},{"family":"Umapathy","given":"Snekhalatha"},{"family":"Krishnan","given":"Palani Thanaraj"}],"issued":{"date-parts":[["2021",9,1]]}}},{"id":3275,"uris":["http://zotero.org/users/local/WDVvZTBM/items/FU5EREU7"],"itemData":{"id":3275,"type":"article-journal","abstract":"There is a need to accurately quantify levels of adiposity in order to identify overweight and obesity in children. This systematic review aimed to identify all diagnostic accuracy studies evaluating simple tests for obesity and adiposity, including body mass index (BMI), skin-fold thickness and wai …","container-title":"Obesity reviews : an official journal of the International Association for the Study of Obesity","DOI":"10.1111/obr.12462","ISSN":"1467-789X","issue":"12","language":"en","note":"publisher: Obes Rev\nPMID: 27653184","source":"pubmed.ncbi.nlm.nih.gov","title":"Simple tests for the diagnosis of childhood obesity: a systematic review and meta-analysis","title-short":"Simple tests for the diagnosis of childhood obesity","URL":"https://pubmed.ncbi.nlm.nih.gov/27653184/","volume":"17","author":[{"family":"M","given":"Simmonds"},{"family":"A","given":"Llewellyn"},{"family":"Cg","given":"Owen"},{"family":"N","given":"Woolacott"}],"accessed":{"date-parts":[["2023",12,4]]},"issued":{"date-parts":[["2016",12]]}}}],"schema":"https://github.com/citation-style-language/schema/raw/master/csl-citation.json"}</w:instrText>
      </w:r>
      <w:r>
        <w:rPr>
          <w:rFonts w:eastAsia="Calibri"/>
          <w:color w:val="0F110F"/>
          <w:lang w:val="en-US"/>
        </w:rPr>
      </w:r>
      <w:r>
        <w:rPr>
          <w:rFonts w:eastAsia="Calibri"/>
          <w:color w:val="0F110F"/>
          <w:lang w:val="en-US"/>
        </w:rPr>
        <w:fldChar w:fldCharType="separate"/>
      </w:r>
      <w:r>
        <w:rPr>
          <w:rFonts w:eastAsia="Calibri"/>
          <w:color w:val="0F110F"/>
          <w:lang w:val="en-US"/>
        </w:rPr>
      </w:r>
      <w:r>
        <w:rPr>
          <w:rFonts w:eastAsia="Calibri"/>
          <w:color w:val="0F110F"/>
        </w:rPr>
        <w:t>[188], [189]</w:t>
      </w:r>
      <w:r>
        <w:rPr>
          <w:rFonts w:eastAsia="Calibri"/>
          <w:color w:val="0F110F"/>
          <w:lang w:val="en-US"/>
        </w:rPr>
      </w:r>
      <w:r>
        <w:rPr>
          <w:rFonts w:eastAsia="Calibri"/>
          <w:color w:val="0F110F"/>
          <w:lang w:val="en-US"/>
        </w:rPr>
        <w:fldChar w:fldCharType="end"/>
      </w:r>
      <w:r>
        <w:rPr>
          <w:rFonts w:eastAsia="Calibri"/>
          <w:color w:val="0F110F"/>
        </w:rPr>
        <w:t>.</w:t>
      </w:r>
    </w:p>
    <w:p>
      <w:pPr>
        <w:pStyle w:val="Normal"/>
        <w:spacing w:lineRule="auto" w:line="360"/>
        <w:jc w:val="both"/>
        <w:rPr>
          <w:rFonts w:eastAsia="Calibri"/>
          <w:color w:val="000000"/>
        </w:rPr>
      </w:pPr>
      <w:r>
        <w:rPr>
          <w:rFonts w:eastAsia="Calibri"/>
          <w:color w:val="000000"/>
        </w:rPr>
      </w:r>
    </w:p>
    <w:p>
      <w:pPr>
        <w:pStyle w:val="Normal"/>
        <w:spacing w:lineRule="auto" w:line="360"/>
        <w:jc w:val="both"/>
        <w:rPr>
          <w:rFonts w:eastAsia="Calibri"/>
          <w:b/>
          <w:bCs/>
          <w:i/>
          <w:i/>
          <w:iCs/>
          <w:color w:val="0F110F"/>
          <w:u w:val="single"/>
        </w:rPr>
      </w:pPr>
      <w:r>
        <w:rPr>
          <w:rFonts w:eastAsia="Calibri"/>
          <w:b/>
          <w:bCs/>
          <w:i/>
          <w:iCs/>
          <w:color w:val="0F110F"/>
          <w:u w:val="single"/>
        </w:rPr>
        <w:t>Εμβιομηχανική μοντελοποίηση για την έρευνα για την παχυσαρκία</w:t>
      </w:r>
    </w:p>
    <w:p>
      <w:pPr>
        <w:pStyle w:val="Normal"/>
        <w:spacing w:lineRule="auto" w:line="360"/>
        <w:ind w:firstLine="720"/>
        <w:jc w:val="both"/>
        <w:rPr>
          <w:rFonts w:eastAsia="Calibri"/>
          <w:color w:val="0F110F"/>
        </w:rPr>
      </w:pPr>
      <w:r>
        <w:rPr>
          <w:rFonts w:eastAsia="Calibri"/>
          <w:color w:val="0F110F"/>
        </w:rPr>
        <w:t>Η εμβιομηχανική μοντελοποίηση δίνει τη δυνατότητα στους ερευνητές να προσομοιώσουν και να προβλέψουν τις επιπτώσεις της παχυσαρκίας στην κίνηση του σώματος και στη μηχανική φόρτιση. Ενσωματώνοντας τα ανατομικά δεδομένα με τις εμβιομηχανικές αρχές, οι ερευνητές μπορούν να αναπτύξουν υπολογιστικά μοντέλα που προσομοιώνουν το μυοσκελετικό σύστημα. Αυτά τα μοντέλα μπορούν να χρησιμοποιηθούν για τη διερεύνηση του τρόπου με τον οποίο γενετικοί παράγοντες επηρεάζουν τις μηχανικές συνέπειες της παχυσαρκίας στις δυνάμεις των αρθρώσεων, στα μοτίβα ενεργοποίησης των μυών και στη συνολική μηχανική κίνησης .</w:t>
      </w:r>
    </w:p>
    <w:p>
      <w:pPr>
        <w:pStyle w:val="Normal"/>
        <w:spacing w:lineRule="auto" w:line="360"/>
        <w:jc w:val="both"/>
        <w:rPr>
          <w:rFonts w:eastAsia="Calibri"/>
          <w:color w:val="000000"/>
        </w:rPr>
      </w:pPr>
      <w:r>
        <w:rPr>
          <w:rFonts w:eastAsia="Calibri"/>
          <w:color w:val="000000"/>
        </w:rPr>
      </w:r>
    </w:p>
    <w:p>
      <w:pPr>
        <w:pStyle w:val="Normal"/>
        <w:spacing w:lineRule="auto" w:line="360"/>
        <w:jc w:val="both"/>
        <w:rPr>
          <w:rFonts w:eastAsia="Calibri"/>
          <w:b/>
          <w:bCs/>
          <w:i/>
          <w:i/>
          <w:iCs/>
          <w:color w:val="0F110F"/>
          <w:u w:val="single"/>
        </w:rPr>
      </w:pPr>
      <w:r>
        <w:rPr>
          <w:rFonts w:eastAsia="Calibri"/>
          <w:b/>
          <w:bCs/>
          <w:i/>
          <w:iCs/>
          <w:color w:val="0F110F"/>
          <w:u w:val="single"/>
        </w:rPr>
        <w:t>Προώθηση της θεραπείας και της πρόληψης της παχυσαρκίας</w:t>
      </w:r>
    </w:p>
    <w:p>
      <w:pPr>
        <w:pStyle w:val="Normal"/>
        <w:spacing w:lineRule="auto" w:line="360"/>
        <w:ind w:firstLine="720"/>
        <w:jc w:val="both"/>
        <w:rPr>
          <w:rFonts w:eastAsia="Calibri"/>
          <w:color w:val="0F110F"/>
        </w:rPr>
      </w:pPr>
      <w:r>
        <w:rPr>
          <w:rFonts w:eastAsia="Calibri"/>
          <w:color w:val="0F110F"/>
        </w:rPr>
        <w:t xml:space="preserve">Οι γνώσεις που αποκτήθηκαν από εμβιομηχανικές μελέτες συμβάλλουν στην ανάπτυξη βελτιωμένων στρατηγικών θεραπείας και πρόληψης για την παχυσαρκία. Κατανοώντας τις εμβιομηχανικές πτυχές της παχυσαρκίας, οι βιοϊατρικοί μηχανικοί μπορούν να σχεδιάσουν παρεμβάσεις που στοχεύουν συγκεκριμένα μηχανικά ζητήματα, όπως ανωμαλίες βάδισης ή ανισορροπίες φόρτισης αρθρώσεων. Αυτή η διεπιστημονική προσέγγιση, που συνδυάζει εμβιομηχανική, γενετική και υγειονομική περίθαλψη, βοηθά στην ανάπτυξη εξατομικευμένων παρεμβάσεων που αντιμετωπίζουν τις μοναδικές ανάγκες των ατόμων που επηρεάζονται από την παχυσαρκία </w:t>
      </w:r>
      <w:r>
        <w:fldChar w:fldCharType="begin"/>
      </w:r>
      <w:r>
        <w:rPr>
          <w:rFonts w:eastAsia="Calibri"/>
          <w:color w:val="0F110F"/>
        </w:rPr>
        <w:instrText xml:space="preserve">ADDIN ZOTERO_ITEM CSL_CITATION {"citationID":"FidVuJdr","properties":{"formattedCitation":"[190]","plainCitation":"[190]","noteIndex":0},"citationItems":[{"id":3281,"uris":["http://zotero.org/users/local/WDVvZTBM/items/JQ73NQNC"],"itemData":{"id":3281,"type":"article-journal","abstract":"It is known that obesity is associated with biomechanical alterations during locomotor tasks, which is considered a potential risk factor for the development of musculoskeletal disorders (MSKD). However, the association of obesity with biomechanical alterations of walking in the early stages of life …","container-title":"Obesity reviews : an official journal of the International Association for the Study of Obesity","DOI":"10.1111/obr.12848","ISSN":"1467-789X","issue":"7","language":"en","note":"publisher: Obes Rev\nPMID: 30942558","source":"pubmed.ncbi.nlm.nih.gov","title":"A systematic review on biomechanical characteristics of walking in children and adolescents with overweight/obesity: Possible implications for the development of musculoskeletal disorders","title-short":"A systematic review on biomechanical characteristics of walking in children and adolescents with overweight/obesity","URL":"https://pubmed.ncbi.nlm.nih.gov/30942558/","volume":"20","author":[{"family":"P","given":"Molina-Garcia"},{"family":"Jh","given":"Migueles"},{"family":"C","given":"Cadenas-Sanchez"},{"family":"I","given":"Esteban-Cornejo"},{"family":"J","given":"Mora-Gonzalez"},{"family":"M","given":"Rodriguez-Ayllon"},{"family":"A","given":"Plaza-Florido"},{"family":"J","given":"Vanrenterghem"},{"family":"Fb","given":"Ortega"}],"accessed":{"date-parts":[["2023",12,4]]},"issued":{"date-parts":[["2019",7]]}}}],"schema":"https://github.com/citation-style-language/schema/raw/master/csl-citation.json"}</w:instrText>
      </w:r>
      <w:r>
        <w:rPr>
          <w:rFonts w:eastAsia="Calibri"/>
          <w:color w:val="0F110F"/>
        </w:rPr>
      </w:r>
      <w:r>
        <w:rPr>
          <w:rFonts w:eastAsia="Calibri"/>
          <w:color w:val="0F110F"/>
        </w:rPr>
        <w:fldChar w:fldCharType="separate"/>
      </w:r>
      <w:r>
        <w:rPr>
          <w:rFonts w:eastAsia="Calibri"/>
          <w:color w:val="0F110F"/>
        </w:rPr>
        <w:t>[190]</w:t>
      </w:r>
      <w:r>
        <w:rPr>
          <w:rFonts w:eastAsia="Calibri"/>
          <w:color w:val="0F110F"/>
        </w:rPr>
      </w:r>
      <w:r>
        <w:rPr>
          <w:rFonts w:eastAsia="Calibri"/>
          <w:color w:val="0F110F"/>
        </w:rPr>
        <w:fldChar w:fldCharType="end"/>
      </w:r>
      <w:r>
        <w:rPr>
          <w:rFonts w:eastAsia="Calibri"/>
          <w:color w:val="0F110F"/>
        </w:rPr>
        <w:t>.</w:t>
      </w:r>
    </w:p>
    <w:p>
      <w:pPr>
        <w:pStyle w:val="Normal"/>
        <w:spacing w:lineRule="auto" w:line="360"/>
        <w:jc w:val="both"/>
        <w:rPr>
          <w:rFonts w:eastAsia="Calibri"/>
          <w:color w:val="000000"/>
        </w:rPr>
      </w:pPr>
      <w:r>
        <w:rPr>
          <w:rFonts w:eastAsia="Calibri"/>
          <w:color w:val="000000"/>
        </w:rPr>
      </w:r>
    </w:p>
    <w:p>
      <w:pPr>
        <w:pStyle w:val="Normal"/>
        <w:spacing w:lineRule="auto" w:line="360"/>
        <w:ind w:firstLine="720"/>
        <w:jc w:val="both"/>
        <w:rPr>
          <w:rFonts w:eastAsia="Calibri"/>
          <w:color w:val="000000"/>
        </w:rPr>
      </w:pPr>
      <w:r>
        <w:rPr>
          <w:rFonts w:eastAsia="Calibri"/>
          <w:color w:val="0F110F"/>
        </w:rPr>
        <w:t xml:space="preserve">Οι βιοϊατρικοί μηχανικοί διαδραματίζουν κεντρικό ρόλο στη διεξαγωγή εμβιομηχανικών μελετών για την εμβάθυνση της κατανόησής μας για την επίδραση της παχυσαρκίας στη μυοσκελετική υγεία και την επίδραση γενετικών παραγόντων στην ανάπτυξη του λιπώδους ιστού. Μέσω της χρήσης τεχνολογιών απεικόνισης, εμβιομηχανικής μοντελοποίησης και διεπιστημονικών συνεργασιών, οι ερευνητές μπορούν να αποκαλύψουν γνώσεις για τις μηχανικές συνέπειες της παχυσαρκίας και να συμβάλουν στην ανάπτυξη καινοτόμων θεραπειών και στρατηγικών πρόληψης. Οι εμβιομηχανικές μελέτες είναι απαραίτητες για την προώθηση της κατανόησης των επιπτώσεων της παχυσαρκίας στο ανθρώπινο σώμα και τη βελτίωση της ποιότητας ζωής των ατόμων που επηρεάζονται από αυτή την πάθηση </w:t>
      </w:r>
      <w:r>
        <w:fldChar w:fldCharType="begin"/>
      </w:r>
      <w:r>
        <w:rPr>
          <w:rFonts w:eastAsia="Calibri"/>
          <w:color w:val="0F110F"/>
        </w:rPr>
        <w:instrText xml:space="preserve">ADDIN ZOTERO_ITEM CSL_CITATION {"citationID":"DdU0L8U4","properties":{"formattedCitation":"[182]","plainCitation":"[182]","noteIndex":0},"citationItems":[{"id":3253,"uris":["http://zotero.org/users/local/WDVvZTBM/items/2Y7DTEL2"],"itemData":{"id":3253,"type":"article-journal","abstract":"Young children are increasingly exposed to an obesogenic environment through increased intake of processed food and decreased physical activity. Mothers’ perceptions of obesity and parenting styles influence children’s abilities to maintain a healthy weight. This study developed a prediction model for childhood obesity in 10-year-olds, and identify relevant risk factors using a machine learning method. Data on 1185 children and their mothers were obtained from the Korean National Panel Study. A prediction model for obesity was developed based on ten factors related to children (gender, eating habits, activity, and previous body mass index) and their mothers (education level, self-esteem, and body mass index). These factors were selected based on the least absolute shrinkage and selection operator. The prediction model was validated with an Area Under the Receiver Operator Characteristic Curve of 0.82 and an accuracy of 76%. Other than body mass index for both children and mothers, significant risk factors for childhood obesity were less physical activity among children and higher self-esteem among mothers. This study adds new evidence demonstrating that maternal self-esteem is related to children’s body mass index. Future studies are needed to develop effective strategies for screening young children at risk for obesity, along with their mothers.","container-title":"Scientific Reports","DOI":"10.1038/s41598-023-37171-4","ISSN":"2045-2322","issue":"1","journalAbbreviation":"Sci Rep","language":"en","license":"2023 The Author(s)","note":"number: 1\npublisher: Nature Publishing Group","page":"1-8","source":"www.nature.com","title":"A prediction model for childhood obesity risk using the machine learning method: a panel study on Korean children","title-short":"A prediction model for childhood obesity risk using the machine learning method","volume":"13","author":[{"family":"Lim","given":"Heemoon"},{"family":"Lee","given":"Hyejung"},{"family":"Kim","given":"Joungyoun"}],"issued":{"date-parts":[["2023",6,21]]}}}],"schema":"https://github.com/citation-style-language/schema/raw/master/csl-citation.json"}</w:instrText>
      </w:r>
      <w:r>
        <w:rPr>
          <w:rFonts w:eastAsia="Calibri"/>
          <w:color w:val="0F110F"/>
        </w:rPr>
      </w:r>
      <w:r>
        <w:rPr>
          <w:rFonts w:eastAsia="Calibri"/>
          <w:color w:val="0F110F"/>
        </w:rPr>
        <w:fldChar w:fldCharType="separate"/>
      </w:r>
      <w:r>
        <w:rPr>
          <w:rFonts w:eastAsia="Calibri"/>
          <w:color w:val="0F110F"/>
        </w:rPr>
        <w:t>[182]</w:t>
      </w:r>
      <w:r>
        <w:rPr>
          <w:rFonts w:eastAsia="Calibri"/>
          <w:color w:val="0F110F"/>
        </w:rPr>
      </w:r>
      <w:r>
        <w:rPr>
          <w:rFonts w:eastAsia="Calibri"/>
          <w:color w:val="0F110F"/>
        </w:rPr>
        <w:fldChar w:fldCharType="end"/>
      </w:r>
      <w:r>
        <w:rPr>
          <w:rFonts w:eastAsia="Calibri"/>
          <w:color w:val="0F110F"/>
        </w:rPr>
        <w:t>.</w:t>
      </w:r>
    </w:p>
    <w:p>
      <w:pPr>
        <w:pStyle w:val="Normal"/>
        <w:spacing w:lineRule="auto" w:line="360"/>
        <w:rPr>
          <w:rFonts w:ascii="Helvetica" w:hAnsi="Helvetica" w:eastAsia="Calibri" w:cs="Helvetica"/>
          <w:color w:val="000000"/>
        </w:rPr>
      </w:pPr>
      <w:r>
        <w:rPr>
          <w:rFonts w:eastAsia="Calibri"/>
          <w:color w:val="000000"/>
        </w:rPr>
        <w:t> </w:t>
      </w:r>
    </w:p>
    <w:p>
      <w:pPr>
        <w:pStyle w:val="Heading2"/>
        <w:rPr/>
      </w:pPr>
      <w:bookmarkStart w:id="81" w:name="_Toc154923843"/>
      <w:r>
        <w:rPr/>
        <w:t>4.7 Οι τεχνολογίες αισθητήρων</w:t>
      </w:r>
      <w:bookmarkEnd w:id="81"/>
      <w:r>
        <w:rPr/>
        <w:t xml:space="preserve"> </w:t>
      </w:r>
    </w:p>
    <w:p>
      <w:pPr>
        <w:pStyle w:val="Normal"/>
        <w:spacing w:lineRule="auto" w:line="360"/>
        <w:ind w:firstLine="720"/>
        <w:jc w:val="both"/>
        <w:rPr>
          <w:rFonts w:eastAsia="Calibri"/>
          <w:color w:val="000000"/>
        </w:rPr>
      </w:pPr>
      <w:r>
        <w:rPr>
          <w:rFonts w:eastAsia="Calibri"/>
          <w:color w:val="000000"/>
        </w:rPr>
        <w:t>Οι τεχνολογίες αισθητήρων διαδραματίζουν ζωτικό ρόλο στη συλλογή δεδομένων σε πραγματικό χρόνο σχετικά με τη σωματική δραστηριότητα, τις διατροφικές συνήθειες και άλλους παράγοντες του τρόπου ζωής που συμβάλλουν στην παχυσαρκία. Οι βιοϊατρικοί μηχανικοί είναι σε καλή θέση για να σχεδιάσουν και να αναπτύξουν φορητούς αισθητήρες και τεχνολογίες παρακολούθησης ειδικά προσαρμοσμένες για παιδιατρικούς πληθυσμούς. Αυτές οι τεχνολογίες παρέχουν πολύτιμες γνώσεις για την αλληλεπίδραση μεταξύ γενετικών προδιαθέσεων και παραγόντων του τρόπου ζωής που επηρεάζουν την παχυσαρκία.</w:t>
      </w:r>
    </w:p>
    <w:p>
      <w:pPr>
        <w:pStyle w:val="Normal"/>
        <w:spacing w:lineRule="auto" w:line="360"/>
        <w:jc w:val="both"/>
        <w:rPr>
          <w:rFonts w:eastAsia="Calibri"/>
          <w:color w:val="000000"/>
        </w:rPr>
      </w:pPr>
      <w:r>
        <w:rPr>
          <w:rFonts w:eastAsia="Calibri"/>
          <w:color w:val="000000"/>
        </w:rPr>
      </w:r>
    </w:p>
    <w:p>
      <w:pPr>
        <w:pStyle w:val="Normal"/>
        <w:spacing w:lineRule="auto" w:line="360"/>
        <w:jc w:val="both"/>
        <w:rPr>
          <w:rFonts w:eastAsia="Calibri"/>
          <w:b/>
          <w:bCs/>
          <w:i/>
          <w:i/>
          <w:iCs/>
          <w:color w:val="000000"/>
          <w:u w:val="single"/>
        </w:rPr>
      </w:pPr>
      <w:r>
        <w:rPr>
          <w:rFonts w:eastAsia="Calibri"/>
          <w:b/>
          <w:bCs/>
          <w:i/>
          <w:iCs/>
          <w:color w:val="000000"/>
          <w:u w:val="single"/>
        </w:rPr>
        <w:t>Φορητοί αισθητήρες για παρακολούθηση φυσικής δραστηριότητας</w:t>
      </w:r>
    </w:p>
    <w:p>
      <w:pPr>
        <w:pStyle w:val="Normal"/>
        <w:spacing w:lineRule="auto" w:line="360"/>
        <w:ind w:firstLine="720"/>
        <w:jc w:val="both"/>
        <w:rPr>
          <w:rFonts w:eastAsia="Calibri"/>
          <w:color w:val="000000"/>
        </w:rPr>
      </w:pPr>
      <w:r>
        <w:rPr>
          <w:rFonts w:eastAsia="Calibri"/>
          <w:color w:val="000000"/>
        </w:rPr>
        <w:t xml:space="preserve">Οι βιοϊατρικοί μηχανικοί μπορούν να σχεδιάσουν και να βελτιστοποιήσουν φορητούς αισθητήρες που παρακολουθούν τα επίπεδα φυσικής δραστηριότητας στα παιδιά. Αυτοί οι αισθητήρες μπορούν να συλλάβουν δεδομένα όπως ο αριθμός βημάτων, η απόσταση που καλύπτεται, η διάρκεια της δραστηριότητας και η ένταση της κίνησης. Με τη συλλογή δεδομένων φυσικής δραστηριότητας σε πραγματικό χρόνο, οι ερευνητές και οι επαγγελματίες υγείας αποκτούν καλύτερη κατανόηση των προτύπων δραστηριότητας κάθε ατόμου και μπορούν να προσαρμόσουν ανάλογα τις παρεμβάσεις </w:t>
      </w:r>
      <w:r>
        <w:fldChar w:fldCharType="begin"/>
      </w:r>
      <w:r>
        <w:rPr>
          <w:rFonts w:eastAsia="Calibri"/>
          <w:color w:val="000000"/>
        </w:rPr>
        <w:instrText xml:space="preserve">ADDIN ZOTERO_ITEM CSL_CITATION {"citationID":"i0Q7ITLy","properties":{"formattedCitation":"[191]","plainCitation":"[191]","noteIndex":0},"citationItems":[{"id":3285,"uris":["http://zotero.org/users/local/WDVvZTBM/items/ICNPLNHN"],"itemData":{"id":3285,"type":"article-journal","abstract":"The use of physical activity tracker devices has increased within the general population. However, there is limited medical literature studying the efficacy of such devices in adolescents with obesity. In this study, we explored the feasibility of using ...","container-title":"Journal of Obesity","DOI":"10.1155/2021/7625034","language":"en","note":"publisher: Hindawi Limited\nPMID: 33505717","source":"www.ncbi.nlm.nih.gov","title":"Wearable Activity Tracking Device Use in an Adolescent Weight Management Clinic: A Randomized Controlled Pilot Trial","title-short":"Wearable Activity Tracking Device Use in an Adolescent Weight Management Clinic","URL":"https://www.ncbi.nlm.nih.gov/pmc/articles/PMC7811568/","volume":"2021","author":[{"family":"Bowen-Jallow","given":"Kanika"},{"family":"Nunez-Lopez","given":"Omar"},{"family":"Wright","given":"Alex"},{"family":"Fuchs","given":"Erika"},{"family":"Ahn","given":"Mollie"},{"family":"Lyons","given":"Elizabeth"},{"family":"Jupiter","given":"Daniel"},{"family":"Berry","given":"Lindsey"},{"family":"Suman","given":"Oscar"},{"family":"Radhakrishnan","given":"Ravi S."},{"family":"Glaser","given":"Andrea M."},{"family":"Thompson","given":"Deborah I."}],"accessed":{"date-parts":[["2023",12,4]]},"issued":{"date-parts":[["2021"]]}}}],"schema":"https://github.com/citation-style-language/schema/raw/master/csl-citation.json"}</w:instrText>
      </w:r>
      <w:r>
        <w:rPr>
          <w:rFonts w:eastAsia="Calibri"/>
          <w:color w:val="000000"/>
        </w:rPr>
      </w:r>
      <w:r>
        <w:rPr>
          <w:rFonts w:eastAsia="Calibri"/>
          <w:color w:val="000000"/>
        </w:rPr>
        <w:fldChar w:fldCharType="separate"/>
      </w:r>
      <w:r>
        <w:rPr>
          <w:rFonts w:eastAsia="Calibri"/>
          <w:color w:val="000000"/>
        </w:rPr>
        <w:t>[191]</w:t>
      </w:r>
      <w:r>
        <w:rPr>
          <w:rFonts w:eastAsia="Calibri"/>
          <w:color w:val="000000"/>
        </w:rPr>
      </w:r>
      <w:r>
        <w:rPr>
          <w:rFonts w:eastAsia="Calibri"/>
          <w:color w:val="000000"/>
        </w:rPr>
        <w:fldChar w:fldCharType="end"/>
      </w:r>
      <w:r>
        <w:rPr>
          <w:rFonts w:eastAsia="Calibri"/>
          <w:color w:val="000000"/>
        </w:rPr>
        <w:t>.</w:t>
      </w:r>
    </w:p>
    <w:p>
      <w:pPr>
        <w:pStyle w:val="Normal"/>
        <w:spacing w:lineRule="auto" w:line="360"/>
        <w:jc w:val="both"/>
        <w:rPr>
          <w:rFonts w:ascii="Helvetica" w:hAnsi="Helvetica" w:eastAsia="Calibri" w:cs="Helvetica"/>
          <w:color w:val="000000"/>
        </w:rPr>
      </w:pPr>
      <w:r>
        <w:rPr>
          <w:rFonts w:eastAsia="Calibri" w:cs="Helvetica" w:ascii="Helvetica" w:hAnsi="Helvetica"/>
          <w:color w:val="000000"/>
        </w:rPr>
      </w:r>
    </w:p>
    <w:p>
      <w:pPr>
        <w:pStyle w:val="Normal"/>
        <w:spacing w:lineRule="auto" w:line="360"/>
        <w:jc w:val="both"/>
        <w:rPr>
          <w:rFonts w:eastAsia="Calibri"/>
          <w:b/>
          <w:bCs/>
          <w:i/>
          <w:i/>
          <w:iCs/>
          <w:color w:val="000000"/>
          <w:u w:val="single"/>
        </w:rPr>
      </w:pPr>
      <w:r>
        <w:rPr>
          <w:rFonts w:eastAsia="Calibri"/>
          <w:b/>
          <w:bCs/>
          <w:i/>
          <w:iCs/>
          <w:color w:val="000000"/>
          <w:u w:val="single"/>
        </w:rPr>
        <w:t>Διατροφική παρακολούθηση και αξιολόγηση πρόσληψης τροφής</w:t>
      </w:r>
    </w:p>
    <w:p>
      <w:pPr>
        <w:pStyle w:val="Normal"/>
        <w:spacing w:lineRule="auto" w:line="360"/>
        <w:ind w:firstLine="720"/>
        <w:jc w:val="both"/>
        <w:rPr>
          <w:rFonts w:eastAsia="Calibri"/>
          <w:color w:val="000000"/>
        </w:rPr>
      </w:pPr>
      <w:r>
        <w:rPr>
          <w:rFonts w:eastAsia="Calibri"/>
          <w:color w:val="000000"/>
        </w:rPr>
        <w:t xml:space="preserve">Η ακριβής αξιολόγηση των διατροφικών συνηθειών είναι απαραίτητη για την κατανόηση της σχέσης μεταξύ γενετικών παραγόντων και παχυσαρκίας. Οι βιοϊατρικοί μηχανικοί μπορούν να αναπτύξουν φορητούς αισθητήρες ή έξυπνες συσκευές που βοηθούν στην παρακολούθηση της διατροφικής πρόσληψης στα παιδιά. Αυτοί οι αισθητήρες μπορούν να περιλαμβάνουν λειτουργίες όπως αναγνώριση εικόνας ή φασματοσκοπικές τεχνολογίες για τον εντοπισμό και την παρακολούθηση συγκεκριμένων τροφών που καταναλώνονται. Αυτά τα δεδομένα παρέχουν πολύτιμες πληροφορίες σχετικά με τα διατροφικά πρότυπα που μπορεί να συμβάλλουν στον κίνδυνο παχυσαρκίας </w:t>
      </w:r>
      <w:r>
        <w:fldChar w:fldCharType="begin"/>
      </w:r>
      <w:r>
        <w:rPr>
          <w:rFonts w:eastAsia="Calibri"/>
          <w:color w:val="000000"/>
        </w:rPr>
        <w:instrText xml:space="preserve">ADDIN ZOTERO_ITEM CSL_CITATION {"citationID":"k40l907m","properties":{"formattedCitation":"[192]","plainCitation":"[192]","noteIndex":0},"citationItems":[{"id":3288,"uris":["http://zotero.org/users/local/WDVvZTBM/items/4HYZID7U"],"itemData":{"id":3288,"type":"article-journal","abstract":"The prevalence of obesity in children and adolescents remains a global public health issue. Wearable devices may offer new opportunities for prevention and intervention in obesity. Previous systematic reviews have only examined the effect of the wearable ...","container-title":"JMIR mHealth and uHealth","DOI":"10.2196/32435","issue":"4","language":"en","note":"publisher: JMIR Publications Inc.\nPMID: 35394447","source":"www.ncbi.nlm.nih.gov","title":"The Effectiveness of Wearable Devices as Physical Activity Interventions for Preventing and Treating Obesity in Children and Adolescents: Systematic Review and Meta-analysis","title-short":"The Effectiveness of Wearable Devices as Physical Activity Interventions for Preventing and Treating Obesity in Children and Adolescents","URL":"https://www.ncbi.nlm.nih.gov/pmc/articles/PMC9034426/","volume":"10","author":[{"family":"Wang","given":"Wentao"},{"family":"Cheng","given":"Jing"},{"family":"Song","given":"Weijun"},{"family":"Shen","given":"Yi"}],"accessed":{"date-parts":[["2023",12,4]]},"issued":{"date-parts":[["2022",4]]}}}],"schema":"https://github.com/citation-style-language/schema/raw/master/csl-citation.json"}</w:instrText>
      </w:r>
      <w:r>
        <w:rPr>
          <w:rFonts w:eastAsia="Calibri"/>
          <w:color w:val="000000"/>
        </w:rPr>
      </w:r>
      <w:r>
        <w:rPr>
          <w:rFonts w:eastAsia="Calibri"/>
          <w:color w:val="000000"/>
        </w:rPr>
        <w:fldChar w:fldCharType="separate"/>
      </w:r>
      <w:r>
        <w:rPr>
          <w:rFonts w:eastAsia="Calibri"/>
          <w:color w:val="000000"/>
        </w:rPr>
        <w:t>[192]</w:t>
      </w:r>
      <w:r>
        <w:rPr>
          <w:rFonts w:eastAsia="Calibri"/>
          <w:color w:val="000000"/>
        </w:rPr>
      </w:r>
      <w:r>
        <w:rPr>
          <w:rFonts w:eastAsia="Calibri"/>
          <w:color w:val="000000"/>
        </w:rPr>
        <w:fldChar w:fldCharType="end"/>
      </w:r>
      <w:r>
        <w:rPr>
          <w:rFonts w:eastAsia="Calibri"/>
          <w:color w:val="000000"/>
        </w:rPr>
        <w:t>.</w:t>
      </w:r>
    </w:p>
    <w:p>
      <w:pPr>
        <w:pStyle w:val="Normal"/>
        <w:spacing w:lineRule="auto" w:line="360"/>
        <w:ind w:firstLine="720"/>
        <w:jc w:val="both"/>
        <w:rPr>
          <w:rFonts w:ascii="Helvetica" w:hAnsi="Helvetica" w:eastAsia="Calibri" w:cs="Helvetica"/>
          <w:color w:val="000000"/>
        </w:rPr>
      </w:pPr>
      <w:r>
        <w:rPr>
          <w:rFonts w:eastAsia="Calibri" w:cs="Helvetica" w:ascii="Helvetica" w:hAnsi="Helvetica"/>
          <w:color w:val="000000"/>
        </w:rPr>
      </w:r>
    </w:p>
    <w:p>
      <w:pPr>
        <w:pStyle w:val="Normal"/>
        <w:spacing w:lineRule="auto" w:line="360"/>
        <w:jc w:val="both"/>
        <w:rPr>
          <w:rFonts w:eastAsia="Calibri"/>
          <w:b/>
          <w:bCs/>
          <w:i/>
          <w:i/>
          <w:iCs/>
          <w:color w:val="000000"/>
          <w:u w:val="single"/>
        </w:rPr>
      </w:pPr>
      <w:r>
        <w:rPr>
          <w:rFonts w:eastAsia="Calibri"/>
          <w:b/>
          <w:bCs/>
          <w:i/>
          <w:iCs/>
          <w:color w:val="000000"/>
          <w:u w:val="single"/>
        </w:rPr>
        <w:t>Παράγοντες τρόπου ζωής και παρακολούθηση της συμπεριφοράς</w:t>
      </w:r>
    </w:p>
    <w:p>
      <w:pPr>
        <w:pStyle w:val="Normal"/>
        <w:spacing w:lineRule="auto" w:line="360"/>
        <w:ind w:firstLine="720"/>
        <w:jc w:val="both"/>
        <w:rPr>
          <w:rFonts w:eastAsia="Calibri"/>
          <w:color w:val="000000"/>
        </w:rPr>
      </w:pPr>
      <w:r>
        <w:rPr>
          <w:rFonts w:eastAsia="Calibri"/>
          <w:color w:val="000000"/>
        </w:rPr>
        <w:t xml:space="preserve">Πέρα από τη σωματική δραστηριότητα και τη διατροφή, οι παράγοντες και οι συμπεριφορές του τρόπου ζωής παίζουν επίσης σημαντικό ρόλο στην παχυσαρκία. Οι βιοϊατρικοί μηχανικοί μπορούν να σχεδιάσουν αισθητήρες ή συσκευές που παρακολουθούν άλλους σχετικούς παράγοντες, όπως τα πρότυπα ύπνου, την καθιστική συμπεριφορά, τα επίπεδα στρες και τη συναισθηματική ευεξία. Η ενσωμάτωση αυτών των αισθητήρων με πλατφόρμες ανάλυσης επιτρέπει την ολοκληρωμένη παρακολούθηση των παραγόντων του τρόπου ζωής και τις αλληλεπιδράσεις τους με τις γενετικές προδιαθέσεις </w:t>
      </w:r>
      <w:r>
        <w:fldChar w:fldCharType="begin"/>
      </w:r>
      <w:r>
        <w:rPr>
          <w:rFonts w:eastAsia="Calibri"/>
          <w:color w:val="000000"/>
          <w:lang w:val="en-US"/>
        </w:rPr>
        <w:instrText xml:space="preserve">ADDIN ZOTERO_ITEM CSL_CITATION {"citationID":"0at8wfH9","properties":{"formattedCitation":"[193]","plainCitation":"[193]","noteIndex":0},"citationItems":[{"id":3291,"uris":["http://zotero.org/users/local/WDVvZTBM/items/2XEBJ9RL"],"itemData":{"id":3291,"type":"article-journal","abstract":"Obesity is one of the biggest health problems globally that, together with sedentarism, requires solutions that increase the enthusiasm towards physical activity. Therefore, this paper describes two solutions based on active games using the Kinect sensor and biometric sensors, designed for the outpatient treatment of childhood obesity. The solutions were applied in an intervention program based on active video games and motor games, developed with children in treatment for childhood obesity. An ad hoc questionnaire was used to assess the level of satisfaction, fun, learning, and behavior changes in the children of the experimental group that developed the intervention. The results showed a high index of satisfaction with the intervention program, as well as with the games developed. It is concluded that active video games and group games are highly motivating and can promote behavior change towards healthier life habits in children.","container-title":"Sensors","DOI":"10.3390/s21041266","ISSN":"1424-8220","issue":"4","language":"en","license":"http://creativecommons.org/licenses/by/3.0/","note":"number: 4\npublisher: Multidisciplinary Digital Publishing Institute","page":"1266","source":"www.mdpi.com","title":"Active Game-Based Solutions for the Treatment of Childhood Obesity","volume":"21","author":[{"family":"González-González","given":"Carina S."},{"family":"Gómez del Río","given":"Nazaret"},{"family":"Toledo-Delgado","given":"Pedro A."},{"family":"García-Peñalvo","given":"Francisco José"}],"issued":{"date-parts":[["2021",1]]}}}],"schema":"https://github.com/citation-style-language/schema/raw/master/csl-citation.json"}</w:instrText>
      </w:r>
      <w:r>
        <w:rPr>
          <w:rFonts w:eastAsia="Calibri"/>
          <w:color w:val="000000"/>
          <w:lang w:val="en-US"/>
        </w:rPr>
      </w:r>
      <w:r>
        <w:rPr>
          <w:rFonts w:eastAsia="Calibri"/>
          <w:color w:val="000000"/>
          <w:lang w:val="en-US"/>
        </w:rPr>
        <w:fldChar w:fldCharType="separate"/>
      </w:r>
      <w:r>
        <w:rPr>
          <w:rFonts w:eastAsia="Calibri"/>
          <w:color w:val="000000"/>
          <w:lang w:val="en-US"/>
        </w:rPr>
      </w:r>
      <w:r>
        <w:rPr>
          <w:rFonts w:eastAsia="Calibri"/>
          <w:color w:val="000000"/>
        </w:rPr>
        <w:t>[193]</w:t>
      </w:r>
      <w:r>
        <w:rPr>
          <w:rFonts w:eastAsia="Calibri"/>
          <w:color w:val="000000"/>
          <w:lang w:val="en-US"/>
        </w:rPr>
      </w:r>
      <w:r>
        <w:rPr>
          <w:rFonts w:eastAsia="Calibri"/>
          <w:color w:val="000000"/>
          <w:lang w:val="en-US"/>
        </w:rPr>
        <w:fldChar w:fldCharType="end"/>
      </w:r>
      <w:r>
        <w:rPr>
          <w:rFonts w:eastAsia="Calibri"/>
          <w:color w:val="000000"/>
        </w:rPr>
        <w:t>.</w:t>
      </w:r>
    </w:p>
    <w:p>
      <w:pPr>
        <w:pStyle w:val="Normal"/>
        <w:spacing w:lineRule="auto" w:line="360"/>
        <w:jc w:val="both"/>
        <w:rPr>
          <w:rFonts w:ascii="Helvetica" w:hAnsi="Helvetica" w:eastAsia="Calibri" w:cs="Helvetica"/>
          <w:color w:val="000000"/>
        </w:rPr>
      </w:pPr>
      <w:r>
        <w:rPr>
          <w:rFonts w:eastAsia="Calibri" w:cs="Helvetica" w:ascii="Helvetica" w:hAnsi="Helvetica"/>
          <w:color w:val="000000"/>
        </w:rPr>
      </w:r>
    </w:p>
    <w:p>
      <w:pPr>
        <w:pStyle w:val="Normal"/>
        <w:spacing w:lineRule="auto" w:line="360"/>
        <w:jc w:val="both"/>
        <w:rPr>
          <w:rFonts w:eastAsia="Calibri"/>
          <w:b/>
          <w:bCs/>
          <w:i/>
          <w:i/>
          <w:iCs/>
          <w:color w:val="000000"/>
          <w:u w:val="single"/>
        </w:rPr>
      </w:pPr>
      <w:r>
        <w:rPr>
          <w:rFonts w:eastAsia="Calibri"/>
          <w:b/>
          <w:bCs/>
          <w:i/>
          <w:iCs/>
          <w:color w:val="000000"/>
          <w:u w:val="single"/>
        </w:rPr>
        <w:t>Βελτιστοποίηση τεχνολογιών αισθητήρων για παιδιατρική χρήση</w:t>
      </w:r>
    </w:p>
    <w:p>
      <w:pPr>
        <w:pStyle w:val="Normal"/>
        <w:spacing w:lineRule="auto" w:line="360"/>
        <w:ind w:firstLine="720"/>
        <w:jc w:val="both"/>
        <w:rPr>
          <w:rFonts w:eastAsia="Calibri"/>
          <w:color w:val="000000"/>
        </w:rPr>
      </w:pPr>
      <w:r>
        <w:rPr>
          <w:rFonts w:eastAsia="Calibri"/>
          <w:color w:val="000000"/>
        </w:rPr>
        <w:t xml:space="preserve">Οι βιοϊατρικοί μηχανικοί γνωρίζουν καλά τις μοναδικές προκλήσεις που σχετίζονται με το σχεδιασμό τεχνολογιών για παιδιατρικούς πληθυσμούς. Μπορούν να αναπτύξουν αισθητήρες που είναι άνετοι, μη παρεμβατικοί και αρκετά ανθεκτικοί ώστε να αντέχουν στον ενεργό τρόπο ζωής των παιδιών. Θέματα όπως το μέγεθος, η ανθεκτικότητα και η φιλικότητα προς τον χρήστη είναι ζωτικής σημασίας κατά το σχεδιασμό αισθητήρων για τον παιδιατρικό πληθυσμό </w:t>
      </w:r>
      <w:r>
        <w:fldChar w:fldCharType="begin"/>
      </w:r>
      <w:r>
        <w:rPr>
          <w:rFonts w:eastAsia="Calibri"/>
          <w:color w:val="000000"/>
          <w:lang w:val="en-US"/>
        </w:rPr>
        <w:instrText xml:space="preserve">ADDIN ZOTERO_ITEM CSL_CITATION {"citationID":"cjbsoRWg","properties":{"formattedCitation":"[194]","plainCitation":"[194]","noteIndex":0},"citationItems":[{"id":3271,"uris":["http://zotero.org/users/local/WDVvZTBM/items/AVS9HNFH"],"itemData":{"id":3271,"type":"article-journal","abstract":"At present, obesity and overweight are a global health epidemic. Traditional interventions for promoting healthy habits do not appear to be effective. However, emerging technological solutions based on wearables and mobile devices can be useful in promoting healthy habits. These applications generate a considerable amount of tracked activity data. Consequently, our approach is based on the quantified-self model for recommending healthy activities. Gamification can also be used as a mechanism to enhance personalization, increasing user motivation. This paper describes the quantified-self model and its data sources, the activity recommender system, and the PROVITAO App user experience model. Furthermore, it presents the results of a gamified program applied for three years in children with obesity and the process of evaluating the quantified-self model with experts. Positive outcomes were obtained in children’s medical parameters and health habits.","container-title":"Sensors","DOI":"10.3390/s20133778","ISSN":"1424-8220","issue":"13","language":"en","license":"http://creativecommons.org/licenses/by/3.0/","note":"number: 13\npublisher: Multidisciplinary Digital Publishing Institute","page":"3778","source":"www.mdpi.com","title":"Health Promotion for Childhood Obesity: An Approach Based on Self-Tracking of Data","title-short":"Health Promotion for Childhood Obesity","volume":"20","author":[{"family":"Gómez-del-Río","given":"Nazaret"},{"family":"González-González","given":"Carina S."},{"family":"Toledo-Delgado","given":"Pedro A."},{"family":"Muñoz-Cruz","given":"Vanesa"},{"family":"García-Peñalvo","given":"Francisco"}],"issued":{"date-parts":[["2020",1]]}}}],"schema":"https://github.com/citation-style-language/schema/raw/master/csl-citation.json"}</w:instrText>
      </w:r>
      <w:r>
        <w:rPr>
          <w:rFonts w:eastAsia="Calibri"/>
          <w:color w:val="000000"/>
          <w:lang w:val="en-US"/>
        </w:rPr>
      </w:r>
      <w:r>
        <w:rPr>
          <w:rFonts w:eastAsia="Calibri"/>
          <w:color w:val="000000"/>
          <w:lang w:val="en-US"/>
        </w:rPr>
        <w:fldChar w:fldCharType="separate"/>
      </w:r>
      <w:r>
        <w:rPr>
          <w:rFonts w:eastAsia="Calibri"/>
          <w:color w:val="000000"/>
          <w:lang w:val="en-US"/>
        </w:rPr>
      </w:r>
      <w:r>
        <w:rPr>
          <w:rFonts w:eastAsia="Calibri"/>
          <w:color w:val="000000"/>
        </w:rPr>
        <w:t>[194]</w:t>
      </w:r>
      <w:r>
        <w:rPr>
          <w:rFonts w:eastAsia="Calibri"/>
          <w:color w:val="000000"/>
          <w:lang w:val="en-US"/>
        </w:rPr>
      </w:r>
      <w:r>
        <w:rPr>
          <w:rFonts w:eastAsia="Calibri"/>
          <w:color w:val="000000"/>
          <w:lang w:val="en-US"/>
        </w:rPr>
        <w:fldChar w:fldCharType="end"/>
      </w:r>
      <w:r>
        <w:rPr>
          <w:rFonts w:eastAsia="Calibri"/>
          <w:color w:val="000000"/>
        </w:rPr>
        <w:t>.</w:t>
      </w:r>
    </w:p>
    <w:p>
      <w:pPr>
        <w:pStyle w:val="Normal"/>
        <w:spacing w:lineRule="auto" w:line="360"/>
        <w:jc w:val="both"/>
        <w:rPr>
          <w:rFonts w:ascii="Helvetica" w:hAnsi="Helvetica" w:eastAsia="Calibri" w:cs="Helvetica"/>
          <w:color w:val="000000"/>
        </w:rPr>
      </w:pPr>
      <w:r>
        <w:rPr>
          <w:rFonts w:eastAsia="Calibri" w:cs="Helvetica" w:ascii="Helvetica" w:hAnsi="Helvetica"/>
          <w:color w:val="000000"/>
        </w:rPr>
      </w:r>
    </w:p>
    <w:p>
      <w:pPr>
        <w:pStyle w:val="Normal"/>
        <w:spacing w:lineRule="auto" w:line="360"/>
        <w:jc w:val="both"/>
        <w:rPr>
          <w:rFonts w:eastAsia="Calibri"/>
          <w:b/>
          <w:bCs/>
          <w:i/>
          <w:i/>
          <w:iCs/>
          <w:color w:val="000000"/>
          <w:u w:val="single"/>
        </w:rPr>
      </w:pPr>
      <w:r>
        <w:rPr>
          <w:rFonts w:eastAsia="Calibri"/>
          <w:b/>
          <w:bCs/>
          <w:i/>
          <w:iCs/>
          <w:color w:val="000000"/>
          <w:u w:val="single"/>
        </w:rPr>
        <w:t>Ενοποίηση δεδομένων και ανάλυση</w:t>
      </w:r>
    </w:p>
    <w:p>
      <w:pPr>
        <w:pStyle w:val="Normal"/>
        <w:spacing w:lineRule="auto" w:line="360"/>
        <w:ind w:firstLine="720"/>
        <w:jc w:val="both"/>
        <w:rPr>
          <w:rFonts w:eastAsia="Calibri"/>
          <w:color w:val="000000"/>
        </w:rPr>
      </w:pPr>
      <w:r>
        <w:rPr>
          <w:rFonts w:eastAsia="Calibri"/>
          <w:color w:val="000000"/>
        </w:rPr>
        <w:t xml:space="preserve">Η συλλογή δεδομένων από φορετούς αισθητήρες και τεχνολογίες παρακολούθησης είναι μόνο το πρώτο βήμα. Οι βιοϊατρικοί μηχανικοί μπορούν επίσης να συμβάλουν στην ανάπτυξη πλατφορμών ενοποίησης δεδομένων και εργαλείων ανάλυσης για την επεξεργασία και ανάλυση των συλλεγόμενων δεδομένων. Οι τεχνικές μηχανικής μάθησης και εξόρυξης δεδομένων μπορούν να χρησιμοποιηθούν για την εξαγωγή ουσιαστικών πληροφοριών από τις τεράστιες ποσότητες δεδομένων που δημιουργούνται από αυτούς τους αισθητήρες, αποκαλύπτοντας μοτίβα και εντοπίζοντας συσχετίσεις μεταξύ γενετικών παραγόντων, παραγόντων τρόπου ζωής και κινδύνου παχυσαρκίας </w:t>
      </w:r>
      <w:r>
        <w:fldChar w:fldCharType="begin"/>
      </w:r>
      <w:r>
        <w:rPr>
          <w:rFonts w:eastAsia="Calibri"/>
          <w:color w:val="000000"/>
        </w:rPr>
        <w:instrText xml:space="preserve">ADDIN ZOTERO_ITEM CSL_CITATION {"citationID":"pwKnLVRQ","properties":{"formattedCitation":"[195]","plainCitation":"[195]","noteIndex":0},"citationItems":[{"id":3296,"uris":["http://zotero.org/users/local/WDVvZTBM/items/54M5IJW8"],"itemData":{"id":3296,"type":"article-journal","language":"en","source":"Zotero","title":"The Effects of Wearable Fitness Devices on Pediatric Obesity: An Integrative Literature Review","author":[{"family":"Sabina","given":"Kevin"}]}}],"schema":"https://github.com/citation-style-language/schema/raw/master/csl-citation.json"}</w:instrText>
      </w:r>
      <w:r>
        <w:rPr>
          <w:rFonts w:eastAsia="Calibri"/>
          <w:color w:val="000000"/>
        </w:rPr>
      </w:r>
      <w:r>
        <w:rPr>
          <w:rFonts w:eastAsia="Calibri"/>
          <w:color w:val="000000"/>
        </w:rPr>
        <w:fldChar w:fldCharType="separate"/>
      </w:r>
      <w:r>
        <w:rPr>
          <w:rFonts w:eastAsia="Calibri"/>
          <w:color w:val="000000"/>
        </w:rPr>
        <w:t>[195]</w:t>
      </w:r>
      <w:r>
        <w:rPr>
          <w:rFonts w:eastAsia="Calibri"/>
          <w:color w:val="000000"/>
        </w:rPr>
      </w:r>
      <w:r>
        <w:rPr>
          <w:rFonts w:eastAsia="Calibri"/>
          <w:color w:val="000000"/>
        </w:rPr>
        <w:fldChar w:fldCharType="end"/>
      </w:r>
      <w:r>
        <w:rPr>
          <w:rFonts w:eastAsia="Calibri"/>
          <w:color w:val="000000"/>
        </w:rPr>
        <w:t>.</w:t>
      </w:r>
    </w:p>
    <w:p>
      <w:pPr>
        <w:pStyle w:val="Normal"/>
        <w:spacing w:lineRule="auto" w:line="360"/>
        <w:jc w:val="both"/>
        <w:rPr>
          <w:rFonts w:ascii="Helvetica" w:hAnsi="Helvetica" w:eastAsia="Calibri" w:cs="Helvetica"/>
          <w:color w:val="000000"/>
        </w:rPr>
      </w:pPr>
      <w:r>
        <w:rPr>
          <w:rFonts w:eastAsia="Calibri" w:cs="Helvetica" w:ascii="Helvetica" w:hAnsi="Helvetica"/>
          <w:color w:val="000000"/>
        </w:rPr>
      </w:r>
    </w:p>
    <w:p>
      <w:pPr>
        <w:pStyle w:val="Normal"/>
        <w:spacing w:lineRule="auto" w:line="360"/>
        <w:jc w:val="both"/>
        <w:rPr>
          <w:rFonts w:eastAsia="Calibri"/>
          <w:b/>
          <w:bCs/>
          <w:i/>
          <w:i/>
          <w:iCs/>
          <w:color w:val="000000"/>
          <w:u w:val="single"/>
        </w:rPr>
      </w:pPr>
      <w:r>
        <w:rPr>
          <w:rFonts w:eastAsia="Calibri"/>
          <w:b/>
          <w:bCs/>
          <w:i/>
          <w:iCs/>
          <w:color w:val="000000"/>
          <w:u w:val="single"/>
        </w:rPr>
        <w:t>Μετατροπή δεδομένων σε παρεμβάσεις με δυνατότητα δράσης</w:t>
      </w:r>
    </w:p>
    <w:p>
      <w:pPr>
        <w:pStyle w:val="Normal"/>
        <w:spacing w:lineRule="auto" w:line="360"/>
        <w:ind w:firstLine="720"/>
        <w:jc w:val="both"/>
        <w:rPr>
          <w:rFonts w:ascii="Helvetica" w:hAnsi="Helvetica" w:eastAsia="Calibri" w:cs="Helvetica"/>
          <w:color w:val="000000"/>
        </w:rPr>
      </w:pPr>
      <w:r>
        <w:rPr>
          <w:rFonts w:eastAsia="Calibri"/>
          <w:color w:val="000000"/>
        </w:rPr>
        <w:t xml:space="preserve">Ο απώτερος στόχος των φορητών αισθητήρων και των τεχνολογιών παρακολούθησης είναι η ενημέρωση στοχευμένων παρεμβάσεων για την πρόληψη και τη διαχείριση της παχυσαρκίας. Οι βιοϊατρικοί μηχανικοί μπορούν να συνεργαστούν με επαγγελματίες υγείας για να μεταφράσουν τα δεδομένα που συλλέγονται σε πληροφορίες που μπορούν να χρησιμοποιηθούν. Αυτή η εξατομικευμένη προσέγγιση επιτρέπει πιο αποτελεσματικές και ακριβείς παρεμβάσεις προσαρμοσμένες στις ατομικές ανάγκες και τις γενετικές προδιαθέσεις </w:t>
      </w:r>
      <w:r>
        <w:fldChar w:fldCharType="begin"/>
      </w:r>
      <w:r>
        <w:rPr>
          <w:rFonts w:eastAsia="Calibri"/>
          <w:color w:val="000000"/>
          <w:lang w:val="en-US"/>
        </w:rPr>
        <w:instrText xml:space="preserve">ADDIN ZOTERO_ITEM CSL_CITATION {"citationID":"EN1MGLH6","properties":{"formattedCitation":"[196]","plainCitation":"[196]","noteIndex":0},"citationItems":[{"id":3293,"uris":["http://zotero.org/users/local/WDVvZTBM/items/JAZWGA8T"],"itemData":{"id":3293,"type":"article-journal","abstract":"Childhood obesity is one of the most serious public health challenges of the 21st century, with consequences lasting into adulthood. Internet of Things (IoT)-enabled devices have been studied and deployed for monitoring and tracking diet and physical activity of children and adolescents as well as a means of providing remote, ongoing support to children and their families. This review aimed to identify and understand current advances in the feasibility, system designs, and effectiveness of IoT-enabled devices to support weight management in children. We searched Medline, PubMed, Web of Science, Scopus, ProQuest Central and the IEEE Xplore Digital Library for studies published after 2010 using a combination of keywords and subject headings related to health activity tracking, weight management, youth and Internet of Things. The screening process and risk of bias assessment were conducted in accordance with a previously published protocol. Quantitative analysis was conducted for IoT-architecture related findings and qualitative analysis was conducted for effectiveness-related measures. Twenty-three full studies are included in this systematic review. The most used devices were smartphone/mobile apps (78.3%) and physical activity data (65.2%) from accelerometers (56.5%) were the most commonly tracked data. Only one study embarked on machine learning and deep learning methods in the service layer. Adherence to IoT-based approaches was low but game-based IoT solutions have shown better effectiveness and could play a pivotal role in childhood obesity interventions. Researcher-reported effectiveness measures vary greatly amongst studies, highlighting the importance for improved development and use of standardised digital health evaluation frameworks.","container-title":"PLOS Digital Health","DOI":"10.1371/journal.pdig.0000024","ISSN":"2767-3170","issue":"4","journalAbbreviation":"PLOS Digital Health","language":"en","note":"publisher: Public Library of Science","page":"e0000024","source":"journals.plos.org","title":"Internet of things–Enabled technologies as an intervention for childhood obesity: A systematic review","title-short":"Internet of things–Enabled technologies as an intervention for childhood obesity","volume":"1","author":[{"family":"Lam","given":"Ching"},{"family":"Milne-Ives","given":"Madison"},{"family":"Harrington","given":"Richard"},{"family":"Jani","given":"Anant"},{"family":"Velthoven","given":"Michelle Helena","dropping-particle":"van"},{"family":"Harding","given":"Tracey"},{"family":"Meinert","given":"Edward"}],"issued":{"date-parts":[["2022",4,7]]}}}],"schema":"https://github.com/citation-style-language/schema/raw/master/csl-citation.json"}</w:instrText>
      </w:r>
      <w:r>
        <w:rPr>
          <w:rFonts w:eastAsia="Calibri"/>
          <w:color w:val="000000"/>
          <w:lang w:val="en-US"/>
        </w:rPr>
      </w:r>
      <w:r>
        <w:rPr>
          <w:rFonts w:eastAsia="Calibri"/>
          <w:color w:val="000000"/>
          <w:lang w:val="en-US"/>
        </w:rPr>
        <w:fldChar w:fldCharType="separate"/>
      </w:r>
      <w:r>
        <w:rPr>
          <w:rFonts w:eastAsia="Calibri"/>
          <w:color w:val="000000"/>
          <w:lang w:val="en-US"/>
        </w:rPr>
      </w:r>
      <w:r>
        <w:rPr>
          <w:rFonts w:eastAsia="Calibri"/>
          <w:color w:val="000000"/>
        </w:rPr>
        <w:t>[196]</w:t>
      </w:r>
      <w:r>
        <w:rPr>
          <w:rFonts w:eastAsia="Calibri"/>
          <w:color w:val="000000"/>
          <w:lang w:val="en-US"/>
        </w:rPr>
      </w:r>
      <w:r>
        <w:rPr>
          <w:rFonts w:eastAsia="Calibri"/>
          <w:color w:val="000000"/>
          <w:lang w:val="en-US"/>
        </w:rPr>
        <w:fldChar w:fldCharType="end"/>
      </w:r>
      <w:r>
        <w:rPr>
          <w:rFonts w:eastAsia="Calibri"/>
          <w:color w:val="000000"/>
        </w:rPr>
        <w:t>.</w:t>
      </w:r>
    </w:p>
    <w:p>
      <w:pPr>
        <w:pStyle w:val="Normal"/>
        <w:spacing w:lineRule="auto" w:line="360"/>
        <w:jc w:val="both"/>
        <w:rPr>
          <w:rFonts w:eastAsia="Calibri"/>
          <w:color w:val="000000"/>
        </w:rPr>
      </w:pPr>
      <w:r>
        <w:rPr>
          <w:rFonts w:eastAsia="Calibri"/>
          <w:color w:val="000000"/>
        </w:rPr>
      </w:r>
    </w:p>
    <w:p>
      <w:pPr>
        <w:pStyle w:val="Normal"/>
        <w:spacing w:lineRule="auto" w:line="360"/>
        <w:ind w:firstLine="720"/>
        <w:jc w:val="both"/>
        <w:rPr>
          <w:rFonts w:ascii="Helvetica" w:hAnsi="Helvetica" w:eastAsia="Calibri" w:cs="Helvetica"/>
          <w:color w:val="000000"/>
        </w:rPr>
      </w:pPr>
      <w:r>
        <w:rPr>
          <w:rFonts w:eastAsia="Calibri"/>
          <w:color w:val="000000"/>
        </w:rPr>
        <w:t>Σχεδιάζοντας και βελτιστοποιώντας φορετούς αισθητήρες και τεχνολογίες παρακολούθησης, οι βιοϊατρικοί μηχανικοί διαδραματίζουν κρίσιμο ρόλο στη συλλογή δεδομένων σε πραγματικό χρόνο σχετικά με τη φυσική δραστηριότητα, τις διατροφικές συνήθειες και τους παράγοντες του τρόπου ζωής που σχετίζονται με την παχυσαρκία. Η ενσωμάτωση των γενετικών προδιαθέσεων στην ανάλυση δεδομένων βοηθά στην αποκάλυψη των πολύπλοκων αλληλεπιδράσεων μεταξύ της γενετικής και των επιλογών του τρόπου ζωής. Αυτή η γνώση συμβάλλει στην ανάπτυξη εξατομικευμένων παρεμβάσεων και στοχευμένων στρατηγικών σε παιδιατρικούς πληθυσμούς για την αποτελεσματική πρόληψη και διαχείριση της παχυσαρκίας.</w:t>
      </w:r>
    </w:p>
    <w:p>
      <w:pPr>
        <w:pStyle w:val="Normal"/>
        <w:spacing w:lineRule="auto" w:line="360"/>
        <w:jc w:val="both"/>
        <w:rPr>
          <w:rFonts w:ascii="Helvetica" w:hAnsi="Helvetica" w:eastAsia="Calibri" w:cs="Helvetica"/>
          <w:color w:val="000000"/>
        </w:rPr>
      </w:pPr>
      <w:r>
        <w:rPr>
          <w:rFonts w:eastAsia="Calibri"/>
          <w:color w:val="000000"/>
        </w:rPr>
        <w:t> </w:t>
      </w:r>
    </w:p>
    <w:p>
      <w:pPr>
        <w:pStyle w:val="Heading2"/>
        <w:rPr/>
      </w:pPr>
      <w:bookmarkStart w:id="82" w:name="_Toc154923844"/>
      <w:r>
        <w:rPr/>
        <w:t>4.8 Η τεχνολογία των ολοκληρωμένων συστημάτων (I</w:t>
      </w:r>
      <w:r>
        <w:rPr>
          <w:lang w:val="en-US"/>
        </w:rPr>
        <w:t>ntegrative</w:t>
      </w:r>
      <w:r>
        <w:rPr/>
        <w:t xml:space="preserve"> </w:t>
      </w:r>
      <w:r>
        <w:rPr>
          <w:lang w:val="en-US"/>
        </w:rPr>
        <w:t>Systems</w:t>
      </w:r>
      <w:r>
        <w:rPr/>
        <w:t xml:space="preserve"> </w:t>
      </w:r>
      <w:r>
        <w:rPr>
          <w:lang w:val="en-US"/>
        </w:rPr>
        <w:t>Biology</w:t>
      </w:r>
      <w:r>
        <w:rPr/>
        <w:t>)</w:t>
      </w:r>
      <w:bookmarkEnd w:id="82"/>
      <w:r>
        <w:rPr/>
        <w:t xml:space="preserve"> </w:t>
      </w:r>
    </w:p>
    <w:p>
      <w:pPr>
        <w:pStyle w:val="Normal"/>
        <w:spacing w:lineRule="auto" w:line="360"/>
        <w:ind w:firstLine="720"/>
        <w:jc w:val="both"/>
        <w:rPr>
          <w:rFonts w:eastAsia="Calibri"/>
          <w:color w:val="000000"/>
        </w:rPr>
      </w:pPr>
      <w:r>
        <w:rPr>
          <w:rFonts w:eastAsia="Calibri"/>
          <w:color w:val="0F110F"/>
        </w:rPr>
        <w:t>Η βιολογία των ολοκληρωμένων συστημάτων είναι ένα διεπιστημονικό πεδίο που ενσωματώνει πολλαπλά επίπεδα βιολογικών δεδομένων για να αποκτήσει μια ολοκληρωμένη κατανόηση των πολύπλοκων βιολογικών συστημάτων. Οι βιοϊατρικοί μηχανικοί διαδραματίζουν κρίσιμο ρόλο σε αυτόν τον τομέα συμβάλλοντας στην ανάπτυξη και εφαρμογή διαφόρων τεχνολογιών και τεχνικών.</w:t>
      </w:r>
    </w:p>
    <w:p>
      <w:pPr>
        <w:pStyle w:val="Normal"/>
        <w:spacing w:lineRule="auto" w:line="360"/>
        <w:ind w:firstLine="720"/>
        <w:jc w:val="both"/>
        <w:rPr>
          <w:rFonts w:eastAsia="Calibri"/>
          <w:color w:val="000000"/>
        </w:rPr>
      </w:pPr>
      <w:r>
        <w:rPr>
          <w:rFonts w:eastAsia="Calibri"/>
          <w:color w:val="0F110F"/>
        </w:rPr>
        <w:t xml:space="preserve">Συνδυάζοντας δεδομένα από τη γονιδιωματική, τη μεταβολομική και άλλες τεχνολογίες ωμικής, οι προσεγγίσεις βιολογίας ολοκληρωμένων συστημάτων μπορούν να βοηθήσουν στην αποκάλυψη των περίπλοκων και διασυνδεδεμένων μηχανισμών που κρύβονται πίσω από διάφορα βιολογικά φαινόμενα. Αυτό περιλαμβάνει την κατανόηση της αλληλεπίδρασης μεταξύ γενετικών παραγόντων, περιβαλλοντικών παραγόντων και της συμβολής τους στην παιδική παχυσαρκία </w:t>
      </w:r>
      <w:r>
        <w:fldChar w:fldCharType="begin"/>
      </w:r>
      <w:r>
        <w:rPr>
          <w:rFonts w:eastAsia="Calibri"/>
          <w:color w:val="0F110F"/>
          <w:lang w:val="en-US"/>
        </w:rPr>
        <w:instrText xml:space="preserve">ADDIN ZOTERO_ITEM CSL_CITATION {"citationID":"yWIsoGP4","properties":{"formattedCitation":"[197]","plainCitation":"[197]","noteIndex":0},"citationItems":[{"id":3299,"uris":["http://zotero.org/users/local/WDVvZTBM/items/ABHYGLDJ"],"itemData":{"id":3299,"type":"thesis","genre":"PhD Thesis","language":"en","note":"DOI: 10.14264/uql.2015.734","publisher":"The University of Queensland","source":"DOI.org (Crossref)","title":"A systems biology approach towards child obesity and obesity-related diseases: integration of clinical, genetic, hormonal and NMR metabonomic factors","title-short":"A systems biology approach towards child obesity and obesity-related diseases","URL":"http://espace.library.uq.edu.au/view/UQ:363532","author":[{"family":"Abd Rahman","given":"Shaffinaz"}],"accessed":{"date-parts":[["2023",12,4]]},"issued":{"date-parts":[["2015",6,26]]}}}],"schema":"https://github.com/citation-style-language/schema/raw/master/csl-citation.json"}</w:instrText>
      </w:r>
      <w:r>
        <w:rPr>
          <w:rFonts w:eastAsia="Calibri"/>
          <w:color w:val="0F110F"/>
          <w:lang w:val="en-US"/>
        </w:rPr>
      </w:r>
      <w:r>
        <w:rPr>
          <w:rFonts w:eastAsia="Calibri"/>
          <w:color w:val="0F110F"/>
          <w:lang w:val="en-US"/>
        </w:rPr>
        <w:fldChar w:fldCharType="separate"/>
      </w:r>
      <w:r>
        <w:rPr>
          <w:rFonts w:eastAsia="Calibri"/>
          <w:color w:val="0F110F"/>
          <w:lang w:val="en-US"/>
        </w:rPr>
      </w:r>
      <w:r>
        <w:rPr>
          <w:rFonts w:eastAsia="Calibri"/>
          <w:color w:val="0F110F"/>
        </w:rPr>
        <w:t>[197]</w:t>
      </w:r>
      <w:r>
        <w:rPr>
          <w:rFonts w:eastAsia="Calibri"/>
          <w:color w:val="0F110F"/>
          <w:lang w:val="en-US"/>
        </w:rPr>
      </w:r>
      <w:r>
        <w:rPr>
          <w:rFonts w:eastAsia="Calibri"/>
          <w:color w:val="0F110F"/>
          <w:lang w:val="en-US"/>
        </w:rPr>
        <w:fldChar w:fldCharType="end"/>
      </w:r>
      <w:r>
        <w:rPr>
          <w:rFonts w:eastAsia="Calibri"/>
          <w:color w:val="0F110F"/>
        </w:rPr>
        <w:t>.</w:t>
      </w:r>
    </w:p>
    <w:p>
      <w:pPr>
        <w:pStyle w:val="Normal"/>
        <w:spacing w:lineRule="auto" w:line="360"/>
        <w:ind w:firstLine="720"/>
        <w:jc w:val="both"/>
        <w:rPr>
          <w:rFonts w:eastAsia="Calibri"/>
          <w:color w:val="000000"/>
        </w:rPr>
      </w:pPr>
      <w:r>
        <w:rPr>
          <w:rFonts w:eastAsia="Calibri"/>
          <w:color w:val="0F110F"/>
        </w:rPr>
        <w:t xml:space="preserve">Μέσω της ενσωμάτωσης διαφορετικών συνόλων δεδομένων και της χρήσης υπολογιστικών μοντέλων, ερευνητές και βιοϊατρικοί μηχανικοί στον τομέα της βιολογίας ολοκληρωμένων συστημάτων μπορούν να εντοπίσουν βασικούς βιοδείκτες, να αναπτύξουν μοντέλα πρόβλεψης και να αποκτήσουν γνώσεις για τη μοριακή βάση ασθενειών όπως η παιδική παχυσαρκία. Αυτή η ολιστική προσέγγιση έχει τη δυνατότητα να διευκολύνει στοχευμένες παρεμβάσεις, εξατομικευμένες θεραπείες και τη βελτίωση των συνολικών αποτελεσμάτων υγείας </w:t>
      </w:r>
      <w:r>
        <w:fldChar w:fldCharType="begin"/>
      </w:r>
      <w:r>
        <w:rPr>
          <w:rFonts w:eastAsia="Calibri"/>
          <w:color w:val="0F110F"/>
          <w:lang w:val="en-US"/>
        </w:rPr>
        <w:instrText xml:space="preserve">ADDIN ZOTERO_ITEM CSL_CITATION {"citationID":"78SlnxSR","properties":{"formattedCitation":"[197]","plainCitation":"[197]","noteIndex":0},"citationItems":[{"id":3299,"uris":["http://zotero.org/users/local/WDVvZTBM/items/ABHYGLDJ"],"itemData":{"id":3299,"type":"thesis","genre":"PhD Thesis","language":"en","note":"DOI: 10.14264/uql.2015.734","publisher":"The University of Queensland","source":"DOI.org (Crossref)","title":"A systems biology approach towards child obesity and obesity-related diseases: integration of clinical, genetic, hormonal and NMR metabonomic factors","title-short":"A systems biology approach towards child obesity and obesity-related diseases","URL":"http://espace.library.uq.edu.au/view/UQ:363532","author":[{"family":"Abd Rahman","given":"Shaffinaz"}],"accessed":{"date-parts":[["2023",12,4]]},"issued":{"date-parts":[["2015",6,26]]}}}],"schema":"https://github.com/citation-style-language/schema/raw/master/csl-citation.json"}</w:instrText>
      </w:r>
      <w:r>
        <w:rPr>
          <w:rFonts w:eastAsia="Calibri"/>
          <w:color w:val="0F110F"/>
          <w:lang w:val="en-US"/>
        </w:rPr>
      </w:r>
      <w:r>
        <w:rPr>
          <w:rFonts w:eastAsia="Calibri"/>
          <w:color w:val="0F110F"/>
          <w:lang w:val="en-US"/>
        </w:rPr>
        <w:fldChar w:fldCharType="separate"/>
      </w:r>
      <w:r>
        <w:rPr>
          <w:rFonts w:eastAsia="Calibri"/>
          <w:color w:val="0F110F"/>
          <w:lang w:val="en-US"/>
        </w:rPr>
      </w:r>
      <w:r>
        <w:rPr>
          <w:rFonts w:eastAsia="Calibri"/>
          <w:color w:val="0F110F"/>
        </w:rPr>
        <w:t>[197]</w:t>
      </w:r>
      <w:r>
        <w:rPr>
          <w:rFonts w:eastAsia="Calibri"/>
          <w:color w:val="0F110F"/>
          <w:lang w:val="en-US"/>
        </w:rPr>
      </w:r>
      <w:r>
        <w:rPr>
          <w:rFonts w:eastAsia="Calibri"/>
          <w:color w:val="0F110F"/>
          <w:lang w:val="en-US"/>
        </w:rPr>
        <w:fldChar w:fldCharType="end"/>
      </w:r>
      <w:r>
        <w:rPr>
          <w:rFonts w:eastAsia="Calibri"/>
          <w:color w:val="0F110F"/>
        </w:rPr>
        <w:t>.</w:t>
      </w:r>
    </w:p>
    <w:p>
      <w:pPr>
        <w:pStyle w:val="Normal"/>
        <w:spacing w:lineRule="auto" w:line="360"/>
        <w:ind w:firstLine="720"/>
        <w:jc w:val="both"/>
        <w:rPr>
          <w:rFonts w:ascii="Helvetica" w:hAnsi="Helvetica" w:eastAsia="Calibri" w:cs="Helvetica"/>
          <w:color w:val="000000"/>
        </w:rPr>
      </w:pPr>
      <w:r>
        <w:rPr>
          <w:rFonts w:eastAsia="Calibri"/>
          <w:color w:val="000000"/>
        </w:rPr>
        <w:t>Συνεργαζόμενοι με γενετιστές, διατροφολόγους, κλινικούς ιατρούς και άλλους ειδικούς, οι βιοϊατρικοί μηχανικοί μπορούν να συνεισφέρουν πολύτιμα εργαλεία και γνώσεις για να προωθήσουμε την κατανόησή μας για τους γενετικούς παράγοντες που κρύβουν την παιδική παχυσαρκία και να ενημερώσουν την ανάπτυξη στοχευμένων παρεμβάσεων και θεραπειών.</w:t>
      </w:r>
      <w:r>
        <w:rPr>
          <w:rFonts w:eastAsia="Calibri" w:cs="Helvetica" w:ascii="Helvetica" w:hAnsi="Helvetica"/>
          <w:color w:val="000000"/>
        </w:rPr>
        <w:t xml:space="preserve"> </w:t>
      </w:r>
      <w:r>
        <w:rPr>
          <w:rFonts w:eastAsia="Calibri"/>
          <w:color w:val="000000"/>
        </w:rPr>
        <w:t xml:space="preserve">Αυτή η συλλογική προσέγγιση επιτρέπει την ενσωμάτωση διαφορετικών προοπτικών και τεχνογνωσίας για την αποτελεσματικότερη αντιμετώπιση του περίπλοκου προβλήματος της παιδικής παχυσαρκίας </w:t>
      </w:r>
      <w:r>
        <w:fldChar w:fldCharType="begin"/>
      </w:r>
      <w:r>
        <w:rPr>
          <w:rFonts w:eastAsia="Calibri"/>
          <w:color w:val="000000"/>
          <w:lang w:val="en-US"/>
        </w:rPr>
        <w:instrText xml:space="preserve">ADDIN ZOTERO_ITEM CSL_CITATION {"citationID":"4T0YAbwC","properties":{"formattedCitation":"[198]","plainCitation":"[198]","noteIndex":0},"citationItems":[{"id":3297,"uris":["http://zotero.org/users/local/WDVvZTBM/items/IPUEAZZ9"],"itemData":{"id":3297,"type":"article-journal","abstract":"Childhood obesity is triggered by a complex interplay of environmental, genetic, and epigenetic factors; however, the molecular mechanisms behind this…","container-title":"Gene","DOI":"10.1016/j.gene.2022.146512","ISSN":"0378-1119","language":"en-US","note":"publisher: Elsevier","page":"146512","source":"www.sciencedirect.com","title":"Systems biology approach identifies key genes and related pathways in childhood obesity","volume":"830","issued":{"date-parts":[["2022",7,1]]}}}],"schema":"https://github.com/citation-style-language/schema/raw/master/csl-citation.json"}</w:instrText>
      </w:r>
      <w:r>
        <w:rPr>
          <w:rFonts w:eastAsia="Calibri"/>
          <w:color w:val="000000"/>
          <w:lang w:val="en-US"/>
        </w:rPr>
      </w:r>
      <w:r>
        <w:rPr>
          <w:rFonts w:eastAsia="Calibri"/>
          <w:color w:val="000000"/>
          <w:lang w:val="en-US"/>
        </w:rPr>
        <w:fldChar w:fldCharType="separate"/>
      </w:r>
      <w:r>
        <w:rPr>
          <w:rFonts w:eastAsia="Calibri"/>
          <w:color w:val="000000"/>
          <w:lang w:val="en-US"/>
        </w:rPr>
      </w:r>
      <w:r>
        <w:rPr>
          <w:rFonts w:eastAsia="Calibri"/>
          <w:color w:val="000000"/>
        </w:rPr>
        <w:t>[198]</w:t>
      </w:r>
      <w:r>
        <w:rPr>
          <w:rFonts w:eastAsia="Calibri"/>
          <w:color w:val="000000"/>
          <w:lang w:val="en-US"/>
        </w:rPr>
      </w:r>
      <w:r>
        <w:rPr>
          <w:rFonts w:eastAsia="Calibri"/>
          <w:color w:val="000000"/>
          <w:lang w:val="en-US"/>
        </w:rPr>
        <w:fldChar w:fldCharType="end"/>
      </w:r>
      <w:r>
        <w:rPr>
          <w:rFonts w:eastAsia="Calibri"/>
          <w:color w:val="000000"/>
        </w:rPr>
        <w:t>.</w:t>
      </w:r>
    </w:p>
    <w:p>
      <w:pPr>
        <w:pStyle w:val="Normal"/>
        <w:spacing w:lineRule="auto" w:line="360"/>
        <w:ind w:firstLine="720"/>
        <w:jc w:val="both"/>
        <w:rPr>
          <w:rFonts w:ascii="Helvetica" w:hAnsi="Helvetica" w:eastAsia="Calibri" w:cs="Helvetica"/>
          <w:color w:val="000000"/>
        </w:rPr>
      </w:pPr>
      <w:r>
        <w:rPr>
          <w:rFonts w:eastAsia="Calibri"/>
          <w:color w:val="000000"/>
        </w:rPr>
        <w:t>Οι βιοϊατρικοί μηχανικοί μπορούν να παρέχουν πολύτιμα εργαλεία και γνώσεις σε αυτή τη συλλογική προσπάθεια. Μπορούν να αναπτύξουν καινοτόμες τεχνολογίες και μεθοδολογίες για την ανάλυση, την ερμηνεία και την ενσωμάτωση γενετικών δεδομένων μεγάλης κλίμακας. Αυτό περιλαμβάνει το σχεδιασμό και την εφαρμογή προηγμένων υπολογιστικών αλγορίθμων για τον εντοπισμό γενετικών δεικτών και προτύπων που σχετίζονται με την παιδική παχυσαρκία. Χρησιμοποιώντας την τεχνογνωσία τους στην ανάλυση δεδομένων και τη μοντελοποίηση, οι βιοϊατρικοί μηχανικοί μπορούν να βοηθήσουν στην αποκάλυψη των γενετικών μηχανισμών που κρύβονται πίσω από την ανάπτυξη και την εξέλιξη της παχυσαρκίας στα παιδιά.</w:t>
      </w:r>
    </w:p>
    <w:p>
      <w:pPr>
        <w:pStyle w:val="Normal"/>
        <w:spacing w:lineRule="auto" w:line="360"/>
        <w:ind w:firstLine="720"/>
        <w:jc w:val="both"/>
        <w:rPr>
          <w:rFonts w:ascii="Helvetica" w:hAnsi="Helvetica" w:eastAsia="Calibri" w:cs="Helvetica"/>
          <w:color w:val="000000"/>
        </w:rPr>
      </w:pPr>
      <w:r>
        <w:rPr>
          <w:rFonts w:eastAsia="Calibri"/>
          <w:color w:val="000000"/>
        </w:rPr>
        <w:t xml:space="preserve">Επιπλέον, οι βιοϊατρικοί μηχανικοί μπορούν να συμβάλουν στην ανάπτυξη στοχευμένων παρεμβάσεων και θεραπειών με βάση τις γνώσεις που αποκτήθηκαν από αυτές τις συλλογικές προσπάθειες. Αυτό μπορεί να περιλαμβάνει το σχεδιασμό εξατομικευμένων στρατηγικών θεραπείας που λαμβάνουν υπόψη τη γενετική προδιάθεση ενός ατόμου για παχυσαρκία. Οι βιοϊατρικοί μηχανικοί μπορούν επίσης να εργαστούν στην ανάπτυξη νέων ιατρικών συσκευών, φορητών τεχνολογιών ή φορητών εφαρμογών που βοηθούν στην παρακολούθηση και διαχείριση παραγόντων που σχετίζονται με την παχυσαρκία, όπως η σωματική δραστηριότητα και η διατροφή </w:t>
      </w:r>
      <w:r>
        <w:fldChar w:fldCharType="begin"/>
      </w:r>
      <w:r>
        <w:rPr>
          <w:rFonts w:eastAsia="Calibri"/>
          <w:color w:val="000000"/>
          <w:lang w:val="en-US"/>
        </w:rPr>
        <w:instrText xml:space="preserve">ADDIN ZOTERO_ITEM CSL_CITATION {"citationID":"2Edn6s1F","properties":{"formattedCitation":"[199]","plainCitation":"[199]","noteIndex":0},"citationItems":[{"id":3300,"uris":["http://zotero.org/users/local/WDVvZTBM/items/LWEMEC9L"],"itemData":{"id":3300,"type":"article-journal","abstract":"Abstract. Introduction: Childhood obesity is one of the most important public health issues of the 21st century. Epidemiological studies have suggested that obe","container-title":"Journal of the Endocrine Society","DOI":"10.1210/jendso/bvab048.098","issue":"Supplement_1","journalAbbreviation":"J. Endocr. Soc.","language":"en","note":"publisher: Oxford Academic","page":"A49-A50","source":"academic.oup.com","title":"Identification of Key Genes and Pathways for Childhood Obesity Using System Biology Approach Based on Comprehensive Gene Information","volume":"5","author":[{"family":"Crispim","given":"Daisy"},{"family":"Pellenz","given":"Felipe Mateus"},{"family":"Assmann","given":"Tais Silveira"}],"issued":{"date-parts":[["2021",5,3]]}}}],"schema":"https://github.com/citation-style-language/schema/raw/master/csl-citation.json"}</w:instrText>
      </w:r>
      <w:r>
        <w:rPr>
          <w:rFonts w:eastAsia="Calibri"/>
          <w:color w:val="000000"/>
          <w:lang w:val="en-US"/>
        </w:rPr>
      </w:r>
      <w:r>
        <w:rPr>
          <w:rFonts w:eastAsia="Calibri"/>
          <w:color w:val="000000"/>
          <w:lang w:val="en-US"/>
        </w:rPr>
        <w:fldChar w:fldCharType="separate"/>
      </w:r>
      <w:r>
        <w:rPr>
          <w:rFonts w:eastAsia="Calibri"/>
          <w:color w:val="000000"/>
          <w:lang w:val="en-US"/>
        </w:rPr>
      </w:r>
      <w:r>
        <w:rPr>
          <w:rFonts w:eastAsia="Calibri"/>
          <w:color w:val="000000"/>
        </w:rPr>
        <w:t>[199]</w:t>
      </w:r>
      <w:r>
        <w:rPr>
          <w:rFonts w:eastAsia="Calibri"/>
          <w:color w:val="000000"/>
          <w:lang w:val="en-US"/>
        </w:rPr>
      </w:r>
      <w:r>
        <w:rPr>
          <w:rFonts w:eastAsia="Calibri"/>
          <w:color w:val="000000"/>
          <w:lang w:val="en-US"/>
        </w:rPr>
        <w:fldChar w:fldCharType="end"/>
      </w:r>
      <w:r>
        <w:rPr>
          <w:rFonts w:eastAsia="Calibri"/>
          <w:color w:val="000000"/>
        </w:rPr>
        <w:t>.</w:t>
      </w:r>
    </w:p>
    <w:p>
      <w:pPr>
        <w:pStyle w:val="Normal"/>
        <w:spacing w:lineRule="auto" w:line="360"/>
        <w:ind w:firstLine="720"/>
        <w:jc w:val="both"/>
        <w:rPr>
          <w:rFonts w:ascii="Helvetica" w:hAnsi="Helvetica" w:eastAsia="Calibri" w:cs="Helvetica"/>
          <w:color w:val="000000"/>
        </w:rPr>
      </w:pPr>
      <w:r>
        <w:rPr>
          <w:rFonts w:eastAsia="Calibri"/>
          <w:color w:val="000000"/>
        </w:rPr>
        <w:t>Συνολικά, η συνεργασία μεταξύ βιοϊατρικών μηχανικών και διαφόρων ειδικών στον τομέα της παιδικής παχυσαρκίας μπορεί να οδηγήσει σε μια πιο ολοκληρωμένη και διεπιστημονική προσέγγιση για την κατανόηση των γενετικών παραγόντων και την ανάπτυξη αποτελεσματικών παρεμβάσεων για την πρόληψη και τη θεραπεία.</w:t>
      </w:r>
    </w:p>
    <w:p>
      <w:pPr>
        <w:pStyle w:val="Normal"/>
        <w:spacing w:lineRule="auto" w:line="360"/>
        <w:jc w:val="both"/>
        <w:rPr>
          <w:rFonts w:ascii="Helvetica" w:hAnsi="Helvetica" w:eastAsia="Calibri" w:cs="Helvetica"/>
          <w:color w:val="000000"/>
          <w:sz w:val="32"/>
          <w:szCs w:val="32"/>
        </w:rPr>
      </w:pPr>
      <w:r>
        <w:rPr>
          <w:rFonts w:eastAsia="Calibri"/>
          <w:color w:val="000000"/>
          <w:sz w:val="32"/>
          <w:szCs w:val="32"/>
        </w:rPr>
        <w:t> </w:t>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Heading1"/>
        <w:rPr>
          <w:rFonts w:ascii="Times New Roman" w:hAnsi="Times New Roman"/>
          <w:lang w:eastAsia="el-GR"/>
        </w:rPr>
      </w:pPr>
      <w:bookmarkStart w:id="83" w:name="_Toc154923845"/>
      <w:r>
        <w:rPr>
          <w:rFonts w:ascii="Times New Roman" w:hAnsi="Times New Roman"/>
          <w:lang w:eastAsia="el-GR"/>
        </w:rPr>
        <w:t>Κεφάλαιο 5: Μελέτες συσχέτισης σε όλο το γονιδίωμα για το την Παιδική Παχυσαρκία (G</w:t>
      </w:r>
      <w:r>
        <w:rPr>
          <w:rFonts w:ascii="Times New Roman" w:hAnsi="Times New Roman"/>
          <w:lang w:val="en-US" w:eastAsia="el-GR"/>
        </w:rPr>
        <w:t>enome</w:t>
      </w:r>
      <w:r>
        <w:rPr>
          <w:rFonts w:ascii="Times New Roman" w:hAnsi="Times New Roman"/>
          <w:lang w:eastAsia="el-GR"/>
        </w:rPr>
        <w:t>-</w:t>
      </w:r>
      <w:r>
        <w:rPr>
          <w:rFonts w:ascii="Times New Roman" w:hAnsi="Times New Roman"/>
          <w:lang w:val="en-US" w:eastAsia="el-GR"/>
        </w:rPr>
        <w:t>Wide</w:t>
      </w:r>
      <w:r>
        <w:rPr>
          <w:rFonts w:ascii="Times New Roman" w:hAnsi="Times New Roman"/>
          <w:lang w:eastAsia="el-GR"/>
        </w:rPr>
        <w:t xml:space="preserve"> </w:t>
      </w:r>
      <w:r>
        <w:rPr>
          <w:rFonts w:ascii="Times New Roman" w:hAnsi="Times New Roman"/>
          <w:lang w:val="en-US" w:eastAsia="el-GR"/>
        </w:rPr>
        <w:t>Association</w:t>
      </w:r>
      <w:r>
        <w:rPr>
          <w:rFonts w:ascii="Times New Roman" w:hAnsi="Times New Roman"/>
          <w:lang w:eastAsia="el-GR"/>
        </w:rPr>
        <w:t xml:space="preserve"> </w:t>
      </w:r>
      <w:r>
        <w:rPr>
          <w:rFonts w:ascii="Times New Roman" w:hAnsi="Times New Roman"/>
          <w:lang w:val="en-US" w:eastAsia="el-GR"/>
        </w:rPr>
        <w:t>Studies</w:t>
      </w:r>
      <w:r>
        <w:rPr>
          <w:rFonts w:ascii="Times New Roman" w:hAnsi="Times New Roman"/>
          <w:lang w:eastAsia="el-GR"/>
        </w:rPr>
        <w:t>-</w:t>
      </w:r>
      <w:r>
        <w:rPr>
          <w:rFonts w:ascii="Times New Roman" w:hAnsi="Times New Roman"/>
          <w:lang w:val="en-US" w:eastAsia="el-GR"/>
        </w:rPr>
        <w:t>GWAS</w:t>
      </w:r>
      <w:r>
        <w:rPr>
          <w:rFonts w:ascii="Times New Roman" w:hAnsi="Times New Roman"/>
          <w:lang w:eastAsia="el-GR"/>
        </w:rPr>
        <w:t>)</w:t>
      </w:r>
      <w:r>
        <w:fldChar w:fldCharType="begin"/>
      </w:r>
      <w:r>
        <w:rPr>
          <w:rFonts w:ascii="Times New Roman" w:hAnsi="Times New Roman"/>
          <w:lang w:eastAsia="el-GR"/>
        </w:rPr>
        <w:instrText xml:space="preserve">ADDIN ZOTERO_ITEM CSL_CITATION {"citationID":"u4wngSuC","properties":{"formattedCitation":"[200]","plainCitation":"[200]","noteIndex":0},"citationItems":[{"id":3347,"uris":["http://zotero.org/users/local/WDVvZTBM/items/WYYKDT7N"],"itemData":{"id":3347,"type":"article-journal","abstract":"Background\nThe progress of genome-wide association studies (GWAS) in childhood obesity and its indicators is challenging and there are differences in genetic studies in children and adults.\n \nObject...","container-title":"Pediatric Obesity","DOI":"10.1111/ijpo.13077","ISSN":"2047-6310","issue":"12","language":"en","note":"publisher: John Wiley &amp; Sons, Ltd","page":"e13077","source":"onlinelibrary.wiley.com","title":"Development of genome-wide association studies on childhood obesity and its indicators: A scoping review and enrichment analysis","title-short":"Development of genome-wide association studies on childhood obesity and its indicators","volume":"18","author":[{"family":"Zhou","given":"Feixiang"},{"family":"Tian","given":"Gang"},{"family":"Cui","given":"Yiran"},{"family":"He","given":"Simin"},{"family":"Yan","given":"Yan"}],"issued":{"date-parts":[["2023",12,1]]}}}],"schema":"https://github.com/citation-style-language/schema/raw/master/csl-citation.json"}</w:instrText>
      </w:r>
      <w:r>
        <w:rPr>
          <w:rFonts w:ascii="Times New Roman" w:hAnsi="Times New Roman"/>
          <w:lang w:eastAsia="el-GR"/>
        </w:rPr>
      </w:r>
      <w:r>
        <w:rPr>
          <w:rFonts w:ascii="Times New Roman" w:hAnsi="Times New Roman"/>
          <w:lang w:eastAsia="el-GR"/>
        </w:rPr>
        <w:fldChar w:fldCharType="separate"/>
      </w:r>
      <w:r>
        <w:rPr>
          <w:rFonts w:ascii="Times New Roman" w:hAnsi="Times New Roman"/>
          <w:lang w:eastAsia="el-GR"/>
        </w:rPr>
        <w:t>[200]</w:t>
      </w:r>
      <w:r/>
      <w:r>
        <w:rPr>
          <w:rFonts w:ascii="Times New Roman" w:hAnsi="Times New Roman"/>
          <w:lang w:eastAsia="el-GR"/>
        </w:rPr>
        <w:fldChar w:fldCharType="end"/>
      </w:r>
      <w:r>
        <w:rPr>
          <w:rFonts w:ascii="Times New Roman" w:hAnsi="Times New Roman"/>
          <w:lang w:eastAsia="el-GR"/>
        </w:rPr>
      </w:r>
      <w:bookmarkEnd w:id="83"/>
    </w:p>
    <w:p>
      <w:pPr>
        <w:pStyle w:val="Heading2"/>
        <w:rPr/>
      </w:pPr>
      <w:bookmarkStart w:id="84" w:name="_Toc154923846"/>
      <w:r>
        <w:rPr/>
        <w:t xml:space="preserve">5.1 Μελέτες </w:t>
      </w:r>
      <w:r>
        <w:rPr>
          <w:lang w:val="en-US"/>
        </w:rPr>
        <w:t>GWAS</w:t>
      </w:r>
      <w:r>
        <w:rPr/>
        <w:t xml:space="preserve"> στο ΔΜΣ των παιδιών</w:t>
      </w:r>
      <w:bookmarkEnd w:id="84"/>
      <w:r>
        <w:rPr/>
        <w:t xml:space="preserve"> </w:t>
      </w:r>
    </w:p>
    <w:p>
      <w:pPr>
        <w:pStyle w:val="Normal"/>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s>
        <w:spacing w:lineRule="auto" w:line="360"/>
        <w:jc w:val="both"/>
        <w:rPr/>
      </w:pPr>
      <w:r>
        <w:rPr/>
        <w:tab/>
        <w:t xml:space="preserve">Τον Ιανουάριο του 2009, δημοσιεύτηκαν οι πρώτες </w:t>
      </w:r>
      <w:r>
        <w:rPr>
          <w:lang w:val="en-US"/>
        </w:rPr>
        <w:t>GWAS</w:t>
      </w:r>
      <w:r>
        <w:rPr/>
        <w:t xml:space="preserve"> του ΔΜΣ σε παιδιά </w:t>
      </w:r>
      <w:r>
        <w:fldChar w:fldCharType="begin"/>
      </w:r>
      <w:r>
        <w:rPr/>
        <w:instrText xml:space="preserve">ADDIN ZOTERO_ITEM CSL_CITATION {"citationID":"swv3K4Q1","properties":{"formattedCitation":"[201]","plainCitation":"[201]","noteIndex":0},"citationItems":[{"id":3302,"uris":["http://zotero.org/users/local/WDVvZTBM/items/TQWGUE4S"],"itemData":{"id":3302,"type":"article-journal","abstract":"We analyzed genome-wide association data from 1,380 Europeans with early-onset and morbid adult obesity and 1,416 age-matched normal-weight controls. Thirty-eight markers showing strong association were further evaluated in 14,186 European subjects. In addition to FTO and MC4R, we detected significa …","container-title":"Nature genetics","DOI":"10.1038/ng.301","ISSN":"1546-1718","issue":"2","language":"en","note":"publisher: Nat Genet\nPMID: 19151714","source":"pubmed.ncbi.nlm.nih.gov","title":"Genome-wide association study for early-onset and morbid adult obesity identifies three new risk loci in European populations","URL":"https://pubmed.ncbi.nlm.nih.gov/19151714/","volume":"41","author":[{"family":"D","given":"Meyre"},{"family":"J","given":"Delplanque"},{"family":"Jc","given":"Chèvre"},{"family":"C","given":"Lecoeur"},{"family":"S","given":"Lobbens"},{"family":"S","given":"Gallina"},{"family":"E","given":"Durand"},{"family":"V","given":"Vatin"},{"family":"F","given":"Degraeve"},{"family":"C","given":"Proença"},{"family":"S","given":"Gaget"},{"family":"A","given":"Körner"},{"family":"P","given":"Kovacs"},{"family":"W","given":"Kiess"},{"family":"J","given":"Tichet"},{"family":"M","given":"Marre"},{"family":"Al","given":"Hartikainen"},{"family":"F","given":"Horber"},{"family":"N","given":"Potoczna"},{"family":"S","given":"Hercberg"},{"family":"C","given":"Levy-Marchal"},{"family":"F","given":"Pattou"},{"family":"B","given":"Heude"},{"family":"M","given":"Tauber"},{"family":"Mi","given":"McCarthy"},{"family":"Ai","given":"Blakemore"},{"family":"A","given":"Montpetit"},{"family":"C","given":"Polychronakos"},{"family":"J","given":"Weill"},{"family":"Lj","given":"Coin"},{"family":"J","given":"Asher"},{"family":"P","given":"Elliott"},{"family":"Mr","given":"Järvelin"},{"family":"S","given":"Visvikis-Siest"},{"family":"B","given":"Balkau"},{"family":"R","given":"Sladek"},{"family":"D","given":"Balding"},{"family":"A","given":"Walley"},{"family":"C","given":"Dina"},{"family":"P","given":"Froguel"}],"accessed":{"date-parts":[["2023",12,6]]},"issued":{"date-parts":[["2009",2]]}}}],"schema":"https://github.com/citation-style-language/schema/raw/master/csl-citation.json"}</w:instrText>
      </w:r>
      <w:r>
        <w:rPr/>
      </w:r>
      <w:r>
        <w:rPr/>
        <w:fldChar w:fldCharType="separate"/>
      </w:r>
      <w:r>
        <w:rPr/>
        <w:t>[201]</w:t>
      </w:r>
      <w:r>
        <w:rPr/>
      </w:r>
      <w:r>
        <w:rPr/>
        <w:fldChar w:fldCharType="end"/>
      </w:r>
      <w:r>
        <w:rPr/>
        <w:t xml:space="preserve">. Μια ιντρονική παραλλαγή στο </w:t>
      </w:r>
      <w:r>
        <w:rPr>
          <w:lang w:val="en-US"/>
        </w:rPr>
        <w:t>FTO</w:t>
      </w:r>
      <w:r>
        <w:rPr/>
        <w:t xml:space="preserve"> (</w:t>
      </w:r>
      <w:r>
        <w:rPr>
          <w:lang w:val="en-US"/>
        </w:rPr>
        <w:t>rs</w:t>
      </w:r>
      <w:r>
        <w:rPr/>
        <w:t>1421085) ήταν το ισχυρότερο σήμα συσχέτισης στο στάδιο ανακάλυψης (</w:t>
      </w:r>
      <w:r>
        <w:rPr>
          <w:lang w:val="en-US"/>
        </w:rPr>
        <w:t>p</w:t>
      </w:r>
      <w:r>
        <w:rPr/>
        <w:t>=4,0 × 10-</w:t>
      </w:r>
      <w:r>
        <w:rPr>
          <w:vertAlign w:val="superscript"/>
        </w:rPr>
        <w:t>4</w:t>
      </w:r>
      <w:r>
        <w:rPr/>
        <w:t xml:space="preserve">), το οποίο επικυρώθηκε στο στάδιο αναπαραγωγής ( </w:t>
      </w:r>
      <w:r>
        <w:rPr>
          <w:lang w:val="en-US"/>
        </w:rPr>
        <w:t>p</w:t>
      </w:r>
      <w:r>
        <w:rPr/>
        <w:t>=1,9 × 10-</w:t>
      </w:r>
      <w:r>
        <w:rPr>
          <w:vertAlign w:val="superscript"/>
        </w:rPr>
        <w:t>8</w:t>
      </w:r>
      <w:r>
        <w:rPr/>
        <w:t>) σε 5291 παιδιά από τη Φινλανδία, μετρώντας το ΔΜΣ. Η μελέτη που δημοσιεύθηκε τον Οκτώβριο του 2011 σχεδιάστηκε για να αξιολογήσει τις συσχετίσεις 530 011 μονο-νουκλεοτιδικών πολυμορφισμών (</w:t>
      </w:r>
      <w:r>
        <w:rPr>
          <w:lang w:val="en-US"/>
        </w:rPr>
        <w:t>Single</w:t>
      </w:r>
      <w:r>
        <w:rPr/>
        <w:t>-</w:t>
      </w:r>
      <w:r>
        <w:rPr>
          <w:lang w:val="en-US"/>
        </w:rPr>
        <w:t>Nucleotide</w:t>
      </w:r>
      <w:r>
        <w:rPr/>
        <w:t>-</w:t>
      </w:r>
      <w:r>
        <w:rPr>
          <w:lang w:val="en-US"/>
        </w:rPr>
        <w:t>Polymorphism</w:t>
      </w:r>
      <w:r>
        <w:rPr/>
        <w:t>-</w:t>
      </w:r>
      <w:r>
        <w:rPr>
          <w:lang w:val="en-US"/>
        </w:rPr>
        <w:t>SNPs</w:t>
      </w:r>
      <w:r>
        <w:rPr/>
        <w:t xml:space="preserve">) με το ΔΜΣ και τη συνολική λιπώδη μάζα,  χρησιμοποιώντας 598 Γαλλοκαναδούς εφήβους ως πληθυσμό μελέτης </w:t>
      </w:r>
      <w:r>
        <w:fldChar w:fldCharType="begin"/>
      </w:r>
      <w:r>
        <w:rPr/>
        <w:instrText xml:space="preserve">ADDIN ZOTERO_ITEM CSL_CITATION {"citationID":"yLlRp9gp","properties":{"formattedCitation":"[202]","plainCitation":"[202]","noteIndex":0},"citationItems":[{"id":3305,"uris":["http://zotero.org/users/local/WDVvZTBM/items/3XAEUJMX"],"itemData":{"id":3305,"type":"article-journal","abstract":"Genome-wide association studies conducted in an adolescent founder population revealed two new and a number of previously identified loci of obesity and demonstrated that several but not all of these loci are also associated with elevated BP. These results begin to reveal the genetic architecture of …","container-title":"The Journal of clinical endocrinology and metabolism","DOI":"10.1210/jc.2011-1801","ISSN":"1945-7197","issue":"1","language":"en","note":"publisher: J Clin Endocrinol Metab\nPMID: 22013104","source":"pubmed.ncbi.nlm.nih.gov","title":"Genome-wide scan for loci of adolescent obesity and their relationship with blood pressure","URL":"https://pubmed.ncbi.nlm.nih.gov/22013104/","volume":"97","author":[{"family":"Mg","given":"Melka"},{"family":"M","given":"Bernard"},{"family":"A","given":"Mahboubi"},{"family":"M","given":"Abrahamowicz"},{"family":"Ad","given":"Paterson"},{"family":"C","given":"Syme"},{"family":"A","given":"Lourdusamy"},{"family":"G","given":"Schumann"},{"family":"Gt","given":"Leonard"},{"family":"M","given":"Perron"},{"family":"L","given":"Richer"},{"family":"S","given":"Veillette"},{"family":"D","given":"Gaudet"},{"family":"T","given":"Paus"},{"family":"Z","given":"Pausova"}],"accessed":{"date-parts":[["2023",12,6]]},"issued":{"date-parts":[["2012",1]]}}}],"schema":"https://github.com/citation-style-language/schema/raw/master/csl-citation.json"}</w:instrText>
      </w:r>
      <w:r>
        <w:rPr/>
      </w:r>
      <w:r>
        <w:rPr/>
        <w:fldChar w:fldCharType="separate"/>
      </w:r>
      <w:r>
        <w:rPr/>
        <w:t>[202]</w:t>
      </w:r>
      <w:r>
        <w:rPr/>
      </w:r>
      <w:r>
        <w:rPr/>
        <w:fldChar w:fldCharType="end"/>
      </w:r>
      <w:r>
        <w:rPr/>
        <w:t>. Ο τόπος (</w:t>
      </w:r>
      <w:r>
        <w:rPr>
          <w:lang w:val="en-US"/>
        </w:rPr>
        <w:t>rs</w:t>
      </w:r>
      <w:r>
        <w:rPr/>
        <w:t xml:space="preserve">7638110) στο </w:t>
      </w:r>
      <w:r>
        <w:rPr>
          <w:lang w:val="en-US"/>
        </w:rPr>
        <w:t>MRPS</w:t>
      </w:r>
      <w:r>
        <w:rPr/>
        <w:t>22 βρέθηκε να σχετίζεται με το γονιδίωμα με ΔΜΣ (</w:t>
      </w:r>
      <w:r>
        <w:rPr>
          <w:lang w:val="en-US"/>
        </w:rPr>
        <w:t>p</w:t>
      </w:r>
      <w:r>
        <w:rPr/>
        <w:t xml:space="preserve"> = 4,6 × 10¯³), και εξηγούσε το 5,2% της κληρονομικότητας του ΔΜΣ. Μια μελέτη που περιελάμβανε 815 παιδιά Ισπανόφωνων δημοσιεύθηκε τον Δεκέμβριο του 2012 </w:t>
      </w:r>
      <w:r>
        <w:fldChar w:fldCharType="begin"/>
      </w:r>
      <w:r>
        <w:rPr/>
        <w:instrText xml:space="preserve">ADDIN ZOTERO_ITEM CSL_CITATION {"citationID":"yQs7cpqZ","properties":{"formattedCitation":"[14]","plainCitation":"[14]","noteIndex":0},"citationItems":[{"id":2524,"uris":["http://zotero.org/users/local/WDVvZTBM/items/ZW4KXYQJ"],"itemData":{"id":2524,"type":"article-journal","container-title":"Plos One","DOI":"10.1371/journal.pone.0051954","title":"Novel Genetic Loci Identified for the Pathophysiology of Childhood Obesity in the Hispanic Population","author":[{"family":"Comuzzie","given":"Anthony G."},{"family":"Cole","given":"Shelley A."},{"family":"Laston","given":"Sandra"},{"family":"Voruganti","given":"V. Saroja"},{"family":"Haack","given":"Karin"},{"family":"Gibbs","given":"Richard A."},{"family":"Butte","given":"Nancy F."}],"issued":{"date-parts":[["2012"]]}}}],"schema":"https://github.com/citation-style-language/schema/raw/master/csl-citation.json"}</w:instrText>
      </w:r>
      <w:r>
        <w:rPr/>
      </w:r>
      <w:r>
        <w:rPr/>
        <w:fldChar w:fldCharType="separate"/>
      </w:r>
      <w:r>
        <w:rPr/>
        <w:t>[14]</w:t>
      </w:r>
      <w:r>
        <w:rPr/>
      </w:r>
      <w:r>
        <w:rPr/>
        <w:fldChar w:fldCharType="end"/>
      </w:r>
      <w:r>
        <w:rPr/>
        <w:t xml:space="preserve">. Παρόλο που αυτή η μελέτη διαπίστωσε ότι ορισμένα </w:t>
      </w:r>
      <w:r>
        <w:rPr>
          <w:lang w:val="en-US"/>
        </w:rPr>
        <w:t>SNP</w:t>
      </w:r>
      <w:r>
        <w:rPr/>
        <w:t xml:space="preserve">s δικαιολογούσαν τη σημαντικότητα του γονιδιώματος για τη γλυκόζη νηστείας, την ιντερλευκίνη-6, την κρεατινίνη ούρων και την ορμόνη διέγερσης του θυρεοειδούς, το πιο σημαντικό </w:t>
      </w:r>
      <w:r>
        <w:rPr>
          <w:lang w:val="en-US"/>
        </w:rPr>
        <w:t>SNP</w:t>
      </w:r>
      <w:r>
        <w:rPr/>
        <w:t xml:space="preserve"> για το ΔΜΣ ήταν το </w:t>
      </w:r>
      <w:r>
        <w:rPr>
          <w:lang w:val="en-US"/>
        </w:rPr>
        <w:t>rs</w:t>
      </w:r>
      <w:r>
        <w:rPr/>
        <w:t xml:space="preserve">1056513 ( </w:t>
      </w:r>
      <w:r>
        <w:rPr>
          <w:lang w:val="en-US"/>
        </w:rPr>
        <w:t>p</w:t>
      </w:r>
      <w:r>
        <w:rPr/>
        <w:t xml:space="preserve"> = 8,3 × 10-6). Υπήρχαν δύο μελέτες που δημοσιεύθηκαν το 2013. Τον Ιανουάριο, μια </w:t>
      </w:r>
      <w:r>
        <w:rPr>
          <w:lang w:val="en-US"/>
        </w:rPr>
        <w:t>GWAS</w:t>
      </w:r>
      <w:r>
        <w:rPr/>
        <w:t xml:space="preserve"> εντόπισε έναν τόπο πρόσληψης λίπους στο </w:t>
      </w:r>
      <w:r>
        <w:rPr>
          <w:lang w:val="en-US"/>
        </w:rPr>
        <w:t>OPRM</w:t>
      </w:r>
      <w:r>
        <w:rPr/>
        <w:t>1 (</w:t>
      </w:r>
      <w:r>
        <w:rPr>
          <w:lang w:val="en-US"/>
        </w:rPr>
        <w:t>rs</w:t>
      </w:r>
      <w:r>
        <w:rPr/>
        <w:t xml:space="preserve">2281617, </w:t>
      </w:r>
      <w:r>
        <w:rPr>
          <w:lang w:val="en-US"/>
        </w:rPr>
        <w:t>p</w:t>
      </w:r>
      <w:r>
        <w:rPr/>
        <w:t xml:space="preserve"> 5.2</w:t>
      </w:r>
      <w:r>
        <w:rPr>
          <w:lang w:val="en-US"/>
        </w:rPr>
        <w:t>x</w:t>
      </w:r>
      <w:r>
        <w:rPr/>
        <w:t xml:space="preserve"> 10-6), ο οποίος κωδικοποίησε έναν υποδοχέα που εκφραζόταν στο σύστημα ανταμοιβής του εγκεφάλου και είχε αποδειχθεί ότι ρυθμίζει την προτίμηση λίπους σε ζώα σε προηγούμενες μελέτες </w:t>
      </w:r>
      <w:r>
        <w:fldChar w:fldCharType="begin"/>
      </w:r>
      <w:r>
        <w:rPr>
          <w:lang w:val="en-US"/>
        </w:rPr>
        <w:instrText xml:space="preserve">ADDIN ZOTERO_ITEM CSL_CITATION {"citationID":"4UKDPBL7","properties":{"formattedCitation":"[203]","plainCitation":"[203]","noteIndex":0},"citationItems":[{"id":3311,"uris":["http://zotero.org/users/local/WDVvZTBM/items/SV63MFXQ"],"itemData":{"id":3311,"type":"article-journal","abstract":"Dietary preference for fat may increase risk for obesity. It is a complex behavior regulated in part by the amygdala, a brain structure involved in reward processing and food behavior, and modulated by genetic factors. Here, we conducted a genome-wide association study (GWAS) to search for gene loci …","container-title":"Molecular psychiatry","DOI":"10.1038/mp.2012.179","ISSN":"1476-5578","issue":"1","language":"en","note":"publisher: Mol Psychiatry\nPMID: 23337944","source":"pubmed.ncbi.nlm.nih.gov","title":"Opioid receptor mu 1 gene, fat intake and obesity in adolescence","URL":"https://pubmed.ncbi.nlm.nih.gov/23337944/","volume":"19","author":[{"family":"A","given":"Haghighi"},{"family":"Mg","given":"Melka"},{"family":"M","given":"Bernard"},{"family":"M","given":"Abrahamowicz"},{"family":"Gt","given":"Leonard"},{"family":"L","given":"Richer"},{"family":"M","given":"Perron"},{"family":"S","given":"Veillette"},{"family":"Cj","given":"Xu"},{"family":"Cm","given":"Greenwood"},{"family":"A","given":"Dias"},{"family":"A","given":"El-Sohemy"},{"family":"D","given":"Gaudet"},{"family":"T","given":"Paus"},{"family":"Z","given":"Pausova"}],"accessed":{"date-parts":[["2023",12,6]]},"issued":{"date-parts":[["2014",1]]}}}],"schema":"https://github.com/citation-style-language/schema/raw/master/csl-citation.json"}</w:instrText>
      </w:r>
      <w:r>
        <w:rPr>
          <w:lang w:val="en-US"/>
        </w:rPr>
      </w:r>
      <w:r>
        <w:rPr>
          <w:lang w:val="en-US"/>
        </w:rPr>
        <w:fldChar w:fldCharType="separate"/>
      </w:r>
      <w:r>
        <w:rPr>
          <w:lang w:val="en-US"/>
        </w:rPr>
      </w:r>
      <w:r>
        <w:rPr/>
        <w:t>[203]</w:t>
      </w:r>
      <w:r>
        <w:rPr>
          <w:lang w:val="en-US"/>
        </w:rPr>
      </w:r>
      <w:r>
        <w:rPr>
          <w:lang w:val="en-US"/>
        </w:rPr>
        <w:fldChar w:fldCharType="end"/>
      </w:r>
      <w:r>
        <w:rPr/>
        <w:t>. Αλλά αυτός ο τόπος είχε μια ενδεικτική επίδραση στον ΔΜΣ (</w:t>
      </w:r>
      <w:r>
        <w:rPr>
          <w:lang w:val="en-US"/>
        </w:rPr>
        <w:t>p</w:t>
      </w:r>
      <w:r>
        <w:rPr/>
        <w:t xml:space="preserve"> = 0,001) και δεν ήταν σημαντικός σε επίπεδο σημαντικότητας στο επίπεδο γονιδιώματος. Τον Δεκέμβριο, πραγματοποιήθηκε </w:t>
      </w:r>
      <w:r>
        <w:rPr>
          <w:lang w:val="en-US"/>
        </w:rPr>
        <w:t>GWAS</w:t>
      </w:r>
      <w:r>
        <w:rPr/>
        <w:t xml:space="preserve"> των </w:t>
      </w:r>
      <w:r>
        <w:rPr>
          <w:lang w:val="en-US"/>
        </w:rPr>
        <w:t>z</w:t>
      </w:r>
      <w:r>
        <w:rPr/>
        <w:t xml:space="preserve">-βαθμολογιών  </w:t>
      </w:r>
      <w:r>
        <w:rPr>
          <w:lang w:val="en-US"/>
        </w:rPr>
        <w:t>BMI</w:t>
      </w:r>
      <w:r>
        <w:rPr/>
        <w:t xml:space="preserve"> σε πέντε διαφορετικές κοόρτες γονότυπου βάσει ηλεκτρονικών ιατρικών αρχείων από δύο μεγάλα ακαδημαϊκά κέντρα, συμπεριλαμβανομένων 5049 συμμετεχόντων ευρωπαϊκής καταγωγής ηλικίας 2-19 ετών </w:t>
      </w:r>
      <w:r>
        <w:fldChar w:fldCharType="begin"/>
      </w:r>
      <w:r>
        <w:rPr/>
        <w:instrText xml:space="preserve">ADDIN ZOTERO_ITEM CSL_CITATION {"citationID":"2O08fuCn","properties":{"formattedCitation":"[204]","plainCitation":"[204]","noteIndex":0},"citationItems":[{"id":3314,"uris":["http://zotero.org/users/local/WDVvZTBM/items/44H5GWDZ"],"itemData":{"id":3314,"type":"article-journal","abstract":"Common variation at the loci harboring the fat mass and obesity gene (FTO), MC4R and TMEM18 are consistently reported as being associated with obesity and body mass index especially in adult population. In order to confirm this effect in pediatric population five European ancestry cohorts from pediatric eMERGE-II network (CCHMC-BCH) were evaluated. Method: Data on 5049 samples of European ancestry were obtained from the Electronic Medical Records (EMRs) of two large academic centers in five different genotyped cohorts. For all available samples, gender, age, height and weight were collected and Body Mass Index (BMI) was calculated. To account for age and sex differences in BMI, BMI z-scores were generated using 2000 Centers of Disease Control and Prevention (CDC) growth charts. A Genome-wide association study (GWAS) was performed with BMI z-score. After removing missing data and outliers based on principal components (PC) analyses, 2860 samples were used for the GWAS study. The association between each SNP and BMI was tested using linear regression adjusting for age, gender, and PC by cohort. The effects of SNPs were modeled assuming additive, recessive and dominant effects of the minor allele. Meta-analysis was conducted using a weighted z-score approach. Results: The mean age of subjects was 9.8 years (range 2-19). The proportion of male subjects was 56%. In these cohorts, 14% of samples had a BMI≥95% and 28%≥85%. Meta analyses produced a signal at 16q12 genomic region with the best result of p=1.43x10E-07 (p (rec)=7.34E-08) for the single nucleotide polymorphism (SNP) rs8050136 at the first intron of FTO gene (z=5.26) and with no heterogeneity between cohorts (p=0.77). Imputation in this region using dense 1000-Genome and Hapmap CEU samples revealed 71 SNPs with p","container-title":"Frontiers in Genetics","DOI":"10.3389/fgene.2013.00268","ISSN":"1664-8021","journalAbbreviation":"Front. Genet.","language":"English","note":"publisher: Frontiers","page":"68876","source":"www.frontiersin.org","title":"EMR-linked GWAS study: investigation of variation landscape of loci for body mass index in children","title-short":"EMR-linked GWAS study","volume":"4","author":[{"family":"Namjou","given":"Bahram"},{"family":"Keddache","given":"Mehdi"},{"family":"Marsolo","given":"Keith"},{"family":"Wagner","given":"Michael"},{"family":"Lingren","given":"Todd"},{"family":"Cobb","given":"Beth"},{"family":"Perry","given":"Cassandra"},{"family":"Kennebeck","given":"Stephanie"},{"family":"Holm","given":"Ingrid A."},{"family":"Li","given":"Rongling"},{"family":"Crimmins","given":"Nancy A."},{"family":"Martin","given":"Lisa"},{"family":"Solti","given":"Imre"},{"family":"Kohane","given":"Isaac"},{"family":"Harley","given":"John B."}],"issued":{"date-parts":[["2013",12,3]]}}}],"schema":"https://github.com/citation-style-language/schema/raw/master/csl-citation.json"}</w:instrText>
      </w:r>
      <w:r>
        <w:rPr/>
      </w:r>
      <w:r>
        <w:rPr/>
        <w:fldChar w:fldCharType="separate"/>
      </w:r>
      <w:r>
        <w:rPr/>
        <w:t>[204]</w:t>
      </w:r>
      <w:r>
        <w:rPr/>
      </w:r>
      <w:r>
        <w:rPr/>
        <w:fldChar w:fldCharType="end"/>
      </w:r>
      <w:r>
        <w:rPr/>
        <w:t xml:space="preserve">. </w:t>
      </w:r>
      <w:r>
        <w:rPr>
          <w:lang w:val="en-US"/>
        </w:rPr>
        <w:t>The</w:t>
      </w:r>
      <w:r>
        <w:rPr/>
        <w:t xml:space="preserve"> 2000, τα διαγράμματα ανάπτυξης από τα Κέντρα Ελέγχου και Πρόληψης Ασθενειών χρησιμοποιήθηκαν ως το πρότυπο για τη δημιουργία z-βαθμολογιών </w:t>
      </w:r>
      <w:r>
        <w:rPr>
          <w:lang w:val="en-US"/>
        </w:rPr>
        <w:t>BMI</w:t>
      </w:r>
      <w:r>
        <w:rPr/>
        <w:t xml:space="preserve">. Τα </w:t>
      </w:r>
      <w:r>
        <w:rPr>
          <w:lang w:val="en-US"/>
        </w:rPr>
        <w:t>SNP</w:t>
      </w:r>
      <w:r>
        <w:rPr/>
        <w:t xml:space="preserve">s που σχετίζονται περισσότερο με τις </w:t>
      </w:r>
      <w:r>
        <w:rPr>
          <w:lang w:val="en-US"/>
        </w:rPr>
        <w:t>z</w:t>
      </w:r>
      <w:r>
        <w:rPr/>
        <w:t xml:space="preserve">-βαθμολογίες </w:t>
      </w:r>
      <w:r>
        <w:rPr>
          <w:lang w:val="en-US"/>
        </w:rPr>
        <w:t>BMI</w:t>
      </w:r>
      <w:r>
        <w:rPr/>
        <w:t xml:space="preserve"> βρέθηκαν στο </w:t>
      </w:r>
      <w:r>
        <w:rPr>
          <w:lang w:val="en-US"/>
        </w:rPr>
        <w:t>FTO</w:t>
      </w:r>
      <w:r>
        <w:rPr/>
        <w:t xml:space="preserve"> (</w:t>
      </w:r>
      <w:r>
        <w:rPr>
          <w:lang w:val="en-US"/>
        </w:rPr>
        <w:t>rs</w:t>
      </w:r>
      <w:r>
        <w:rPr/>
        <w:t xml:space="preserve">8050136, </w:t>
      </w:r>
      <w:r>
        <w:rPr>
          <w:lang w:val="en-US"/>
        </w:rPr>
        <w:t>Padditive</w:t>
      </w:r>
      <w:r>
        <w:rPr/>
        <w:t xml:space="preserve"> = 1,43 </w:t>
      </w:r>
      <w:r>
        <w:rPr>
          <w:lang w:val="en-US"/>
        </w:rPr>
        <w:t>x</w:t>
      </w:r>
      <w:r>
        <w:rPr/>
        <w:t xml:space="preserve"> 10-</w:t>
      </w:r>
      <w:r>
        <w:rPr>
          <w:vertAlign w:val="superscript"/>
        </w:rPr>
        <w:t>7</w:t>
      </w:r>
      <w:r>
        <w:rPr/>
        <w:t xml:space="preserve">: </w:t>
      </w:r>
      <w:r>
        <w:rPr>
          <w:lang w:val="en-US"/>
        </w:rPr>
        <w:t>rs</w:t>
      </w:r>
      <w:r>
        <w:rPr/>
        <w:t xml:space="preserve">1421085, </w:t>
      </w:r>
      <w:r>
        <w:rPr>
          <w:lang w:val="en-US"/>
        </w:rPr>
        <w:t>Precessive</w:t>
      </w:r>
      <w:r>
        <w:rPr/>
        <w:t xml:space="preserve"> = 8,21 × 10-</w:t>
      </w:r>
      <w:r>
        <w:rPr>
          <w:vertAlign w:val="superscript"/>
        </w:rPr>
        <w:t>2</w:t>
      </w:r>
      <w:r>
        <w:rPr/>
        <w:t xml:space="preserve">) και κοντά στο </w:t>
      </w:r>
      <w:r>
        <w:rPr>
          <w:lang w:val="en-US"/>
        </w:rPr>
        <w:t>MC</w:t>
      </w:r>
      <w:r>
        <w:rPr/>
        <w:t>4</w:t>
      </w:r>
      <w:r>
        <w:rPr>
          <w:lang w:val="en-US"/>
        </w:rPr>
        <w:t>R</w:t>
      </w:r>
      <w:r>
        <w:rPr/>
        <w:t xml:space="preserve"> (</w:t>
      </w:r>
      <w:r>
        <w:rPr>
          <w:lang w:val="en-US"/>
        </w:rPr>
        <w:t>rs</w:t>
      </w:r>
      <w:r>
        <w:rPr/>
        <w:t xml:space="preserve">12964056, </w:t>
      </w:r>
      <w:r>
        <w:rPr>
          <w:lang w:val="en-US"/>
        </w:rPr>
        <w:t>Pdominant</w:t>
      </w:r>
      <w:r>
        <w:rPr/>
        <w:t xml:space="preserve"> = 4,96 </w:t>
      </w:r>
      <w:r>
        <w:rPr>
          <w:lang w:val="en-US"/>
        </w:rPr>
        <w:t>x</w:t>
      </w:r>
      <w:r>
        <w:rPr/>
        <w:t xml:space="preserve"> 10</w:t>
      </w:r>
      <w:r>
        <w:rPr>
          <w:vertAlign w:val="superscript"/>
        </w:rPr>
        <w:t>-6</w:t>
      </w:r>
      <w:r>
        <w:rPr/>
        <w:t xml:space="preserve">) σε προσθετικά, υπολειπόμενα και κυρίαρχα μοντέλα. </w:t>
      </w:r>
    </w:p>
    <w:p>
      <w:pPr>
        <w:pStyle w:val="Normal"/>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s>
        <w:spacing w:lineRule="auto" w:line="360"/>
        <w:jc w:val="both"/>
        <w:rPr/>
      </w:pPr>
      <w:r>
        <w:rPr/>
        <w:tab/>
        <w:t xml:space="preserve">Τον Ιούλιο του 2014 δημοσιεύτηκε μια </w:t>
      </w:r>
      <w:r>
        <w:rPr>
          <w:lang w:val="en-US"/>
        </w:rPr>
        <w:t>GWAS</w:t>
      </w:r>
      <w:r>
        <w:rPr/>
        <w:t xml:space="preserve"> ρυθμισμένου ύψους ΔΜΣ (</w:t>
      </w:r>
      <w:r>
        <w:rPr>
          <w:lang w:val="en-US"/>
        </w:rPr>
        <w:t>BMI</w:t>
      </w:r>
      <w:r>
        <w:rPr/>
        <w:t>[</w:t>
      </w:r>
      <w:r>
        <w:rPr>
          <w:lang w:val="en-US"/>
        </w:rPr>
        <w:t>x</w:t>
      </w:r>
      <w:r>
        <w:rPr/>
        <w:t>]=βάρος/ύψος</w:t>
      </w:r>
      <w:r>
        <w:rPr>
          <w:vertAlign w:val="superscript"/>
        </w:rPr>
        <w:t>x</w:t>
      </w:r>
      <w:r>
        <w:rPr/>
        <w:t xml:space="preserve">) βάσει 5809 ευρωπαϊκών παιδιών (μέση ηλικία 9,9 ετών) από την </w:t>
      </w:r>
      <w:r>
        <w:rPr>
          <w:lang w:val="en-US"/>
        </w:rPr>
        <w:t>Avon</w:t>
      </w:r>
      <w:r>
        <w:rPr/>
        <w:t xml:space="preserve"> </w:t>
      </w:r>
      <w:r>
        <w:rPr>
          <w:lang w:val="en-US"/>
        </w:rPr>
        <w:t>Longitudinal</w:t>
      </w:r>
      <w:r>
        <w:rPr/>
        <w:t xml:space="preserve"> </w:t>
      </w:r>
      <w:r>
        <w:rPr>
          <w:lang w:val="en-US"/>
        </w:rPr>
        <w:t>Study</w:t>
      </w:r>
      <w:r>
        <w:rPr/>
        <w:t xml:space="preserve"> </w:t>
      </w:r>
      <w:r>
        <w:rPr>
          <w:lang w:val="en-US"/>
        </w:rPr>
        <w:t>of</w:t>
      </w:r>
      <w:r>
        <w:rPr/>
        <w:t xml:space="preserve"> </w:t>
      </w:r>
      <w:r>
        <w:rPr>
          <w:lang w:val="en-US"/>
        </w:rPr>
        <w:t>Parents</w:t>
      </w:r>
      <w:r>
        <w:rPr/>
        <w:t xml:space="preserve"> </w:t>
      </w:r>
      <w:r>
        <w:rPr>
          <w:lang w:val="en-US"/>
        </w:rPr>
        <w:t>and</w:t>
      </w:r>
      <w:r>
        <w:rPr/>
        <w:t xml:space="preserve"> </w:t>
      </w:r>
      <w:r>
        <w:rPr>
          <w:lang w:val="en-US"/>
        </w:rPr>
        <w:t>Children</w:t>
      </w:r>
      <w:r>
        <w:rPr/>
        <w:t xml:space="preserve"> (</w:t>
      </w:r>
      <w:r>
        <w:rPr>
          <w:lang w:val="en-US"/>
        </w:rPr>
        <w:t>ALSPAC</w:t>
      </w:r>
      <w:r>
        <w:rPr/>
        <w:t xml:space="preserve">) </w:t>
      </w:r>
      <w:r>
        <w:fldChar w:fldCharType="begin"/>
      </w:r>
      <w:r>
        <w:rPr/>
        <w:instrText xml:space="preserve">ADDIN ZOTERO_ITEM CSL_CITATION {"citationID":"YKXsADsT","properties":{"formattedCitation":"[205]","plainCitation":"[205]","noteIndex":0},"citationItems":[{"id":3317,"uris":["http://zotero.org/users/local/WDVvZTBM/items/DRQNSDSI"],"itemData":{"id":3317,"type":"article-journal","abstract":"Analysis of BMI[x] showed differences to that of conventional BMI. The association signal at ADCY3 appeared to be driven by a missense variant and it was strongly correlated with expression of this gene. Our work highlights the importance of well understood phenotype use (and the danger of conventio …","container-title":"Obesity (Silver Spring, Md.)","DOI":"10.1002/oby.20840","ISSN":"1930-739X","issue":"10","language":"en","note":"publisher: Obesity (Silver Spring)\nPMID: 25044758","source":"pubmed.ncbi.nlm.nih.gov","title":"Genome-wide association study of height-adjusted BMI in childhood identifies functional variant in ADCY3","URL":"https://pubmed.ncbi.nlm.nih.gov/25044758/","volume":"22","author":[{"family":"E","given":"Stergiakouli"},{"family":"R","given":"Gaillard"},{"family":"Jm","given":"Tavaré"},{"family":"N","given":"Balthasar"},{"family":"Rj","given":"Loos"},{"family":"Hr","given":"Taal"},{"family":"Dm","given":"Evans"},{"family":"F","given":"Rivadeneira"},{"family":"B","given":"St Pourcain"},{"family":"Ag","given":"Uitterlinden"},{"family":"Jp","given":"Kemp"},{"family":"A","given":"Hofman"},{"family":"Sm","given":"Ring"},{"family":"Tj","given":"Cole"},{"family":"Vw","given":"Jaddoe"},{"family":"G","given":"Davey Smith"},{"family":"Nj","given":"Timpson"}],"accessed":{"date-parts":[["2023",12,6]]},"issued":{"date-parts":[["2014",10]]}}}],"schema":"https://github.com/citation-style-language/schema/raw/master/csl-citation.json"}</w:instrText>
      </w:r>
      <w:r>
        <w:rPr/>
      </w:r>
      <w:r>
        <w:rPr/>
        <w:fldChar w:fldCharType="separate"/>
      </w:r>
      <w:r>
        <w:rPr/>
        <w:t>[205]</w:t>
      </w:r>
      <w:r>
        <w:rPr/>
      </w:r>
      <w:r>
        <w:rPr/>
        <w:fldChar w:fldCharType="end"/>
      </w:r>
      <w:r>
        <w:rPr/>
        <w:t xml:space="preserve">. Η δύναμη </w:t>
      </w:r>
      <w:r>
        <w:rPr>
          <w:lang w:val="en-US"/>
        </w:rPr>
        <w:t>x</w:t>
      </w:r>
      <w:r>
        <w:rPr/>
        <w:t xml:space="preserve"> του ύψους είναι συνήθως 2 για να προσδιορίσει το ΔΜΣ για τους ενήλικες. Για τις ηλικίες 8-12 ετών, ο ΔΜΣ (</w:t>
      </w:r>
      <w:r>
        <w:rPr>
          <w:lang w:val="en-US"/>
        </w:rPr>
        <w:t>x</w:t>
      </w:r>
      <w:r>
        <w:rPr/>
        <w:t xml:space="preserve"> = 3,1) είχε τον χαμηλότερο συντελεστή συσχέτισης με το ύψος, που ήταν μια πιο στενή μέτρηση της παχυσαρκίας ανεξάρτητα από τον χρόνο εφηβείας. Το </w:t>
      </w:r>
      <w:r>
        <w:rPr>
          <w:lang w:val="en-US"/>
        </w:rPr>
        <w:t>Rs</w:t>
      </w:r>
      <w:r>
        <w:rPr/>
        <w:t>1558902 (</w:t>
      </w:r>
      <w:r>
        <w:rPr>
          <w:lang w:val="en-US"/>
        </w:rPr>
        <w:t>p</w:t>
      </w:r>
      <w:r>
        <w:rPr/>
        <w:t xml:space="preserve">= 9,00 </w:t>
      </w:r>
      <w:r>
        <w:rPr>
          <w:lang w:val="en-US"/>
        </w:rPr>
        <w:t>x</w:t>
      </w:r>
      <w:r>
        <w:rPr/>
        <w:t xml:space="preserve"> 10-</w:t>
      </w:r>
      <w:r>
        <w:rPr>
          <w:vertAlign w:val="superscript"/>
        </w:rPr>
        <w:t>10</w:t>
      </w:r>
      <w:r>
        <w:rPr/>
        <w:t xml:space="preserve">) στο </w:t>
      </w:r>
      <w:r>
        <w:rPr>
          <w:lang w:val="en-US"/>
        </w:rPr>
        <w:t>FTO</w:t>
      </w:r>
      <w:r>
        <w:rPr/>
        <w:t xml:space="preserve"> και το </w:t>
      </w:r>
      <w:r>
        <w:rPr>
          <w:lang w:val="en-US"/>
        </w:rPr>
        <w:t>rs</w:t>
      </w:r>
      <w:r>
        <w:rPr/>
        <w:t>11676272 (</w:t>
      </w:r>
      <w:r>
        <w:rPr>
          <w:lang w:val="en-US"/>
        </w:rPr>
        <w:t>p</w:t>
      </w:r>
      <w:r>
        <w:rPr/>
        <w:t xml:space="preserve"> = 4,00 × 10-</w:t>
      </w:r>
      <w:r>
        <w:rPr>
          <w:vertAlign w:val="superscript"/>
        </w:rPr>
        <w:t>9</w:t>
      </w:r>
      <w:r>
        <w:rPr/>
        <w:t xml:space="preserve">) στο </w:t>
      </w:r>
      <w:r>
        <w:rPr>
          <w:lang w:val="en-US"/>
        </w:rPr>
        <w:t>ADCY</w:t>
      </w:r>
      <w:r>
        <w:rPr/>
        <w:t>3 συσχετίστηκαν με το ΔΜΣ (</w:t>
      </w:r>
      <w:r>
        <w:rPr>
          <w:lang w:val="en-US"/>
        </w:rPr>
        <w:t>x</w:t>
      </w:r>
      <w:r>
        <w:rPr/>
        <w:t xml:space="preserve"> = 3,1) σε επίπεδο σημαντικότητας σε επίπεδο γονιδιώματος. Όταν πραγματοποιήθηκε </w:t>
      </w:r>
      <w:r>
        <w:rPr>
          <w:lang w:val="en-US"/>
        </w:rPr>
        <w:t>GWAS</w:t>
      </w:r>
      <w:r>
        <w:rPr/>
        <w:t xml:space="preserve"> για συμβατικό ΔΜΣ (</w:t>
      </w:r>
      <w:r>
        <w:rPr>
          <w:lang w:val="en-US"/>
        </w:rPr>
        <w:t>x</w:t>
      </w:r>
      <w:r>
        <w:rPr/>
        <w:t xml:space="preserve"> = 2) προσαρμοσμένο ως προς το ύψος, το </w:t>
      </w:r>
      <w:r>
        <w:rPr>
          <w:lang w:val="en-US"/>
        </w:rPr>
        <w:t>rs</w:t>
      </w:r>
      <w:r>
        <w:rPr/>
        <w:t>11676272 παρέμεινε σημαντικό σε όλο το γονιδίωμα (ρ = 6,00 × 10</w:t>
      </w:r>
      <w:r>
        <w:rPr>
          <w:vertAlign w:val="superscript"/>
        </w:rPr>
        <w:t>-9</w:t>
      </w:r>
      <w:r>
        <w:rPr/>
        <w:t xml:space="preserve">). Τον Μάιο του 2015, τέσσερεις </w:t>
      </w:r>
      <w:r>
        <w:rPr>
          <w:lang w:val="en-US"/>
        </w:rPr>
        <w:t>SNPs</w:t>
      </w:r>
      <w:r>
        <w:rPr/>
        <w:t xml:space="preserve"> βρέθηκαν να έχουν σημαντικές συσχετίσεις σε όλο το γονιδίωμα με το ΔΜΣ σε παιδιά ηλικίας 1-17 ετών με ανάλυση ανακάλυψης (</w:t>
      </w:r>
      <w:r>
        <w:rPr>
          <w:lang w:val="en-US"/>
        </w:rPr>
        <w:t>n</w:t>
      </w:r>
      <w:r>
        <w:rPr/>
        <w:t xml:space="preserve"> = 9377) στο </w:t>
      </w:r>
      <w:r>
        <w:rPr>
          <w:lang w:val="en-US"/>
        </w:rPr>
        <w:t>ALSPAC</w:t>
      </w:r>
      <w:r>
        <w:rPr/>
        <w:t xml:space="preserve"> και στη μελέτη και ανάλυση αντιγραφής της κοόρτης εγκυμοσύνης της Δυτικής Αυστραλίας (</w:t>
      </w:r>
      <w:r>
        <w:rPr>
          <w:lang w:val="en-US"/>
        </w:rPr>
        <w:t>Raine</w:t>
      </w:r>
      <w:r>
        <w:rPr/>
        <w:t>) (</w:t>
      </w:r>
      <w:r>
        <w:rPr>
          <w:lang w:val="en-US"/>
        </w:rPr>
        <w:t>n</w:t>
      </w:r>
      <w:r>
        <w:rPr/>
        <w:t xml:space="preserve"> = 3918) στη κοόρτη γέννησης της Βόρειας Φινλανδίας του 1966 (</w:t>
      </w:r>
      <w:r>
        <w:rPr>
          <w:lang w:val="en-US"/>
        </w:rPr>
        <w:t>NFBC</w:t>
      </w:r>
      <w:r>
        <w:rPr/>
        <w:t xml:space="preserve">1966) </w:t>
      </w:r>
      <w:r>
        <w:fldChar w:fldCharType="begin"/>
      </w:r>
      <w:r>
        <w:rPr/>
        <w:instrText xml:space="preserve">ADDIN ZOTERO_ITEM CSL_CITATION {"citationID":"lkcgpsbR","properties":{"formattedCitation":"[206]","plainCitation":"[206]","noteIndex":0},"citationItems":[{"id":3321,"uris":["http://zotero.org/users/local/WDVvZTBM/items/NHABACZ8"],"itemData":{"id":3321,"type":"article-journal","abstract":"This GWAS of BMI trajectories over childhood identified a novel locus that warrants further investigation. We also observed genome-wide significance with previously established obesity loci, making the novel observation that these loci affected both the level and the rate of change in BMI. We have d …","container-title":"International journal of epidemiology","DOI":"10.1093/ije/dyv077","ISSN":"1464-3685","issue":"2","language":"en","note":"publisher: Int J Epidemiol\nPMID: 25953783","source":"pubmed.ncbi.nlm.nih.gov","title":"A genome-wide association study of body mass index across early life and childhood","URL":"https://pubmed.ncbi.nlm.nih.gov/25953783/","volume":"44","author":[{"family":"Nm","given":"Warrington"},{"family":"Ld","given":"Howe"},{"family":"L","given":"Paternoster"},{"family":"M","given":"Kaakinen"},{"family":"S","given":"Herrala"},{"family":"V","given":"Huikari"},{"family":"Yy","given":"Wu"},{"family":"Jp","given":"Kemp"},{"family":"Nj","given":"Timpson"},{"family":"B","given":"St Pourcain"},{"family":"G","given":"Davey Smith"},{"family":"K","given":"Tilling"},{"family":"Mr","given":"Jarvelin"},{"family":"Ce","given":"Pennell"},{"family":"Dm","given":"Evans"},{"family":"Da","given":"Lawlor"},{"family":"L","given":"Briollais"},{"family":"Lj","given":"Palmer"}],"accessed":{"date-parts":[["2023",12,6]]},"issued":{"date-parts":[["2015",4]]}}}],"schema":"https://github.com/citation-style-language/schema/raw/master/csl-citation.json"}</w:instrText>
      </w:r>
      <w:r>
        <w:rPr/>
      </w:r>
      <w:r>
        <w:rPr/>
        <w:fldChar w:fldCharType="separate"/>
      </w:r>
      <w:r>
        <w:rPr/>
        <w:t>[206]</w:t>
      </w:r>
      <w:r>
        <w:rPr/>
      </w:r>
      <w:r>
        <w:rPr/>
        <w:fldChar w:fldCharType="end"/>
      </w:r>
      <w:r>
        <w:rPr/>
        <w:t xml:space="preserve">.  Αυτά τα τέσσερα </w:t>
      </w:r>
      <w:r>
        <w:rPr>
          <w:lang w:val="en-US"/>
        </w:rPr>
        <w:t>SNPs</w:t>
      </w:r>
      <w:r>
        <w:rPr/>
        <w:t xml:space="preserve"> </w:t>
      </w:r>
      <w:r>
        <w:rPr>
          <w:lang w:val="en-US"/>
        </w:rPr>
        <w:t>arers</w:t>
      </w:r>
      <w:r>
        <w:rPr/>
        <w:t>11676272 (</w:t>
      </w:r>
      <w:r>
        <w:rPr>
          <w:lang w:val="en-US"/>
        </w:rPr>
        <w:t>ADCY</w:t>
      </w:r>
      <w:r>
        <w:rPr/>
        <w:t xml:space="preserve">3, </w:t>
      </w:r>
      <w:r>
        <w:rPr>
          <w:lang w:val="en-US"/>
        </w:rPr>
        <w:t>p</w:t>
      </w:r>
      <w:r>
        <w:rPr/>
        <w:t xml:space="preserve">=1,12 </w:t>
      </w:r>
      <w:r>
        <w:rPr>
          <w:lang w:val="en-US"/>
        </w:rPr>
        <w:t>x</w:t>
      </w:r>
      <w:r>
        <w:rPr/>
        <w:t xml:space="preserve"> 10</w:t>
      </w:r>
      <w:r>
        <w:rPr>
          <w:vertAlign w:val="superscript"/>
        </w:rPr>
        <w:t xml:space="preserve">-10), </w:t>
      </w:r>
      <w:r>
        <w:rPr>
          <w:lang w:val="en-US"/>
        </w:rPr>
        <w:t>rs</w:t>
      </w:r>
      <w:r>
        <w:rPr/>
        <w:t>12429545 (</w:t>
      </w:r>
      <w:r>
        <w:rPr>
          <w:lang w:val="en-US"/>
        </w:rPr>
        <w:t>OLFM</w:t>
      </w:r>
      <w:r>
        <w:rPr/>
        <w:t>4/</w:t>
      </w:r>
      <w:r>
        <w:rPr>
          <w:lang w:val="en-US"/>
        </w:rPr>
        <w:t>PCDH</w:t>
      </w:r>
      <w:r>
        <w:rPr/>
        <w:t>8</w:t>
      </w:r>
      <w:r>
        <w:rPr>
          <w:lang w:val="en-US"/>
        </w:rPr>
        <w:t>P</w:t>
      </w:r>
      <w:r>
        <w:rPr/>
        <w:t>1, p=5,58</w:t>
      </w:r>
      <w:r>
        <w:rPr>
          <w:lang w:val="en-US"/>
        </w:rPr>
        <w:t>x</w:t>
      </w:r>
      <w:r>
        <w:rPr/>
        <w:t>10</w:t>
      </w:r>
      <w:r>
        <w:rPr>
          <w:vertAlign w:val="superscript"/>
        </w:rPr>
        <w:t>−9</w:t>
      </w:r>
      <w:r>
        <w:rPr/>
        <w:t xml:space="preserve">, </w:t>
      </w:r>
      <w:r>
        <w:rPr>
          <w:lang w:val="en-US"/>
        </w:rPr>
        <w:t>rs</w:t>
      </w:r>
      <w:r>
        <w:rPr/>
        <w:t>1558902 (</w:t>
      </w:r>
      <w:r>
        <w:rPr>
          <w:lang w:val="en-US"/>
        </w:rPr>
        <w:t>FTO</w:t>
      </w:r>
      <w:r>
        <w:rPr/>
        <w:t xml:space="preserve">, </w:t>
      </w:r>
      <w:r>
        <w:rPr>
          <w:lang w:val="en-US"/>
        </w:rPr>
        <w:t>p</w:t>
      </w:r>
      <w:r>
        <w:rPr/>
        <w:t xml:space="preserve">=1,24. = 1,24 </w:t>
      </w:r>
      <w:r>
        <w:rPr>
          <w:lang w:val="en-US"/>
        </w:rPr>
        <w:t>x</w:t>
      </w:r>
      <w:r>
        <w:rPr/>
        <w:t xml:space="preserve"> 10-</w:t>
      </w:r>
      <w:r>
        <w:rPr>
          <w:vertAlign w:val="superscript"/>
        </w:rPr>
        <w:t>26)</w:t>
      </w:r>
      <w:r>
        <w:rPr/>
        <w:t xml:space="preserve"> και </w:t>
      </w:r>
      <w:r>
        <w:rPr>
          <w:lang w:val="en-US"/>
        </w:rPr>
        <w:t>rs</w:t>
      </w:r>
      <w:r>
        <w:rPr/>
        <w:t>571312 (</w:t>
      </w:r>
      <w:r>
        <w:rPr>
          <w:lang w:val="en-US"/>
        </w:rPr>
        <w:t>MC</w:t>
      </w:r>
      <w:r>
        <w:rPr/>
        <w:t>4</w:t>
      </w:r>
      <w:r>
        <w:rPr>
          <w:lang w:val="en-US"/>
        </w:rPr>
        <w:t>R</w:t>
      </w:r>
      <w:r>
        <w:rPr/>
        <w:t>/</w:t>
      </w:r>
      <w:r>
        <w:rPr>
          <w:lang w:val="en-US"/>
        </w:rPr>
        <w:t>RPS</w:t>
      </w:r>
      <w:r>
        <w:rPr/>
        <w:t>3</w:t>
      </w:r>
      <w:r>
        <w:rPr>
          <w:lang w:val="en-US"/>
        </w:rPr>
        <w:t>AP</w:t>
      </w:r>
      <w:r>
        <w:rPr/>
        <w:t xml:space="preserve">49, </w:t>
      </w:r>
      <w:r>
        <w:rPr>
          <w:lang w:val="en-US"/>
        </w:rPr>
        <w:t>P</w:t>
      </w:r>
      <w:r>
        <w:rPr/>
        <w:t xml:space="preserve"> = 3,95 × 10-</w:t>
      </w:r>
      <w:r>
        <w:rPr>
          <w:vertAlign w:val="superscript"/>
        </w:rPr>
        <w:t>9</w:t>
      </w:r>
      <w:r>
        <w:rPr/>
        <w:t xml:space="preserve">). Τα αποτελέσματα μιας μεγάλης μετα-ανάλυσης της </w:t>
      </w:r>
      <w:r>
        <w:rPr>
          <w:lang w:val="en-US"/>
        </w:rPr>
        <w:t>GWAS</w:t>
      </w:r>
      <w:r>
        <w:rPr/>
        <w:t xml:space="preserve"> του παιδικού ΔΜΣ σε 47.541 παιδιά στην Ευρώπη παρουσιάστηκαν τον Νοέμβριο του 2015 </w:t>
      </w:r>
      <w:r>
        <w:fldChar w:fldCharType="begin"/>
      </w:r>
      <w:r>
        <w:rPr/>
        <w:instrText xml:space="preserve">ADDIN ZOTERO_ITEM CSL_CITATION {"citationID":"we0CD1OX","properties":{"formattedCitation":"[207]","plainCitation":"[207]","noteIndex":0},"citationItems":[{"id":3325,"uris":["http://zotero.org/users/local/WDVvZTBM/items/BS8SXRG4"],"itemData":{"id":3325,"type":"article-journal","abstract":"A large number of genetic loci are associated with adult body mass index. However, the genetics of childhood body mass index are largely unknown. We performed a meta-analysis of genome-wide association studies of childhood body mass index, using sex- and age-adjusted standard deviation scores. We in …","container-title":"Human molecular genetics","DOI":"10.1093/hmg/ddv472","ISSN":"1460-2083","issue":"2","language":"en","note":"publisher: Hum Mol Genet\nPMID: 26604143","source":"pubmed.ncbi.nlm.nih.gov","title":"Genome-wide association analysis identifies three new susceptibility loci for childhood body mass index","URL":"https://pubmed.ncbi.nlm.nih.gov/26604143/","volume":"25","author":[{"family":"Jf","given":"Felix"},{"family":"Jp","given":"Bradfield"},{"family":"C","given":"Monnereau"},{"family":"Rj","given":"van der Valk"},{"family":"E","given":"Stergiakouli"},{"family":"A","given":"Chesi"},{"family":"R","given":"Gaillard"},{"family":"B","given":"Feenstra"},{"family":"E","given":"Thiering"},{"family":"E","given":"Kreiner-Møller"},{"family":"A","given":"Mahajan"},{"family":"N","given":"Pitkänen"},{"family":"R","given":"Joro"},{"family":"A","given":"Cavadino"},{"family":"V","given":"Huikari"},{"family":"S","given":"Franks"},{"family":"Mm","given":"Groen-Blokhuis"},{"family":"Dl","given":"Cousminer"},{"family":"Ja","given":"Marsh"},{"family":"T","given":"Lehtimäki"},{"family":"Ja","given":"Curtin"},{"family":"J","given":"Vioque"},{"family":"Ts","given":"Ahluwalia"},{"family":"R","given":"Myhre"},{"family":"Ts","given":"Price"},{"family":"N","given":"Vilor-Tejedor"},{"family":"L","given":"Yengo"},{"family":"N","given":"Grarup"},{"family":"I","given":"Ntalla"},{"family":"W","given":"Ang"},{"family":"M","given":"Atalay"},{"family":"H","given":"Bisgaard"},{"family":"Ai","given":"Blakemore"},{"family":"A","given":"Bonnefond"},{"family":"L","given":"Carstensen"},{"family":"J","given":"Eriksson"},{"family":"C","given":"Flexeder"},{"family":"L","given":"Franke"},{"family":"F","given":"Geller"},{"family":"M","given":"Geserick"},{"family":"Al","given":"Hartikainen"},{"family":"Cm","given":"Haworth"},{"family":"Jn","given":"Hirschhorn"},{"family":"A","given":"Hofman"},{"family":"Jc","given":"Holm"},{"family":"M","given":"Horikoshi"},{"family":"Jj","given":"Hottenga"},{"family":"J","given":"Huang"},{"family":"Hn","given":"Kadarmideen"},{"family":"M","given":"Kähönen"},{"family":"W","given":"Kiess"},{"family":"Hm","given":"Lakka"},{"family":"Ta","given":"Lakka"},{"family":"Am","given":"Lewin"},{"family":"L","given":"Liang"},{"family":"Lp","given":"Lyytikäinen"},{"family":"B","given":"Ma"},{"family":"P","given":"Magnus"},{"family":"Se","given":"McCormack"},{"family":"G","given":"McMahon"},{"family":"Fd","given":"Mentch"},{"family":"Cm","given":"Middeldorp"},{"family":"Cs","given":"Murray"},{"family":"K","given":"Pahkala"},{"family":"Th","given":"Pers"},{"family":"R","given":"Pfäffle"},{"family":"Ds","given":"Postma"},{"family":"C","given":"Power"},{"family":"A","given":"Simpson"},{"family":"V","given":"Sengpiel"},{"family":"Cm","given":"Tiesler"},{"family":"M","given":"Torrent"},{"family":"Ag","given":"Uitterlinden"},{"family":"Jb","given":"van Meurs"},{"family":"R","given":"Vinding"},{"family":"J","given":"Waage"},{"family":"J","given":"Wardle"},{"family":"E","given":"Zeggini"},{"family":"Bs","given":"Zemel"},{"family":"Gv","given":"Dedoussis"},{"family":"O","given":"Pedersen"},{"family":"P","given":"Froguel"},{"family":"J","given":"Sunyer"},{"family":"R","given":"Plomin"},{"family":"B","given":"Jacobsson"},{"family":"T","given":"Hansen"},{"family":"Jr","given":"Gonzalez"},{"family":"A","given":"Custovic"},{"family":"Ot","given":"Raitakari"},{"family":"Ce","given":"Pennell"},{"family":"E","given":"Widén"},{"family":"Di","given":"Boomsma"},{"family":"Gh","given":"Koppelman"},{"family":"S","given":"Sebert"},{"family":"Mr","given":"Järvelin"},{"family":"E","given":"Hyppönen"},{"family":"Mi","given":"McCarthy"},{"family":"V","given":"Lindi"},{"family":"N","given":"Harri"},{"family":"A","given":"Körner"},{"family":"K","given":"Bønnelykke"},{"family":"J","given":"Heinrich"},{"family":"M","given":"Melbye"},{"family":"F","given":"Rivadeneira"},{"family":"H","given":"Hakonarson"},{"family":"Sm","given":"Ring"},{"family":"Gd","given":"Smith"},{"family":"Ti","given":"Sørensen"},{"family":"Nj","given":"Timpson"},{"family":"Sf","given":"Grant"},{"family":"Vw","given":"Jaddoe"}],"accessed":{"date-parts":[["2023",12,6]]},"issued":{"date-parts":[["2016",1,15]]}}}],"schema":"https://github.com/citation-style-language/schema/raw/master/csl-citation.json"}</w:instrText>
      </w:r>
      <w:r>
        <w:rPr/>
      </w:r>
      <w:r>
        <w:rPr/>
        <w:fldChar w:fldCharType="separate"/>
      </w:r>
      <w:r>
        <w:rPr/>
        <w:t>[207]</w:t>
      </w:r>
      <w:r>
        <w:rPr/>
      </w:r>
      <w:r>
        <w:rPr/>
        <w:fldChar w:fldCharType="end"/>
      </w:r>
      <w:r>
        <w:rPr/>
        <w:t xml:space="preserve">.  43 </w:t>
      </w:r>
      <w:r>
        <w:rPr>
          <w:lang w:val="en-US"/>
        </w:rPr>
        <w:t>SNPs</w:t>
      </w:r>
      <w:r>
        <w:rPr/>
        <w:t xml:space="preserve"> με </w:t>
      </w:r>
      <w:r>
        <w:rPr>
          <w:lang w:val="en-US"/>
        </w:rPr>
        <w:t>p</w:t>
      </w:r>
      <w:r>
        <w:rPr/>
        <w:t xml:space="preserve"> &lt; 5 </w:t>
      </w:r>
      <w:r>
        <w:rPr>
          <w:lang w:val="en-US"/>
        </w:rPr>
        <w:t>x</w:t>
      </w:r>
      <w:r>
        <w:rPr/>
        <w:t xml:space="preserve"> 10-</w:t>
      </w:r>
      <w:r>
        <w:rPr>
          <w:vertAlign w:val="superscript"/>
        </w:rPr>
        <w:t>6</w:t>
      </w:r>
      <w:r>
        <w:rPr/>
        <w:t xml:space="preserve"> στο στάδιο της ανακάλυψης δοκιμάστηκαν στο στάδιο της αναπαραγωγής. Τέλος, 15 σημαντικά </w:t>
      </w:r>
      <w:r>
        <w:rPr>
          <w:lang w:val="en-US"/>
        </w:rPr>
        <w:t>SNPs</w:t>
      </w:r>
      <w:r>
        <w:rPr/>
        <w:t xml:space="preserve"> (όλα </w:t>
      </w:r>
      <w:r>
        <w:rPr>
          <w:lang w:val="en-US"/>
        </w:rPr>
        <w:t>p</w:t>
      </w:r>
      <w:r>
        <w:rPr/>
        <w:t xml:space="preserve"> &gt; 4,52 </w:t>
      </w:r>
      <w:r>
        <w:rPr>
          <w:lang w:val="en-US"/>
        </w:rPr>
        <w:t>x</w:t>
      </w:r>
      <w:r>
        <w:rPr/>
        <w:t xml:space="preserve"> 10</w:t>
      </w:r>
      <w:r>
        <w:rPr>
          <w:vertAlign w:val="superscript"/>
        </w:rPr>
        <w:t>-8</w:t>
      </w:r>
      <w:r>
        <w:rPr/>
        <w:t xml:space="preserve">) εντοπίστηκαν στην κοινή ανάλυση. Τον Σεπτέμβριο του 2016 δημοσιεύτηκε η πρώτη </w:t>
      </w:r>
      <w:r>
        <w:rPr>
          <w:lang w:val="en-US"/>
        </w:rPr>
        <w:t>GWAS</w:t>
      </w:r>
      <w:r>
        <w:rPr/>
        <w:t xml:space="preserve"> στην ασιατική καταγωγή </w:t>
      </w:r>
      <w:r>
        <w:fldChar w:fldCharType="begin"/>
      </w:r>
      <w:r>
        <w:rPr/>
        <w:instrText xml:space="preserve">ADDIN ZOTERO_ITEM CSL_CITATION {"citationID":"4XXvGaar","properties":{"formattedCitation":"[208]","plainCitation":"[208]","noteIndex":0},"citationItems":[{"id":3329,"uris":["http://zotero.org/users/local/WDVvZTBM/items/VL7ZSCEB"],"itemData":{"id":3329,"type":"article-journal","abstract":"Obesity is a major risk factor for type 2 diabetes. To unravel the genetic determinants of obesity-associated diabetes, we performed a genome-wide study using the 1,000 Genomes-based imputation in a Korean childhood cohort (KoCAS-1, n = 484) and carried out de novo replication in an independent popu …","container-title":"Scientific reports","DOI":"10.1038/srep33043","ISSN":"2045-2322","language":"en","note":"publisher: Sci Rep\nPMID: 27623749","source":"pubmed.ncbi.nlm.nih.gov","title":"An integrative study identifies KCNC2 as a novel predisposing factor for childhood obesity and the risk of diabetes in the Korean population","URL":"https://pubmed.ncbi.nlm.nih.gov/27623749/","volume":"6","author":[{"family":"Jy","given":"Hwang"},{"family":"Hj","given":"Lee"},{"family":"Mj","given":"Go"},{"family":"Hb","given":"Jang"},{"family":"Si","given":"Park"},{"family":"Bj","given":"Kim"},{"family":"Hj","given":"Lee"}],"accessed":{"date-parts":[["2023",12,6]]},"issued":{"date-parts":[["2016",9,14]]}}}],"schema":"https://github.com/citation-style-language/schema/raw/master/csl-citation.json"}</w:instrText>
      </w:r>
      <w:r>
        <w:rPr/>
      </w:r>
      <w:r>
        <w:rPr/>
        <w:fldChar w:fldCharType="separate"/>
      </w:r>
      <w:r>
        <w:rPr/>
        <w:t>[208]</w:t>
      </w:r>
      <w:r>
        <w:rPr/>
      </w:r>
      <w:r>
        <w:rPr/>
        <w:fldChar w:fldCharType="end"/>
      </w:r>
      <w:r>
        <w:rPr/>
        <w:t xml:space="preserve">. Αυτή η  </w:t>
      </w:r>
      <w:r>
        <w:rPr>
          <w:lang w:val="en-US"/>
        </w:rPr>
        <w:t>GWAS</w:t>
      </w:r>
      <w:r>
        <w:rPr/>
        <w:t xml:space="preserve"> διεξήχθη σε μια κορεατική παιδική κοόρτη (στάδιο ανακάλυψης, </w:t>
      </w:r>
      <w:r>
        <w:rPr>
          <w:lang w:val="en-US"/>
        </w:rPr>
        <w:t>n</w:t>
      </w:r>
      <w:r>
        <w:rPr/>
        <w:t xml:space="preserve">=484, στάδιο αναπαραγωγής, </w:t>
      </w:r>
      <w:r>
        <w:rPr>
          <w:lang w:val="en-US"/>
        </w:rPr>
        <w:t>n</w:t>
      </w:r>
      <w:r>
        <w:rPr/>
        <w:t xml:space="preserve">=1548) και το πιο σημαντικό </w:t>
      </w:r>
      <w:r>
        <w:rPr>
          <w:lang w:val="en-US"/>
        </w:rPr>
        <w:t>SNP</w:t>
      </w:r>
      <w:r>
        <w:rPr/>
        <w:t xml:space="preserve"> ήταν </w:t>
      </w:r>
      <w:r>
        <w:rPr>
          <w:lang w:val="en-US"/>
        </w:rPr>
        <w:t>rs</w:t>
      </w:r>
      <w:r>
        <w:rPr/>
        <w:t>10879834 (</w:t>
      </w:r>
      <w:r>
        <w:rPr>
          <w:lang w:val="en-US"/>
        </w:rPr>
        <w:t>KCNC</w:t>
      </w:r>
      <w:r>
        <w:rPr/>
        <w:t xml:space="preserve">2, </w:t>
      </w:r>
      <w:r>
        <w:rPr>
          <w:lang w:val="en-US"/>
        </w:rPr>
        <w:t>p</w:t>
      </w:r>
      <w:r>
        <w:rPr/>
        <w:t xml:space="preserve"> = 1,81 × 10</w:t>
      </w:r>
      <w:r>
        <w:rPr>
          <w:vertAlign w:val="superscript"/>
        </w:rPr>
        <w:t>-7</w:t>
      </w:r>
      <w:r>
        <w:rPr/>
        <w:t xml:space="preserve">). Η μείωση του </w:t>
      </w:r>
      <w:r>
        <w:rPr>
          <w:lang w:val="en-US"/>
        </w:rPr>
        <w:t>KCNC</w:t>
      </w:r>
      <w:r>
        <w:rPr/>
        <w:t xml:space="preserve">2 συσχετίστηκε με τροποποιημένη ηπατική γλυκονεογένεση και αυξημένο στρες στο ενδοπλασματικό δίκτυο στον διαβητικό κίνδυνο που προκαλείται από την παχυσαρκία. Παρόμοια με ένα άρθρο το 2015, τον Σεπτέμβριο του 2019 δημοσιεύτηκε μια </w:t>
      </w:r>
      <w:r>
        <w:rPr>
          <w:lang w:val="en-US"/>
        </w:rPr>
        <w:t>GWAS</w:t>
      </w:r>
      <w:r>
        <w:rPr/>
        <w:t xml:space="preserve"> που επικεντρώθηκε στις τροχιές του ΔΜΣ </w:t>
      </w:r>
      <w:r>
        <w:fldChar w:fldCharType="begin"/>
      </w:r>
      <w:r>
        <w:rPr/>
        <w:instrText xml:space="preserve">ADDIN ZOTERO_ITEM CSL_CITATION {"citationID":"OIH3w27M","properties":{"formattedCitation":"[209]","plainCitation":"[209]","noteIndex":0},"citationItems":[{"id":3333,"uris":["http://zotero.org/users/local/WDVvZTBM/items/V3QES2GA"],"itemData":{"id":3333,"type":"article-journal","abstract":"Early childhood growth patterns are associated with adult health, yet the genetic factors and the developmental stages involved are not fully understood. Here, we combine genome-wide association studies with modeling of longitudinal growth traits to study the genetics of infant and child growth, fol …","container-title":"Science advances","DOI":"10.1126/sciadv.aaw3095","ISSN":"2375-2548","issue":"9","language":"en","note":"publisher: Sci Adv\nPMID: 31840077","source":"pubmed.ncbi.nlm.nih.gov","title":"GWAS on longitudinal growth traits reveals different genetic factors influencing infant, child, and adult BMI","URL":"https://pubmed.ncbi.nlm.nih.gov/31840077/","volume":"5","author":[{"family":"A","given":"Couto Alves"},{"family":"Nmg","given":"De Silva"},{"family":"V","given":"Karhunen"},{"family":"U","given":"Sovio"},{"family":"S","given":"Das"},{"family":"Hr","given":"Taal"},{"family":"Nm","given":"Warrington"},{"family":"Am","given":"Lewin"},{"family":"M","given":"Kaakinen"},{"family":"Dl","given":"Cousminer"},{"family":"E","given":"Thiering"},{"family":"Nj","given":"Timpson"},{"family":"Ta","given":"Bond"},{"family":"E","given":"Lowry"},{"family":"Cd","given":"Brown"},{"family":"X","given":"Estivill"},{"family":"V","given":"Lindi"},{"family":"Jp","given":"Bradfield"},{"family":"F","given":"Geller"},{"family":"D","given":"Speed"},{"family":"Ljm","given":"Coin"},{"family":"M","given":"Loh"},{"family":"Sj","given":"Barton"},{"family":"Lj","given":"Beilin"},{"family":"H","given":"Bisgaard"},{"family":"K","given":"Bønnelykke"},{"family":"R","given":"Alili"},{"family":"Ij","given":"Hatoum"},{"family":"K","given":"Schramm"},{"family":"R","given":"Cartwright"},{"family":"Ma","given":"Charles"},{"family":"V","given":"Salerno"},{"family":"K","given":"Clément"},{"family":"Aaj","given":"Claringbould"},{"family":"Cm","given":"van Duijn"},{"family":"E","given":"Moltchanova"},{"family":"Jg","given":"Eriksson"},{"family":"C","given":"Elks"},{"family":"B","given":"Feenstra"},{"family":"C","given":"Flexeder"},{"family":"S","given":"Franks"},{"family":"Tm","given":"Frayling"},{"family":"Rm","given":"Freathy"},{"family":"P","given":"Elliott"},{"family":"E","given":"Widén"},{"family":"H","given":"Hakonarson"},{"family":"At","given":"Hattersley"},{"family":"A","given":"Rodriguez"},{"family":"M","given":"Banterle"},{"family":"J","given":"Heinrich"},{"family":"B","given":"Heude"},{"family":"Jw","given":"Holloway"},{"family":"A","given":"Hofman"},{"family":"E","given":"Hyppönen"},{"family":"H","given":"Inskip"},{"family":"Lm","given":"Kaplan"},{"family":"Ak","given":"Hedman"},{"family":"E","given":"Läärä"},{"family":"H","given":"Prokisch"},{"family":"H","given":"Grallert"},{"family":"Ta","given":"Lakka"},{"family":"Da","given":"Lawlor"},{"family":"M","given":"Melbye"},{"family":"Ts","given":"Ahluwalia"},{"family":"M","given":"Marinelli"},{"family":"Iy","given":"Millwood"},{"family":"Lj","given":"Palmer"},{"family":"Ce","given":"Pennell"},{"family":"Jr","given":"Perry"},{"family":"Sm","given":"Ring"},{"family":"Mj","given":"Savolainen"},{"family":"F","given":"Rivadeneira"},{"family":"M","given":"Standl"},{"family":"J","given":"Sunyer"},{"family":"Cmt","given":"Tiesler"},{"family":"Ag","given":"Uitterlinden"},{"family":"W","given":"Schierding"},{"family":"Jm","given":"O'Sullivan"},{"family":"I","given":"Prokopenko"},{"family":"Kh","given":"Herzig"},{"family":"Gd","given":"Smith"},{"family":"P","given":"O'Reilly"},{"family":"Jf","given":"Felix"},{"family":"Jl","given":"Buxton"},{"family":"Aif","given":"Blakemore"},{"family":"Kk","given":"Ong"},{"family":"Vwv","given":"Jaddoe"},{"family":"Sfa","given":"Grant"},{"family":"S","given":"Sebert"},{"family":"Mi","given":"McCarthy"},{"family":"Mr","given":"Järvelin"}],"accessed":{"date-parts":[["2023",12,6]]},"issued":{"date-parts":[["2019",4,9]]}}}],"schema":"https://github.com/citation-style-language/schema/raw/master/csl-citation.json"}</w:instrText>
      </w:r>
      <w:r>
        <w:rPr/>
      </w:r>
      <w:r>
        <w:rPr/>
        <w:fldChar w:fldCharType="separate"/>
      </w:r>
      <w:r>
        <w:rPr/>
        <w:t>[209]</w:t>
      </w:r>
      <w:r>
        <w:rPr/>
      </w:r>
      <w:r>
        <w:rPr/>
        <w:fldChar w:fldCharType="end"/>
      </w:r>
      <w:r>
        <w:rPr/>
        <w:t xml:space="preserve">.  Αυτή η </w:t>
      </w:r>
      <w:r>
        <w:rPr>
          <w:lang w:val="en-US"/>
        </w:rPr>
        <w:t>GWAS</w:t>
      </w:r>
      <w:r>
        <w:rPr/>
        <w:t xml:space="preserve"> διαίρεσε την τροχιά ΔΜΣ των υγιών ατόμων σε τρεις περιόδους: (1) ταχεία αύξηση του ΔΜΣ κατά 9 μήνες (αιχμή παχυσαρκίας [</w:t>
      </w:r>
      <w:r>
        <w:rPr>
          <w:lang w:val="en-US"/>
        </w:rPr>
        <w:t>AP</w:t>
      </w:r>
      <w:r>
        <w:rPr/>
        <w:t>]). (2) ταχεία μείωση του ΔΜΣ σε ηλικία 5-6 ετών (χρονικό σημείο ανάκαμψης παχυσαρκίας [</w:t>
      </w:r>
      <w:r>
        <w:rPr>
          <w:lang w:val="en-US"/>
        </w:rPr>
        <w:t>AR</w:t>
      </w:r>
      <w:r>
        <w:rPr/>
        <w:t xml:space="preserve">]). (3) σταθερή αύξηση μέχρι την πρώιμη ενήλικη ζωή. Τα </w:t>
      </w:r>
      <w:r>
        <w:rPr>
          <w:lang w:val="en-US"/>
        </w:rPr>
        <w:t>Rs</w:t>
      </w:r>
      <w:r>
        <w:rPr/>
        <w:t>9436303 (</w:t>
      </w:r>
      <w:r>
        <w:rPr>
          <w:lang w:val="en-US"/>
        </w:rPr>
        <w:t>LEPR</w:t>
      </w:r>
      <w:r>
        <w:rPr/>
        <w:t>/</w:t>
      </w:r>
      <w:r>
        <w:rPr>
          <w:lang w:val="en-US"/>
        </w:rPr>
        <w:t>LEPROT</w:t>
      </w:r>
      <w:r>
        <w:rPr/>
        <w:t xml:space="preserve">, </w:t>
      </w:r>
      <w:r>
        <w:rPr>
          <w:lang w:val="en-US"/>
        </w:rPr>
        <w:t>p</w:t>
      </w:r>
      <w:r>
        <w:rPr/>
        <w:t xml:space="preserve"> = 8,3 × 10</w:t>
      </w:r>
      <w:r>
        <w:rPr>
          <w:vertAlign w:val="superscript"/>
        </w:rPr>
        <w:t>−9</w:t>
      </w:r>
      <w:r>
        <w:rPr/>
        <w:t xml:space="preserve">) και </w:t>
      </w:r>
      <w:r>
        <w:rPr>
          <w:lang w:val="en-US"/>
        </w:rPr>
        <w:t>rs</w:t>
      </w:r>
      <w:r>
        <w:rPr/>
        <w:t>10938397 (</w:t>
      </w:r>
      <w:r>
        <w:rPr>
          <w:lang w:val="en-US"/>
        </w:rPr>
        <w:t>GNPDA</w:t>
      </w:r>
      <w:r>
        <w:rPr/>
        <w:t>2/</w:t>
      </w:r>
      <w:r>
        <w:rPr>
          <w:lang w:val="en-US"/>
        </w:rPr>
        <w:t>PRKRIRP</w:t>
      </w:r>
      <w:r>
        <w:rPr/>
        <w:t xml:space="preserve">9, </w:t>
      </w:r>
      <w:r>
        <w:rPr>
          <w:lang w:val="en-US"/>
        </w:rPr>
        <w:t>p</w:t>
      </w:r>
      <w:r>
        <w:rPr/>
        <w:t xml:space="preserve"> = 2,9 × 10-</w:t>
      </w:r>
      <w:r>
        <w:rPr>
          <w:vertAlign w:val="superscript"/>
        </w:rPr>
        <w:t>8</w:t>
      </w:r>
      <w:r>
        <w:rPr/>
        <w:t xml:space="preserve">) συσχετίστηκαν σημαντικά σε όλο το γονιδίωμα με το </w:t>
      </w:r>
      <w:r>
        <w:rPr>
          <w:lang w:val="en-US"/>
        </w:rPr>
        <w:t>BMI</w:t>
      </w:r>
      <w:r>
        <w:rPr/>
        <w:t>-</w:t>
      </w:r>
      <w:r>
        <w:rPr>
          <w:lang w:val="en-US"/>
        </w:rPr>
        <w:t>AP</w:t>
      </w:r>
      <w:r>
        <w:rPr/>
        <w:t xml:space="preserve"> και το </w:t>
      </w:r>
      <w:r>
        <w:rPr>
          <w:lang w:val="en-US"/>
        </w:rPr>
        <w:t>BMI</w:t>
      </w:r>
      <w:r>
        <w:rPr/>
        <w:t>-</w:t>
      </w:r>
      <w:r>
        <w:rPr>
          <w:lang w:val="en-US"/>
        </w:rPr>
        <w:t>AR</w:t>
      </w:r>
      <w:r>
        <w:rPr/>
        <w:t xml:space="preserve"> αντίστοιχα. Μια </w:t>
      </w:r>
      <w:r>
        <w:rPr>
          <w:lang w:val="en-US"/>
        </w:rPr>
        <w:t>GWAS</w:t>
      </w:r>
      <w:r>
        <w:rPr/>
        <w:t xml:space="preserve"> του ΔΜΣ της παιδικής ηλικίας διεξήχθη σε 12 χρονικά σημεία από τη γέννηση έως την ηλικία των 8 ετών με βάση τη Νορβηγική μελέτη κοόρτης για τη μητέρα, τον πατέρα και το παιδί (</w:t>
      </w:r>
      <w:r>
        <w:rPr>
          <w:lang w:val="en-US"/>
        </w:rPr>
        <w:t>n</w:t>
      </w:r>
      <w:r>
        <w:rPr/>
        <w:t xml:space="preserve">=14.521), που περιγράφηκε με βάση την ενδιαφέρουσα πτυχή της επίδρασης της παιδικής ηλικίας στο αποτέλεσμα, το οποίο δημοσιεύθηκε τον Οκτώβριο του 2019 </w:t>
      </w:r>
      <w:r>
        <w:fldChar w:fldCharType="begin"/>
      </w:r>
      <w:r>
        <w:rPr/>
        <w:instrText xml:space="preserve">ADDIN ZOTERO_ITEM CSL_CITATION {"citationID":"QSUoqYzh","properties":{"formattedCitation":"[210]","plainCitation":"[210]","noteIndex":0},"citationItems":[{"id":3337,"uris":["http://zotero.org/users/local/WDVvZTBM/items/NJGG7BZ5"],"itemData":{"id":3337,"type":"article-journal","abstract":"Changes in body mass index (BMI) during infancy and childhood follow a well-characterized pattern. Here, Helgeland et al. perform genome-wide association studies for BMI at 12 time points between birth and 8 years of age and find transient associations at the LEP and LEPR loci.","container-title":"Nature Communications","DOI":"10.1038/s41467-019-12308-0","ISSN":"2041-1723","issue":"1","journalAbbreviation":"Nat Commun","language":"en","license":"2019 The Author(s)","note":"number: 1\npublisher: Nature Publishing Group","page":"1-10","source":"www.nature.com","title":"Genome-wide association study reveals dynamic role of genetic variation in infant and early childhood growth","volume":"10","author":[{"family":"Helgeland","given":"Øyvind"},{"family":"Vaudel","given":"Marc"},{"family":"Juliusson","given":"Petur B."},{"family":"Lingaas Holmen","given":"Oddgeir"},{"family":"Juodakis","given":"Julius"},{"family":"Bacelis","given":"Jonas"},{"family":"Jacobsson","given":"Bo"},{"family":"Lindekleiv","given":"Haakon"},{"family":"Hveem","given":"Kristian"},{"family":"Lie","given":"Rolv Terje"},{"family":"Knudsen","given":"Gun Peggy"},{"family":"Stoltenberg","given":"Camilla"},{"family":"Magnus","given":"Per"},{"family":"Sagen","given":"Jørn V."},{"family":"Molven","given":"Anders"},{"family":"Johansson","given":"Stefan"},{"family":"Njølstad","given":"Pål Rasmus"}],"issued":{"date-parts":[["2019",10,1]]}}}],"schema":"https://github.com/citation-style-language/schema/raw/master/csl-citation.json"}</w:instrText>
      </w:r>
      <w:r>
        <w:rPr/>
      </w:r>
      <w:r>
        <w:rPr/>
        <w:fldChar w:fldCharType="separate"/>
      </w:r>
      <w:r>
        <w:rPr/>
        <w:t>[210]</w:t>
      </w:r>
      <w:r>
        <w:rPr/>
      </w:r>
      <w:r>
        <w:rPr/>
        <w:fldChar w:fldCharType="end"/>
      </w:r>
      <w:r>
        <w:rPr/>
        <w:t xml:space="preserve">. Τα </w:t>
      </w:r>
      <w:r>
        <w:rPr>
          <w:lang w:val="en-US"/>
        </w:rPr>
        <w:t>SNPs</w:t>
      </w:r>
      <w:r>
        <w:rPr/>
        <w:t xml:space="preserve"> σε όλο το γονιδίωμα που σχετίζονται σημαντικά με το ΔΜΣ εντοπίστηκαν σε παιδιά ηλικίας 6 μηνών (</w:t>
      </w:r>
      <w:r>
        <w:rPr>
          <w:lang w:val="en-US"/>
        </w:rPr>
        <w:t>rs</w:t>
      </w:r>
      <w:r>
        <w:rPr/>
        <w:t xml:space="preserve">2767486, </w:t>
      </w:r>
      <w:r>
        <w:rPr>
          <w:lang w:val="en-US"/>
        </w:rPr>
        <w:t>LEPR</w:t>
      </w:r>
      <w:r>
        <w:rPr/>
        <w:t xml:space="preserve">, </w:t>
      </w:r>
      <w:r>
        <w:rPr>
          <w:lang w:val="en-US"/>
        </w:rPr>
        <w:t>p</w:t>
      </w:r>
      <w:r>
        <w:rPr/>
        <w:t xml:space="preserve"> = 2,00 × 10-</w:t>
      </w:r>
      <w:r>
        <w:rPr>
          <w:vertAlign w:val="superscript"/>
        </w:rPr>
        <w:t>21</w:t>
      </w:r>
      <w:r>
        <w:rPr/>
        <w:t>), 1 έτους (</w:t>
      </w:r>
      <w:r>
        <w:rPr>
          <w:lang w:val="en-US"/>
        </w:rPr>
        <w:t>rs</w:t>
      </w:r>
      <w:r>
        <w:rPr/>
        <w:t>13035</w:t>
      </w:r>
      <w:r>
        <w:rPr>
          <w:lang w:val="en-US"/>
        </w:rPr>
        <w:t>CY</w:t>
      </w:r>
      <w:r>
        <w:rPr/>
        <w:t xml:space="preserve">34, </w:t>
      </w:r>
      <w:r>
        <w:rPr>
          <w:lang w:val="en-US"/>
        </w:rPr>
        <w:t>p</w:t>
      </w:r>
      <w:r>
        <w:rPr/>
        <w:t>=</w:t>
      </w:r>
      <w:r>
        <w:rPr>
          <w:lang w:val="en-US"/>
        </w:rPr>
        <w:t>AD</w:t>
      </w:r>
      <w:r>
        <w:rPr/>
        <w:t xml:space="preserve"> 7,90 × 10</w:t>
      </w:r>
      <w:r>
        <w:rPr>
          <w:vertAlign w:val="superscript"/>
        </w:rPr>
        <w:t>-13</w:t>
      </w:r>
      <w:r>
        <w:rPr/>
        <w:t>), 1,5 έτη (</w:t>
      </w:r>
      <w:r>
        <w:rPr>
          <w:lang w:val="en-US"/>
        </w:rPr>
        <w:t>rs</w:t>
      </w:r>
      <w:r>
        <w:rPr/>
        <w:t xml:space="preserve">6842303, </w:t>
      </w:r>
      <w:r>
        <w:rPr>
          <w:lang w:val="en-US"/>
        </w:rPr>
        <w:t>LCORL</w:t>
      </w:r>
      <w:r>
        <w:rPr/>
        <w:t xml:space="preserve">, </w:t>
      </w:r>
      <w:r>
        <w:rPr>
          <w:lang w:val="en-US"/>
        </w:rPr>
        <w:t>p</w:t>
      </w:r>
      <w:r>
        <w:rPr/>
        <w:t xml:space="preserve"> = 7,50 </w:t>
      </w:r>
      <w:r>
        <w:rPr>
          <w:lang w:val="en-US"/>
        </w:rPr>
        <w:t>x</w:t>
      </w:r>
      <w:r>
        <w:rPr/>
        <w:t xml:space="preserve"> 10</w:t>
      </w:r>
      <w:r>
        <w:rPr>
          <w:vertAlign w:val="superscript"/>
        </w:rPr>
        <w:t>-9</w:t>
      </w:r>
      <w:r>
        <w:rPr/>
        <w:t xml:space="preserve">; </w:t>
      </w:r>
      <w:r>
        <w:rPr>
          <w:lang w:val="en-US"/>
        </w:rPr>
        <w:t>rs</w:t>
      </w:r>
      <w:r>
        <w:rPr/>
        <w:t xml:space="preserve">10487505, </w:t>
      </w:r>
      <w:r>
        <w:rPr>
          <w:lang w:val="en-US"/>
        </w:rPr>
        <w:t>LEP</w:t>
      </w:r>
      <w:r>
        <w:rPr/>
        <w:t xml:space="preserve">, </w:t>
      </w:r>
      <w:r>
        <w:rPr>
          <w:lang w:val="en-US"/>
        </w:rPr>
        <w:t>p</w:t>
      </w:r>
      <w:r>
        <w:rPr/>
        <w:t>= 1,30 × 10</w:t>
      </w:r>
      <w:r>
        <w:rPr>
          <w:vertAlign w:val="superscript"/>
        </w:rPr>
        <w:t>-8</w:t>
      </w:r>
      <w:r>
        <w:rPr/>
        <w:t>) και 7 έτη (</w:t>
      </w:r>
      <w:r>
        <w:rPr>
          <w:lang w:val="en-US"/>
        </w:rPr>
        <w:t>rs</w:t>
      </w:r>
      <w:r>
        <w:rPr/>
        <w:t xml:space="preserve">9922708, </w:t>
      </w:r>
      <w:r>
        <w:rPr>
          <w:lang w:val="en-US"/>
        </w:rPr>
        <w:t>FTO</w:t>
      </w:r>
      <w:r>
        <w:rPr/>
        <w:t xml:space="preserve">, </w:t>
      </w:r>
      <w:r>
        <w:rPr>
          <w:lang w:val="en-US"/>
        </w:rPr>
        <w:t>p</w:t>
      </w:r>
      <w:r>
        <w:rPr/>
        <w:t xml:space="preserve"> = 2,80</w:t>
      </w:r>
      <w:r>
        <w:rPr>
          <w:lang w:val="en-US"/>
        </w:rPr>
        <w:t>x</w:t>
      </w:r>
      <w:r>
        <w:rPr/>
        <w:t>10</w:t>
      </w:r>
      <w:r>
        <w:rPr>
          <w:vertAlign w:val="superscript"/>
        </w:rPr>
        <w:t>-12</w:t>
      </w:r>
      <w:r>
        <w:rPr/>
        <w:t xml:space="preserve">). </w:t>
      </w:r>
    </w:p>
    <w:p>
      <w:pPr>
        <w:pStyle w:val="Normal"/>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s>
        <w:spacing w:lineRule="auto" w:line="360"/>
        <w:jc w:val="both"/>
        <w:rPr/>
      </w:pPr>
      <w:r>
        <w:rPr/>
        <w:tab/>
        <w:t xml:space="preserve">Η </w:t>
      </w:r>
      <w:r>
        <w:rPr>
          <w:lang w:val="en-US"/>
        </w:rPr>
        <w:t>GWAS</w:t>
      </w:r>
      <w:r>
        <w:rPr/>
        <w:t xml:space="preserve"> της παιδικής παχυσαρκίας στους Βορειοαμερικανούς δημοσιεύτηκε μετά από ασιατικούς και ευρωπαϊκούς πληθυσμούς. Αρκετοί σημαντικοί τόποι για δύο φαινότυπους, τον ΔΜΣ και το σωματικό λίπος, που ήταν δείκτες παχυσαρκίας εντοπίστηκαν σε 828 Μεξικανά παιδιά ηλικίας 3-16 ετών τον Νοέμβριο του 2019 </w:t>
      </w:r>
      <w:r>
        <w:fldChar w:fldCharType="begin"/>
      </w:r>
      <w:r>
        <w:rPr/>
        <w:instrText xml:space="preserve">ADDIN ZOTERO_ITEM CSL_CITATION {"citationID":"cQ1MCeTW","properties":{"formattedCitation":"[211]","plainCitation":"[211]","noteIndex":0},"citationItems":[{"id":3339,"uris":["http://zotero.org/users/local/WDVvZTBM/items/2JUZAJJU"],"itemData":{"id":3339,"type":"article-journal","abstract":"None of the SNPs were previously reported as being associated to BMI or %BF. In addition, different loci were found for BMI and %BF. These results highlight the importance of gaining deeper understanding of genetic markers of predisposition to high values for the phenotypes used for obesity diagnosi …","container-title":"Genes","DOI":"10.3390/genes10110945","ISSN":"2073-4425","issue":"11","language":"en","note":"publisher: Genes (Basel)\nPMID: 31752434","source":"pubmed.ncbi.nlm.nih.gov","title":"Genome-Wide Association Study of Body Mass Index and Body Fat in Mexican-Mestizo Children","URL":"https://pubmed.ncbi.nlm.nih.gov/31752434/","volume":"10","author":[{"family":"P","given":"Costa-Urrutia"},{"family":"V","given":"Colistro"},{"family":"As","given":"Jiménez-Osorio"},{"family":"H","given":"Cárdenas-Hernández"},{"family":"J","given":"Solares-Tlapechco"},{"family":"M","given":"Ramirez-Alcántara"},{"family":"J","given":"Granados"},{"family":"Ij","given":"Ascencio-Montiel"},{"family":"Me","given":"Rodríguez-Arellano"}],"accessed":{"date-parts":[["2023",12,6]]},"issued":{"date-parts":[["2019",11,19]]}}}],"schema":"https://github.com/citation-style-language/schema/raw/master/csl-citation.json"}</w:instrText>
      </w:r>
      <w:r>
        <w:rPr/>
      </w:r>
      <w:r>
        <w:rPr/>
        <w:fldChar w:fldCharType="separate"/>
      </w:r>
      <w:r>
        <w:rPr/>
        <w:t>[211]</w:t>
      </w:r>
      <w:r>
        <w:rPr/>
      </w:r>
      <w:r>
        <w:rPr/>
        <w:fldChar w:fldCharType="end"/>
      </w:r>
      <w:r>
        <w:rPr/>
        <w:t xml:space="preserve">. Το επίπεδο σημαντικότητας σε επίπεδο γονιδιώματος και το 80% της στατιστικής ισχύος επιτεύχθηκε για συσχετίσεις δύο τόποι στο </w:t>
      </w:r>
      <w:r>
        <w:rPr>
          <w:lang w:val="en-US"/>
        </w:rPr>
        <w:t>CERS</w:t>
      </w:r>
      <w:r>
        <w:rPr/>
        <w:t>3 (</w:t>
      </w:r>
      <w:r>
        <w:rPr>
          <w:lang w:val="en-US"/>
        </w:rPr>
        <w:t>rs</w:t>
      </w:r>
      <w:r>
        <w:rPr/>
        <w:t xml:space="preserve">72757283, </w:t>
      </w:r>
      <w:r>
        <w:rPr>
          <w:lang w:val="en-US"/>
        </w:rPr>
        <w:t>p</w:t>
      </w:r>
      <w:r>
        <w:rPr/>
        <w:t xml:space="preserve">= 2,18 × 10-³) και </w:t>
      </w:r>
      <w:r>
        <w:rPr>
          <w:lang w:val="en-US"/>
        </w:rPr>
        <w:t>CYP</w:t>
      </w:r>
      <w:r>
        <w:rPr/>
        <w:t>2</w:t>
      </w:r>
      <w:r>
        <w:rPr>
          <w:lang w:val="en-US"/>
        </w:rPr>
        <w:t>E</w:t>
      </w:r>
      <w:r>
        <w:rPr/>
        <w:t>1/</w:t>
      </w:r>
      <w:r>
        <w:rPr>
          <w:lang w:val="en-US"/>
        </w:rPr>
        <w:t>SPRN</w:t>
      </w:r>
      <w:r>
        <w:rPr/>
        <w:t xml:space="preserve"> (</w:t>
      </w:r>
      <w:r>
        <w:rPr>
          <w:lang w:val="en-US"/>
        </w:rPr>
        <w:t>rs</w:t>
      </w:r>
      <w:r>
        <w:rPr/>
        <w:t xml:space="preserve">72866768, </w:t>
      </w:r>
      <w:r>
        <w:rPr>
          <w:lang w:val="en-US"/>
        </w:rPr>
        <w:t>p</w:t>
      </w:r>
      <w:r>
        <w:rPr/>
        <w:t xml:space="preserve"> = 3,39 × 10-</w:t>
      </w:r>
      <w:r>
        <w:rPr>
          <w:vertAlign w:val="superscript"/>
        </w:rPr>
        <w:t>8)</w:t>
      </w:r>
      <w:r>
        <w:rPr/>
        <w:t xml:space="preserve"> με ΔΜΣ. Η μεγαλύτερη </w:t>
      </w:r>
      <w:r>
        <w:rPr>
          <w:lang w:val="en-US"/>
        </w:rPr>
        <w:t>GWAS</w:t>
      </w:r>
      <w:r>
        <w:rPr/>
        <w:t xml:space="preserve"> παιδικού ΔΜΣ μέχρι σήμερα δημοσιεύτηκε τον Οκτώβριο του 2020, εντοπίζοντας 25 </w:t>
      </w:r>
      <w:r>
        <w:rPr>
          <w:lang w:val="en-US"/>
        </w:rPr>
        <w:t>SNP</w:t>
      </w:r>
      <w:r>
        <w:rPr/>
        <w:t xml:space="preserve">s που έφτασαν σε επίπεδα συσχέτισης σε όλο το γονιδίωμα </w:t>
      </w:r>
      <w:r>
        <w:fldChar w:fldCharType="begin"/>
      </w:r>
      <w:r>
        <w:rPr/>
        <w:instrText xml:space="preserve">ADDIN ZOTERO_ITEM CSL_CITATION {"citationID":"anf2HyT0","properties":{"formattedCitation":"[212]","plainCitation":"[212]","noteIndex":0},"citationItems":[{"id":3343,"uris":["http://zotero.org/users/local/WDVvZTBM/items/RLU57ZQ6"],"itemData":{"id":3343,"type":"article-journal","abstract":"The genetic background of childhood body mass index (BMI), and the extent to which the well-known associations of childhood BMI with adult diseases are explained by shared genetic factors, are largely unknown. We performed a genome-wide association study meta-analysis of BMI in 61,111 children aged …","container-title":"PLoS genetics","DOI":"10.1371/journal.pgen.1008718","ISSN":"1553-7404","issue":"10","language":"en","note":"publisher: PLoS Genet\nPMID: 33045005","source":"pubmed.ncbi.nlm.nih.gov","title":"Novel loci for childhood body mass index and shared heritability with adult cardiometabolic traits","URL":"https://pubmed.ncbi.nlm.nih.gov/33045005/","volume":"16","author":[{"family":"S","given":"Vogelezang"},{"family":"Jp","given":"Bradfield"},{"family":"Ts","given":"Ahluwalia"},{"family":"Ja","given":"Curtin"},{"family":"Ta","given":"Lakka"},{"family":"N","given":"Grarup"},{"family":"M","given":"Scholz"},{"family":"Pj","given":"van der Most"},{"family":"C","given":"Monnereau"},{"family":"E","given":"Stergiakouli"},{"family":"A","given":"Heiskala"},{"family":"M","given":"Horikoshi"},{"family":"Io","given":"Fedko"},{"family":"N","given":"Vilor-Tejedor"},{"family":"Dl","given":"Cousminer"},{"family":"M","given":"Standl"},{"family":"Ca","given":"Wang"},{"family":"J","given":"Viikari"},{"family":"F","given":"Geller"},{"family":"C","given":"Íñiguez"},{"family":"N","given":"Pitkänen"},{"family":"A","given":"Chesi"},{"family":"J","given":"Bacelis"},{"family":"L","given":"Yengo"},{"family":"M","given":"Torrent"},{"family":"I","given":"Ntalla"},{"family":"Ø","given":"Helgeland"},{"family":"S","given":"Selzam"},{"family":"Jm","given":"Vonk"},{"family":"Mh","given":"Zafarmand"},{"family":"B","given":"Heude"},{"family":"Is","given":"Farooqi"},{"family":"A","given":"Alyass"},{"family":"Rn","given":"Beaumont"},{"family":"Ct","given":"Have"},{"family":"P","given":"Rzehak"},{"family":"Jr","given":"Bilbao"},{"family":"Tm","given":"Schnurr"},{"family":"I","given":"Barroso"},{"family":"K","given":"Bønnelykke"},{"family":"Lj","given":"Beilin"},{"family":"L","given":"Carstensen"},{"family":"Ma","given":"Charles"},{"family":"B","given":"Chawes"},{"family":"K","given":"Clément"},{"family":"R","given":"Closa-Monasterolo"},{"family":"A","given":"Custovic"},{"family":"Jg","given":"Eriksson"},{"family":"J","given":"Escribano"},{"family":"M","given":"Groen-Blokhuis"},{"family":"V","given":"Grote"},{"family":"D","given":"Gruszfeld"},{"family":"H","given":"Hakonarson"},{"family":"T","given":"Hansen"},{"family":"At","given":"Hattersley"},{"family":"M","given":"Hollensted"},{"family":"Jj","given":"Hottenga"},{"family":"E","given":"Hyppönen"},{"family":"S","given":"Johansson"},{"family":"R","given":"Joro"},{"family":"M","given":"Kähönen"},{"family":"V","given":"Karhunen"},{"family":"W","given":"Kiess"},{"family":"Ba","given":"Knight"},{"family":"B","given":"Koletzko"},{"family":"A","given":"Kühnapfel"},{"family":"K","given":"Landgraf"},{"family":"Jp","given":"Langhendries"},{"family":"T","given":"Lehtimäki"},{"family":"Jt","given":"Leinonen"},{"family":"A","given":"Li"},{"family":"V","given":"Lindi"},{"family":"E","given":"Lowry"},{"family":"M","given":"Bustamante"},{"family":"C","given":"Medina-Gomez"},{"family":"M","given":"Melbye"},{"family":"Kf","given":"Michaelsen"},{"family":"Cs","given":"Morgen"},{"family":"Ta","given":"Mori"},{"family":"Trh","given":"Nielsen"},{"family":"H","given":"Niinikoski"},{"family":"Aj","given":"Oldehinkel"},{"family":"K","given":"Pahkala"},{"family":"K","given":"Panoutsopoulou"},{"family":"O","given":"Pedersen"},{"family":"Ce","given":"Pennell"},{"family":"C","given":"Power"},{"family":"Sa","given":"Reijneveld"},{"family":"F","given":"Rivadeneira"},{"family":"A","given":"Simpson"},{"family":"Pd","given":"Sly"},{"family":"J","given":"Stokholm"},{"family":"Kk","given":"Teo"},{"family":"E","given":"Thiering"},{"family":"Nj","given":"Timpson"},{"family":"Ag","given":"Uitterlinden"},{"family":"Cem","given":"van Beijsterveldt"},{"family":"Bdc","given":"van Schaik"},{"family":"M","given":"Vaudel"},{"family":"E","given":"Verduci"},{"family":"Rk","given":"Vinding"},{"family":"M","given":"Vogel"},{"family":"E","given":"Zeggini"},{"family":"S","given":"Sebert"},{"family":"Mv","given":"Lind"},{"family":"Cd","given":"Brown"},{"family":"L","given":"Santa-Marina"},{"family":"E","given":"Reischl"},{"family":"C","given":"Frithioff-Bøjsøe"},{"family":"D","given":"Meyre"},{"family":"E","given":"Wheeler"},{"family":"K","given":"Ong"},{"family":"Ea","given":"Nohr"},{"family":"Tgm","given":"Vrijkotte"},{"family":"Gh","given":"Koppelman"},{"family":"R","given":"Plomin"},{"family":"Pr","given":"Njølstad"},{"family":"Gd","given":"Dedoussis"},{"family":"P","given":"Froguel"},{"family":"Tia","given":"Sørensen"},{"family":"B","given":"Jacobsson"},{"family":"Rm","given":"Freathy"},{"family":"Bs","given":"Zemel"},{"family":"O","given":"Raitakari"},{"family":"M","given":"Vrijheid"},{"family":"B","given":"Feenstra"},{"family":"Lp","given":"Lyytikäinen"},{"family":"H","given":"Snieder"},{"family":"H","given":"Kirsten"},{"family":"Pg","given":"Holt"},{"family":"J","given":"Heinrich"},{"family":"E","given":"Widén"},{"family":"J","given":"Sunyer"},{"family":"Di","given":"Boomsma"},{"family":"Mr","given":"Järvelin"},{"family":"A","given":"Körner"},{"family":"G","given":"Davey Smith"},{"family":"Jc","given":"Holm"},{"family":"M","given":"Atalay"},{"family":"C","given":"Murray"},{"family":"H","given":"Bisgaard"},{"family":"Mi","given":"McCarthy"},{"family":"Vwv","given":"Jaddoe"},{"family":"Sfa","given":"Grant"},{"family":"Jf","given":"Felix"}],"accessed":{"date-parts":[["2023",12,6]]},"issued":{"date-parts":[["2020",12,10]]}}}],"schema":"https://github.com/citation-style-language/schema/raw/master/csl-citation.json"}</w:instrText>
      </w:r>
      <w:r>
        <w:rPr/>
      </w:r>
      <w:r>
        <w:rPr/>
        <w:fldChar w:fldCharType="separate"/>
      </w:r>
      <w:r>
        <w:rPr/>
        <w:t>[212]</w:t>
      </w:r>
      <w:r>
        <w:rPr/>
      </w:r>
      <w:r>
        <w:rPr/>
        <w:fldChar w:fldCharType="end"/>
      </w:r>
      <w:r>
        <w:rPr/>
        <w:t xml:space="preserve">. Από τα 25 </w:t>
      </w:r>
      <w:r>
        <w:rPr>
          <w:lang w:val="en-US"/>
        </w:rPr>
        <w:t>SNP</w:t>
      </w:r>
      <w:r>
        <w:rPr/>
        <w:t xml:space="preserve">s, τα δύο ήταν νέα και δεν είχαν συσχετιστεί προηγουμένως με ΔΜΣ ούτε σε ενήλικες ούτε σε παιδιά: </w:t>
      </w:r>
      <w:r>
        <w:rPr>
          <w:lang w:val="en-US"/>
        </w:rPr>
        <w:t>rs</w:t>
      </w:r>
      <w:r>
        <w:rPr/>
        <w:t xml:space="preserve">1094647 ( </w:t>
      </w:r>
      <w:r>
        <w:rPr>
          <w:lang w:val="en-US"/>
        </w:rPr>
        <w:t>p</w:t>
      </w:r>
      <w:r>
        <w:rPr/>
        <w:t xml:space="preserve"> = 7,20 × 10-</w:t>
      </w:r>
      <w:r>
        <w:rPr>
          <w:vertAlign w:val="superscript"/>
        </w:rPr>
        <w:t>10</w:t>
      </w:r>
      <w:r>
        <w:rPr/>
        <w:t xml:space="preserve">) κοντά στο </w:t>
      </w:r>
      <w:r>
        <w:rPr>
          <w:lang w:val="en-US"/>
        </w:rPr>
        <w:t>SLC</w:t>
      </w:r>
      <w:r>
        <w:rPr/>
        <w:t>45</w:t>
      </w:r>
      <w:r>
        <w:rPr>
          <w:lang w:val="en-US"/>
        </w:rPr>
        <w:t>A</w:t>
      </w:r>
      <w:r>
        <w:rPr/>
        <w:t>3/</w:t>
      </w:r>
      <w:r>
        <w:rPr>
          <w:lang w:val="en-US"/>
        </w:rPr>
        <w:t>NUCKS</w:t>
      </w:r>
      <w:r>
        <w:rPr/>
        <w:t xml:space="preserve">1 και το </w:t>
      </w:r>
      <w:r>
        <w:rPr>
          <w:lang w:val="en-US"/>
        </w:rPr>
        <w:t>rs</w:t>
      </w:r>
      <w:r>
        <w:rPr/>
        <w:t>184566112 (</w:t>
      </w:r>
      <w:r>
        <w:rPr>
          <w:lang w:val="en-US"/>
        </w:rPr>
        <w:t>p</w:t>
      </w:r>
      <w:r>
        <w:rPr/>
        <w:t xml:space="preserve"> = 4,24 </w:t>
      </w:r>
      <w:r>
        <w:rPr>
          <w:lang w:val="en-US"/>
        </w:rPr>
        <w:t>x</w:t>
      </w:r>
      <w:r>
        <w:rPr/>
        <w:t xml:space="preserve"> 10-</w:t>
      </w:r>
      <w:r>
        <w:rPr>
          <w:vertAlign w:val="superscript"/>
        </w:rPr>
        <w:t>8</w:t>
      </w:r>
      <w:r>
        <w:rPr/>
        <w:t xml:space="preserve">) κοντά στο </w:t>
      </w:r>
      <w:r>
        <w:rPr>
          <w:lang w:val="en-US"/>
        </w:rPr>
        <w:t>NEDD</w:t>
      </w:r>
      <w:r>
        <w:rPr/>
        <w:t>4</w:t>
      </w:r>
      <w:r>
        <w:rPr>
          <w:lang w:val="en-US"/>
        </w:rPr>
        <w:t>L</w:t>
      </w:r>
      <w:r>
        <w:rPr/>
        <w:t xml:space="preserve">. Εν τω μεταξύ, οι </w:t>
      </w:r>
      <w:r>
        <w:rPr>
          <w:lang w:val="en-US"/>
        </w:rPr>
        <w:t>Vogelezang</w:t>
      </w:r>
      <w:r>
        <w:rPr/>
        <w:t xml:space="preserve"> </w:t>
      </w:r>
      <w:r>
        <w:rPr>
          <w:lang w:val="en-US"/>
        </w:rPr>
        <w:t>et</w:t>
      </w:r>
      <w:r>
        <w:rPr/>
        <w:t xml:space="preserve"> </w:t>
      </w:r>
      <w:r>
        <w:rPr>
          <w:lang w:val="en-US"/>
        </w:rPr>
        <w:t>al</w:t>
      </w:r>
      <w:r>
        <w:rPr/>
        <w:t xml:space="preserve">. </w:t>
      </w:r>
      <w:r>
        <w:fldChar w:fldCharType="begin"/>
      </w:r>
      <w:r>
        <w:rPr/>
        <w:instrText xml:space="preserve">ADDIN ZOTERO_ITEM CSL_CITATION {"citationID":"fDUctSxk","properties":{"formattedCitation":"[212]","plainCitation":"[212]","noteIndex":0},"citationItems":[{"id":3343,"uris":["http://zotero.org/users/local/WDVvZTBM/items/RLU57ZQ6"],"itemData":{"id":3343,"type":"article-journal","abstract":"The genetic background of childhood body mass index (BMI), and the extent to which the well-known associations of childhood BMI with adult diseases are explained by shared genetic factors, are largely unknown. We performed a genome-wide association study meta-analysis of BMI in 61,111 children aged …","container-title":"PLoS genetics","DOI":"10.1371/journal.pgen.1008718","ISSN":"1553-7404","issue":"10","language":"en","note":"publisher: PLoS Genet\nPMID: 33045005","source":"pubmed.ncbi.nlm.nih.gov","title":"Novel loci for childhood body mass index and shared heritability with adult cardiometabolic traits","URL":"https://pubmed.ncbi.nlm.nih.gov/33045005/","volume":"16","author":[{"family":"S","given":"Vogelezang"},{"family":"Jp","given":"Bradfield"},{"family":"Ts","given":"Ahluwalia"},{"family":"Ja","given":"Curtin"},{"family":"Ta","given":"Lakka"},{"family":"N","given":"Grarup"},{"family":"M","given":"Scholz"},{"family":"Pj","given":"van der Most"},{"family":"C","given":"Monnereau"},{"family":"E","given":"Stergiakouli"},{"family":"A","given":"Heiskala"},{"family":"M","given":"Horikoshi"},{"family":"Io","given":"Fedko"},{"family":"N","given":"Vilor-Tejedor"},{"family":"Dl","given":"Cousminer"},{"family":"M","given":"Standl"},{"family":"Ca","given":"Wang"},{"family":"J","given":"Viikari"},{"family":"F","given":"Geller"},{"family":"C","given":"Íñiguez"},{"family":"N","given":"Pitkänen"},{"family":"A","given":"Chesi"},{"family":"J","given":"Bacelis"},{"family":"L","given":"Yengo"},{"family":"M","given":"Torrent"},{"family":"I","given":"Ntalla"},{"family":"Ø","given":"Helgeland"},{"family":"S","given":"Selzam"},{"family":"Jm","given":"Vonk"},{"family":"Mh","given":"Zafarmand"},{"family":"B","given":"Heude"},{"family":"Is","given":"Farooqi"},{"family":"A","given":"Alyass"},{"family":"Rn","given":"Beaumont"},{"family":"Ct","given":"Have"},{"family":"P","given":"Rzehak"},{"family":"Jr","given":"Bilbao"},{"family":"Tm","given":"Schnurr"},{"family":"I","given":"Barroso"},{"family":"K","given":"Bønnelykke"},{"family":"Lj","given":"Beilin"},{"family":"L","given":"Carstensen"},{"family":"Ma","given":"Charles"},{"family":"B","given":"Chawes"},{"family":"K","given":"Clément"},{"family":"R","given":"Closa-Monasterolo"},{"family":"A","given":"Custovic"},{"family":"Jg","given":"Eriksson"},{"family":"J","given":"Escribano"},{"family":"M","given":"Groen-Blokhuis"},{"family":"V","given":"Grote"},{"family":"D","given":"Gruszfeld"},{"family":"H","given":"Hakonarson"},{"family":"T","given":"Hansen"},{"family":"At","given":"Hattersley"},{"family":"M","given":"Hollensted"},{"family":"Jj","given":"Hottenga"},{"family":"E","given":"Hyppönen"},{"family":"S","given":"Johansson"},{"family":"R","given":"Joro"},{"family":"M","given":"Kähönen"},{"family":"V","given":"Karhunen"},{"family":"W","given":"Kiess"},{"family":"Ba","given":"Knight"},{"family":"B","given":"Koletzko"},{"family":"A","given":"Kühnapfel"},{"family":"K","given":"Landgraf"},{"family":"Jp","given":"Langhendries"},{"family":"T","given":"Lehtimäki"},{"family":"Jt","given":"Leinonen"},{"family":"A","given":"Li"},{"family":"V","given":"Lindi"},{"family":"E","given":"Lowry"},{"family":"M","given":"Bustamante"},{"family":"C","given":"Medina-Gomez"},{"family":"M","given":"Melbye"},{"family":"Kf","given":"Michaelsen"},{"family":"Cs","given":"Morgen"},{"family":"Ta","given":"Mori"},{"family":"Trh","given":"Nielsen"},{"family":"H","given":"Niinikoski"},{"family":"Aj","given":"Oldehinkel"},{"family":"K","given":"Pahkala"},{"family":"K","given":"Panoutsopoulou"},{"family":"O","given":"Pedersen"},{"family":"Ce","given":"Pennell"},{"family":"C","given":"Power"},{"family":"Sa","given":"Reijneveld"},{"family":"F","given":"Rivadeneira"},{"family":"A","given":"Simpson"},{"family":"Pd","given":"Sly"},{"family":"J","given":"Stokholm"},{"family":"Kk","given":"Teo"},{"family":"E","given":"Thiering"},{"family":"Nj","given":"Timpson"},{"family":"Ag","given":"Uitterlinden"},{"family":"Cem","given":"van Beijsterveldt"},{"family":"Bdc","given":"van Schaik"},{"family":"M","given":"Vaudel"},{"family":"E","given":"Verduci"},{"family":"Rk","given":"Vinding"},{"family":"M","given":"Vogel"},{"family":"E","given":"Zeggini"},{"family":"S","given":"Sebert"},{"family":"Mv","given":"Lind"},{"family":"Cd","given":"Brown"},{"family":"L","given":"Santa-Marina"},{"family":"E","given":"Reischl"},{"family":"C","given":"Frithioff-Bøjsøe"},{"family":"D","given":"Meyre"},{"family":"E","given":"Wheeler"},{"family":"K","given":"Ong"},{"family":"Ea","given":"Nohr"},{"family":"Tgm","given":"Vrijkotte"},{"family":"Gh","given":"Koppelman"},{"family":"R","given":"Plomin"},{"family":"Pr","given":"Njølstad"},{"family":"Gd","given":"Dedoussis"},{"family":"P","given":"Froguel"},{"family":"Tia","given":"Sørensen"},{"family":"B","given":"Jacobsson"},{"family":"Rm","given":"Freathy"},{"family":"Bs","given":"Zemel"},{"family":"O","given":"Raitakari"},{"family":"M","given":"Vrijheid"},{"family":"B","given":"Feenstra"},{"family":"Lp","given":"Lyytikäinen"},{"family":"H","given":"Snieder"},{"family":"H","given":"Kirsten"},{"family":"Pg","given":"Holt"},{"family":"J","given":"Heinrich"},{"family":"E","given":"Widén"},{"family":"J","given":"Sunyer"},{"family":"Di","given":"Boomsma"},{"family":"Mr","given":"Järvelin"},{"family":"A","given":"Körner"},{"family":"G","given":"Davey Smith"},{"family":"Jc","given":"Holm"},{"family":"M","given":"Atalay"},{"family":"C","given":"Murray"},{"family":"H","given":"Bisgaard"},{"family":"Mi","given":"McCarthy"},{"family":"Vwv","given":"Jaddoe"},{"family":"Sfa","given":"Grant"},{"family":"Jf","given":"Felix"}],"accessed":{"date-parts":[["2023",12,6]]},"issued":{"date-parts":[["2020",12,10]]}}}],"schema":"https://github.com/citation-style-language/schema/raw/master/csl-citation.json"}</w:instrText>
      </w:r>
      <w:r>
        <w:rPr/>
      </w:r>
      <w:r>
        <w:rPr/>
        <w:fldChar w:fldCharType="separate"/>
      </w:r>
      <w:r>
        <w:rPr/>
        <w:t>[212]</w:t>
      </w:r>
      <w:r>
        <w:rPr/>
      </w:r>
      <w:r>
        <w:rPr/>
        <w:fldChar w:fldCharType="end"/>
      </w:r>
      <w:r>
        <w:rPr/>
        <w:t xml:space="preserve"> έκαναν μια αναζήτηση των 25 </w:t>
      </w:r>
      <w:r>
        <w:rPr>
          <w:lang w:val="en-US"/>
        </w:rPr>
        <w:t>SNPs</w:t>
      </w:r>
      <w:r>
        <w:rPr/>
        <w:t xml:space="preserve"> σε μια μεγάλη </w:t>
      </w:r>
      <w:r>
        <w:rPr>
          <w:lang w:val="en-US"/>
        </w:rPr>
        <w:t>GWAS</w:t>
      </w:r>
      <w:r>
        <w:rPr/>
        <w:t xml:space="preserve"> για το ΔΜΣ ενηλίκων, συμπεριλαμβανομένων περίπου 700.000 ατόμων.  Βρήκαν ότι 20 (12 πρωτότυπα </w:t>
      </w:r>
      <w:r>
        <w:rPr>
          <w:lang w:val="en-US"/>
        </w:rPr>
        <w:t>SNP</w:t>
      </w:r>
      <w:r>
        <w:rPr/>
        <w:t xml:space="preserve">s και 8 </w:t>
      </w:r>
      <w:r>
        <w:rPr>
          <w:lang w:val="en-US"/>
        </w:rPr>
        <w:t>SNPs</w:t>
      </w:r>
      <w:r>
        <w:rPr/>
        <w:t xml:space="preserve"> μεσολάβησης [</w:t>
      </w:r>
      <w:r>
        <w:rPr>
          <w:lang w:val="en-US"/>
        </w:rPr>
        <w:t>r</w:t>
      </w:r>
      <w:r>
        <w:rPr/>
        <w:t xml:space="preserve">² ≥ 0,87]) από τα 25 </w:t>
      </w:r>
      <w:r>
        <w:rPr>
          <w:lang w:val="en-US"/>
        </w:rPr>
        <w:t>SNP</w:t>
      </w:r>
      <w:r>
        <w:rPr/>
        <w:t xml:space="preserve"> για ΔΜΣ παιδικής ηλικίας ήταν διαθέσιμα σε </w:t>
      </w:r>
      <w:r>
        <w:rPr>
          <w:lang w:val="en-US"/>
        </w:rPr>
        <w:t>GWAS</w:t>
      </w:r>
      <w:r>
        <w:rPr/>
        <w:t xml:space="preserve"> ΔΜΣ ενηλίκων. Και τα 20 </w:t>
      </w:r>
      <w:r>
        <w:rPr>
          <w:lang w:val="en-US"/>
        </w:rPr>
        <w:t>SNPs</w:t>
      </w:r>
      <w:r>
        <w:rPr/>
        <w:t xml:space="preserve"> είχαν την ίδια κατεύθυνση επίδρασης σε ενήλικες και παιδιά. Από αυτά, 18 </w:t>
      </w:r>
      <w:r>
        <w:rPr>
          <w:lang w:val="en-US"/>
        </w:rPr>
        <w:t>SNPs</w:t>
      </w:r>
      <w:r>
        <w:rPr/>
        <w:t xml:space="preserve"> συσχετίστηκαν επίσης σημαντικά σε όλο το γονιδίωμα με τον ΔΜΣ των ενηλίκων και τα άλλα δύο </w:t>
      </w:r>
      <w:r>
        <w:rPr>
          <w:lang w:val="en-US"/>
        </w:rPr>
        <w:t>SNPs</w:t>
      </w:r>
      <w:r>
        <w:rPr/>
        <w:t xml:space="preserve">, που βρίσκονται κοντά στο </w:t>
      </w:r>
      <w:r>
        <w:rPr>
          <w:lang w:val="en-US"/>
        </w:rPr>
        <w:t>SLC</w:t>
      </w:r>
      <w:r>
        <w:rPr/>
        <w:t>45</w:t>
      </w:r>
      <w:r>
        <w:rPr>
          <w:lang w:val="en-US"/>
        </w:rPr>
        <w:t>A</w:t>
      </w:r>
      <w:r>
        <w:rPr/>
        <w:t xml:space="preserve">3 και το </w:t>
      </w:r>
      <w:r>
        <w:rPr>
          <w:lang w:val="en-US"/>
        </w:rPr>
        <w:t>METTL</w:t>
      </w:r>
      <w:r>
        <w:rPr/>
        <w:t>15, έδειξαν ενδεικτικά στοιχεία συσχέτισης (</w:t>
      </w:r>
      <w:r>
        <w:rPr>
          <w:lang w:val="en-US"/>
        </w:rPr>
        <w:t>p</w:t>
      </w:r>
      <w:r>
        <w:rPr/>
        <w:t xml:space="preserve"> &lt; 2,1 </w:t>
      </w:r>
      <w:r>
        <w:rPr>
          <w:lang w:val="en-US"/>
        </w:rPr>
        <w:t>x</w:t>
      </w:r>
      <w:r>
        <w:rPr/>
        <w:t xml:space="preserve"> 10-</w:t>
      </w:r>
      <w:r>
        <w:rPr>
          <w:vertAlign w:val="superscript"/>
        </w:rPr>
        <w:t>6</w:t>
      </w:r>
      <w:r>
        <w:rPr/>
        <w:t>). Η πιο πρόσφατη μελέτη συσχέτισης σε επίπεδο γονιδιώματος του παιδικού ΔΜΣ δημοσιεύτηκε τον Δεκέμβριο του 2021, υποδηλώνοντας έναν νέο υπολειπόμενο τόπο (</w:t>
      </w:r>
      <w:r>
        <w:rPr>
          <w:lang w:val="en-US"/>
        </w:rPr>
        <w:t>rs</w:t>
      </w:r>
      <w:r>
        <w:rPr/>
        <w:t xml:space="preserve">9292139, </w:t>
      </w:r>
      <w:r>
        <w:rPr>
          <w:lang w:val="en-US"/>
        </w:rPr>
        <w:t>p</w:t>
      </w:r>
      <w:r>
        <w:rPr/>
        <w:t xml:space="preserve"> = 5,01 × 10-</w:t>
      </w:r>
      <w:r>
        <w:rPr>
          <w:vertAlign w:val="superscript"/>
        </w:rPr>
        <w:t>3</w:t>
      </w:r>
      <w:r>
        <w:rPr/>
        <w:t xml:space="preserve">) σε όλο το γονιδίωμα που σχετίζεται σημαντικά με το ΔΜΣ σε 892 παιδιά με άσθμα </w:t>
      </w:r>
      <w:r>
        <w:fldChar w:fldCharType="begin"/>
      </w:r>
      <w:r>
        <w:rPr/>
        <w:instrText xml:space="preserve">ADDIN ZOTERO_ITEM CSL_CITATION {"citationID":"VnU3Fyg5","properties":{"formattedCitation":"[213]","plainCitation":"[213]","noteIndex":0},"citationItems":[{"id":3348,"uris":["http://zotero.org/users/local/WDVvZTBM/items/W6DJT8NJ"],"itemData":{"id":3348,"type":"article-journal","abstract":"&lt;p&gt;Most genome-wide association studies of obesity and body mass index (BMI) have so far assumed an additive mode of inheritance in their analysis, although association testing supports a recessive effect for some of the established loci, for example, rs1421085 in &lt;i&gt;FTO&lt;/i&gt;. In two whole-genome sequencing (WGS) studies of children with asthma and their parents (892 Costa Rican trios and 286 North American trios), we discovered an association between a locus (rs9292139) in &lt;i&gt;LOC102724122&lt;/i&gt; and BMI that reaches genome-wide significance under a recessive model in the combined analysis. As the association does not achieve significance under an additive model, our finding illustrates the benefits of the recessive model in WGS analyses.&lt;/p&gt;","container-title":"Thorax","DOI":"10.1136/thoraxjnl-2020-215742","ISSN":"0040-6376, 1468-3296","issue":"12","language":"en","license":"© Author(s) (or their employer(s)) 2021. No commercial re-use. See rights and permissions. Published by BMJ.","note":"publisher: BMJ Publishing Group Ltd\nsection: Brief communication\nPMID: 33888571","page":"1227-1230","source":"thorax.bmj.com","title":"Novel recessive locus for body mass index in childhood asthma","volume":"76","author":[{"family":"Lee","given":"Sanghun"},{"family":"Lasky-Su","given":"Jessica"},{"family":"Won","given":"Sungho"},{"family":"Laurie","given":"Cecelia"},{"family":"Celedón","given":"Juan Carlos"},{"family":"Lange","given":"Christoph"},{"family":"Weiss","given":"Scott"},{"family":"Hecker","given":"Julian"}],"issued":{"date-parts":[["2021",12,1]]}}}],"schema":"https://github.com/citation-style-language/schema/raw/master/csl-citation.json"}</w:instrText>
      </w:r>
      <w:r>
        <w:rPr/>
      </w:r>
      <w:r>
        <w:rPr/>
        <w:fldChar w:fldCharType="separate"/>
      </w:r>
      <w:r>
        <w:rPr/>
        <w:t>[213]</w:t>
      </w:r>
      <w:r>
        <w:rPr/>
      </w:r>
      <w:r>
        <w:rPr/>
        <w:fldChar w:fldCharType="end"/>
      </w:r>
      <w:r>
        <w:rPr/>
        <w:t xml:space="preserve">. </w:t>
      </w:r>
    </w:p>
    <w:p>
      <w:pPr>
        <w:pStyle w:val="Normal"/>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s>
        <w:spacing w:lineRule="auto" w:line="360"/>
        <w:jc w:val="both"/>
        <w:rPr/>
      </w:pPr>
      <w:r>
        <w:rPr/>
        <w:tab/>
        <w:t xml:space="preserve">Συνοπτικά, η παραπάνω </w:t>
      </w:r>
      <w:r>
        <w:rPr>
          <w:lang w:val="en-US"/>
        </w:rPr>
        <w:t>GWAS</w:t>
      </w:r>
      <w:r>
        <w:rPr/>
        <w:t xml:space="preserve"> εντόπισε συνολικά 50 τόπους που σχετίζονται με το ΔΜΣ της παιδικής ηλικίας, από τους οποίους έξι τόποι (</w:t>
      </w:r>
      <w:r>
        <w:rPr>
          <w:lang w:val="en-US"/>
        </w:rPr>
        <w:t>rs</w:t>
      </w:r>
      <w:r>
        <w:rPr/>
        <w:t xml:space="preserve">1421085, </w:t>
      </w:r>
      <w:r>
        <w:rPr>
          <w:lang w:val="en-US"/>
        </w:rPr>
        <w:t>rs</w:t>
      </w:r>
      <w:r>
        <w:rPr/>
        <w:t xml:space="preserve">11676272, </w:t>
      </w:r>
      <w:r>
        <w:rPr>
          <w:lang w:val="en-US"/>
        </w:rPr>
        <w:t>rs</w:t>
      </w:r>
      <w:r>
        <w:rPr/>
        <w:t xml:space="preserve">12429545, </w:t>
      </w:r>
      <w:r>
        <w:rPr>
          <w:lang w:val="en-US"/>
        </w:rPr>
        <w:t>rs</w:t>
      </w:r>
      <w:r>
        <w:rPr/>
        <w:t xml:space="preserve">571312, </w:t>
      </w:r>
      <w:r>
        <w:rPr>
          <w:lang w:val="en-US"/>
        </w:rPr>
        <w:t>rs</w:t>
      </w:r>
      <w:r>
        <w:rPr/>
        <w:t xml:space="preserve">1558902, </w:t>
      </w:r>
      <w:r>
        <w:rPr>
          <w:lang w:val="en-US"/>
        </w:rPr>
        <w:t>rs</w:t>
      </w:r>
      <w:r>
        <w:rPr/>
        <w:t xml:space="preserve">543874) αναφέρθηκαν επανειλημμένα σε διαφορετικές μελέτες. Όταν συγκεντρώσαμε τους 50 τόπους σε ανισορροπία σύνδεσης και τους συγκρίναμε με τιμές </w:t>
      </w:r>
      <w:r>
        <w:rPr>
          <w:lang w:val="en-US"/>
        </w:rPr>
        <w:t>p</w:t>
      </w:r>
      <w:r>
        <w:rPr/>
        <w:t xml:space="preserve">, εντοπίστηκαν 31 μολύβδινα </w:t>
      </w:r>
      <w:r>
        <w:rPr>
          <w:lang w:val="en-US"/>
        </w:rPr>
        <w:t>SNP</w:t>
      </w:r>
      <w:r>
        <w:rPr/>
        <w:t xml:space="preserve">. Αυτό σήμαινε επίσης ότι 19 </w:t>
      </w:r>
      <w:r>
        <w:rPr>
          <w:lang w:val="en-US"/>
        </w:rPr>
        <w:t>SNP</w:t>
      </w:r>
      <w:r>
        <w:rPr/>
        <w:t xml:space="preserve"> σε ανισορροπία υψηλής σύνδεσης με </w:t>
      </w:r>
      <w:r>
        <w:rPr>
          <w:lang w:val="en-US"/>
        </w:rPr>
        <w:t>SNP</w:t>
      </w:r>
      <w:r>
        <w:rPr/>
        <w:t xml:space="preserve"> μολύβδου αναπαράχθηκαν με επιτυχία.</w:t>
      </w:r>
    </w:p>
    <w:p>
      <w:pPr>
        <w:pStyle w:val="Normal"/>
        <w:keepNext w:val="true"/>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s>
        <w:spacing w:lineRule="auto" w:line="360"/>
        <w:jc w:val="both"/>
        <w:rPr/>
      </w:pPr>
      <w:r>
        <w:rPr/>
        <w:drawing>
          <wp:inline distT="0" distB="0" distL="0" distR="0">
            <wp:extent cx="5278755" cy="2176780"/>
            <wp:effectExtent l="0" t="0" r="0" b="0"/>
            <wp:docPr id="14" name="Εικόνα11" descr="Εικόνα που περιέχει κείμενο, γραμμή, γραμματοσειρά,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Εικόνα11" descr="Εικόνα που περιέχει κείμενο, γραμμή, γραμματοσειρά, στιγμιότυπο οθόνης&#10;&#10;Περιγραφή που δημιουργήθηκε αυτόματα"/>
                    <pic:cNvPicPr>
                      <a:picLocks noChangeAspect="1" noChangeArrowheads="1"/>
                    </pic:cNvPicPr>
                  </pic:nvPicPr>
                  <pic:blipFill>
                    <a:blip r:embed="rId31"/>
                    <a:stretch>
                      <a:fillRect/>
                    </a:stretch>
                  </pic:blipFill>
                  <pic:spPr bwMode="auto">
                    <a:xfrm>
                      <a:off x="0" y="0"/>
                      <a:ext cx="5278755" cy="2176780"/>
                    </a:xfrm>
                    <a:prstGeom prst="rect">
                      <a:avLst/>
                    </a:prstGeom>
                  </pic:spPr>
                </pic:pic>
              </a:graphicData>
            </a:graphic>
          </wp:inline>
        </w:drawing>
      </w:r>
    </w:p>
    <w:p>
      <w:pPr>
        <w:pStyle w:val="Caption1"/>
        <w:jc w:val="center"/>
        <w:rPr/>
      </w:pPr>
      <w:bookmarkStart w:id="85" w:name="_Toc152764778"/>
      <w:r>
        <w:rPr/>
        <w:t xml:space="preserve">Εικόνα </w:t>
      </w:r>
      <w:r>
        <w:rPr/>
        <w:fldChar w:fldCharType="begin"/>
      </w:r>
      <w:r>
        <w:rPr/>
        <w:instrText xml:space="preserve"> SEQ Εικόνα \* ARABIC </w:instrText>
      </w:r>
      <w:r>
        <w:rPr/>
        <w:fldChar w:fldCharType="separate"/>
      </w:r>
      <w:r>
        <w:rPr/>
        <w:t>12</w:t>
      </w:r>
      <w:r>
        <w:rPr/>
        <w:fldChar w:fldCharType="end"/>
      </w:r>
      <w:r>
        <w:rPr/>
        <w:t xml:space="preserve">: </w:t>
      </w:r>
      <w:r>
        <w:rPr>
          <w:b w:val="false"/>
          <w:bCs w:val="false"/>
          <w:i/>
          <w:iCs/>
          <w:sz w:val="18"/>
          <w:szCs w:val="18"/>
        </w:rPr>
        <w:t>Χρονοδιάγραμμα της ανάπτυξης G</w:t>
      </w:r>
      <w:r>
        <w:rPr>
          <w:b w:val="false"/>
          <w:bCs w:val="false"/>
          <w:i/>
          <w:iCs/>
          <w:sz w:val="18"/>
          <w:szCs w:val="18"/>
          <w:lang w:val="en-US"/>
        </w:rPr>
        <w:t>WAS</w:t>
      </w:r>
      <w:r>
        <w:rPr>
          <w:b w:val="false"/>
          <w:bCs w:val="false"/>
          <w:i/>
          <w:iCs/>
          <w:sz w:val="18"/>
          <w:szCs w:val="18"/>
        </w:rPr>
        <w:t xml:space="preserve"> για ΔΜΣ στην παιδική ηλικία, λίπος σώματος και παχυσαρκίας τα τελευταία 15 χρόνια </w:t>
      </w:r>
      <w:r>
        <w:fldChar w:fldCharType="begin"/>
      </w:r>
      <w:r>
        <w:rPr>
          <w:sz w:val="18"/>
          <w:i/>
          <w:b w:val="false"/>
          <w:szCs w:val="18"/>
          <w:iCs/>
          <w:bCs w:val="false"/>
        </w:rPr>
        <w:instrText xml:space="preserve">ADDIN ZOTERO_ITEM CSL_CITATION {"citationID":"S3Jgq590","properties":{"formattedCitation":"[200]","plainCitation":"[200]","noteIndex":0},"citationItems":[{"id":3347,"uris":["http://zotero.org/users/local/WDVvZTBM/items/WYYKDT7N"],"itemData":{"id":3347,"type":"article-journal","abstract":"Background\nThe progress of genome-wide association studies (GWAS) in childhood obesity and its indicators is challenging and there are differences in genetic studies in children and adults.\n \nObject...","container-title":"Pediatric Obesity","DOI":"10.1111/ijpo.13077","ISSN":"2047-6310","issue":"12","language":"en","note":"publisher: John Wiley &amp; Sons, Ltd","page":"e13077","source":"onlinelibrary.wiley.com","title":"Development of genome-wide association studies on childhood obesity and its indicators: A scoping review and enrichment analysis","title-short":"Development of genome-wide association studies on childhood obesity and its indicators","volume":"18","author":[{"family":"Zhou","given":"Feixiang"},{"family":"Tian","given":"Gang"},{"family":"Cui","given":"Yiran"},{"family":"He","given":"Simin"},{"family":"Yan","given":"Yan"}],"issued":{"date-parts":[["2023",12,1]]}}}],"schema":"https://github.com/citation-style-language/schema/raw/master/csl-citation.json"}</w:instrText>
      </w:r>
      <w:r>
        <w:rPr>
          <w:b w:val="false"/>
          <w:bCs w:val="false"/>
          <w:i/>
          <w:iCs/>
          <w:sz w:val="18"/>
          <w:szCs w:val="18"/>
        </w:rPr>
      </w:r>
      <w:r>
        <w:rPr>
          <w:sz w:val="18"/>
          <w:i/>
          <w:b w:val="false"/>
          <w:szCs w:val="18"/>
          <w:iCs/>
          <w:bCs w:val="false"/>
        </w:rPr>
        <w:fldChar w:fldCharType="separate"/>
      </w:r>
      <w:r>
        <w:rPr>
          <w:b w:val="false"/>
          <w:bCs w:val="false"/>
          <w:i/>
          <w:iCs/>
          <w:sz w:val="18"/>
          <w:szCs w:val="18"/>
        </w:rPr>
        <w:t>[200]</w:t>
      </w:r>
      <w:r>
        <w:rPr>
          <w:b w:val="false"/>
          <w:bCs w:val="false"/>
          <w:i/>
          <w:iCs/>
          <w:sz w:val="18"/>
          <w:szCs w:val="18"/>
        </w:rPr>
      </w:r>
      <w:r>
        <w:rPr>
          <w:sz w:val="18"/>
          <w:i/>
          <w:b w:val="false"/>
          <w:szCs w:val="18"/>
          <w:iCs/>
          <w:bCs w:val="false"/>
        </w:rPr>
        <w:fldChar w:fldCharType="end"/>
      </w:r>
      <w:r>
        <w:rPr>
          <w:b w:val="false"/>
          <w:bCs w:val="false"/>
          <w:i/>
          <w:iCs/>
          <w:sz w:val="18"/>
          <w:szCs w:val="18"/>
        </w:rPr>
        <w:t>.</w:t>
      </w:r>
      <w:bookmarkEnd w:id="85"/>
    </w:p>
    <w:p>
      <w:pPr>
        <w:pStyle w:val="Heading2"/>
        <w:rPr/>
      </w:pPr>
      <w:bookmarkStart w:id="86" w:name="_Toc154923847"/>
      <w:r>
        <w:rPr/>
        <w:t xml:space="preserve">5.2 Μελέτες </w:t>
      </w:r>
      <w:r>
        <w:rPr>
          <w:lang w:val="en-US"/>
        </w:rPr>
        <w:t>GWAS</w:t>
      </w:r>
      <w:r>
        <w:rPr/>
        <w:t xml:space="preserve"> για το σωματικό λίπος</w:t>
      </w:r>
      <w:bookmarkEnd w:id="86"/>
      <w:r>
        <w:rPr/>
        <w:t xml:space="preserve"> </w:t>
      </w:r>
    </w:p>
    <w:p>
      <w:pPr>
        <w:pStyle w:val="Normal"/>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s>
        <w:spacing w:lineRule="auto" w:line="360"/>
        <w:jc w:val="both"/>
        <w:rPr/>
      </w:pPr>
      <w:r>
        <w:rPr/>
        <w:tab/>
        <w:t xml:space="preserve">Συνολικά, τέσσερις μελέτες συσχέτισης σε όλο το γονιδίωμα που επικεντρώνονται στο σωματικό λίπος της παιδικής ηλικίας δημοσιεύτηκαν το 2011, το 2012, το 2019 και το 2021 αντίστοιχα </w:t>
      </w:r>
      <w:r>
        <w:fldChar w:fldCharType="begin"/>
      </w:r>
      <w:r>
        <w:rPr/>
        <w:instrText xml:space="preserve">ADDIN ZOTERO_ITEM CSL_CITATION {"citationID":"xCQLdEs7","properties":{"formattedCitation":"[14], [202], [211]","plainCitation":"[14], [202], [211]","noteIndex":0},"citationItems":[{"id":2524,"uris":["http://zotero.org/users/local/WDVvZTBM/items/ZW4KXYQJ"],"itemData":{"id":2524,"type":"article-journal","container-title":"Plos One","DOI":"10.1371/journal.pone.0051954","title":"Novel Genetic Loci Identified for the Pathophysiology of Childhood Obesity in the Hispanic Population","author":[{"family":"Comuzzie","given":"Anthony G."},{"family":"Cole","given":"Shelley A."},{"family":"Laston","given":"Sandra"},{"family":"Voruganti","given":"V. Saroja"},{"family":"Haack","given":"Karin"},{"family":"Gibbs","given":"Richard A."},{"family":"Butte","given":"Nancy F."}],"issued":{"date-parts":[["2012"]]}}},{"id":3305,"uris":["http://zotero.org/users/local/WDVvZTBM/items/3XAEUJMX"],"itemData":{"id":3305,"type":"article-journal","abstract":"Genome-wide association studies conducted in an adolescent founder population revealed two new and a number of previously identified loci of obesity and demonstrated that several but not all of these loci are also associated with elevated BP. These results begin to reveal the genetic architecture of …","container-title":"The Journal of clinical endocrinology and metabolism","DOI":"10.1210/jc.2011-1801","ISSN":"1945-7197","issue":"1","language":"en","note":"publisher: J Clin Endocrinol Metab\nPMID: 22013104","source":"pubmed.ncbi.nlm.nih.gov","title":"Genome-wide scan for loci of adolescent obesity and their relationship with blood pressure","URL":"https://pubmed.ncbi.nlm.nih.gov/22013104/","volume":"97","author":[{"family":"Mg","given":"Melka"},{"family":"M","given":"Bernard"},{"family":"A","given":"Mahboubi"},{"family":"M","given":"Abrahamowicz"},{"family":"Ad","given":"Paterson"},{"family":"C","given":"Syme"},{"family":"A","given":"Lourdusamy"},{"family":"G","given":"Schumann"},{"family":"Gt","given":"Leonard"},{"family":"M","given":"Perron"},{"family":"L","given":"Richer"},{"family":"S","given":"Veillette"},{"family":"D","given":"Gaudet"},{"family":"T","given":"Paus"},{"family":"Z","given":"Pausova"}],"accessed":{"date-parts":[["2023",12,6]]},"issued":{"date-parts":[["2012",1]]}}},{"id":3339,"uris":["http://zotero.org/users/local/WDVvZTBM/items/2JUZAJJU"],"itemData":{"id":3339,"type":"article-journal","abstract":"None of the SNPs were previously reported as being associated to BMI or %BF. In addition, different loci were found for BMI and %BF. These results highlight the importance of gaining deeper understanding of genetic markers of predisposition to high values for the phenotypes used for obesity diagnosi …","container-title":"Genes","DOI":"10.3390/genes10110945","ISSN":"2073-4425","issue":"11","language":"en","note":"publisher: Genes (Basel)\nPMID: 31752434","source":"pubmed.ncbi.nlm.nih.gov","title":"Genome-Wide Association Study of Body Mass Index and Body Fat in Mexican-Mestizo Children","URL":"https://pubmed.ncbi.nlm.nih.gov/31752434/","volume":"10","author":[{"family":"P","given":"Costa-Urrutia"},{"family":"V","given":"Colistro"},{"family":"As","given":"Jiménez-Osorio"},{"family":"H","given":"Cárdenas-Hernández"},{"family":"J","given":"Solares-Tlapechco"},{"family":"M","given":"Ramirez-Alcántara"},{"family":"J","given":"Granados"},{"family":"Ij","given":"Ascencio-Montiel"},{"family":"Me","given":"Rodríguez-Arellano"}],"accessed":{"date-parts":[["2023",12,6]]},"issued":{"date-parts":[["2019",11,19]]}}}],"schema":"https://github.com/citation-style-language/schema/raw/master/csl-citation.json"}</w:instrText>
      </w:r>
      <w:r>
        <w:rPr/>
      </w:r>
      <w:r>
        <w:rPr/>
        <w:fldChar w:fldCharType="separate"/>
      </w:r>
      <w:r>
        <w:rPr/>
        <w:t>[14], [202], [211]</w:t>
      </w:r>
      <w:r>
        <w:rPr/>
      </w:r>
      <w:r>
        <w:rPr/>
        <w:fldChar w:fldCharType="end"/>
      </w:r>
      <w:r>
        <w:rPr/>
        <w:t xml:space="preserve">. Τρεις από αυτές τις μελέτες επικεντρώθηκαν επίσης στον ΔΜΣ της παιδικής ηλικίας. Τον Οκτώβριο του 2011 δημοσιεύτηκε ένα </w:t>
      </w:r>
      <w:r>
        <w:rPr>
          <w:lang w:val="en-US"/>
        </w:rPr>
        <w:t>GWAS</w:t>
      </w:r>
      <w:r>
        <w:rPr/>
        <w:t xml:space="preserve"> που μέτρησε την ποσότητα και την κατανομή του σωματικού λίπους σε 598 εφήβους χρησιμοποιώντας ανθρωπομετρία, βιοηλεκτρική αντίσταση και απεικόνιση μαγνητικού συντονισμού </w:t>
      </w:r>
      <w:r>
        <w:fldChar w:fldCharType="begin"/>
      </w:r>
      <w:r>
        <w:rPr/>
        <w:instrText xml:space="preserve">ADDIN ZOTERO_ITEM CSL_CITATION {"citationID":"F5p9T4HA","properties":{"formattedCitation":"[214]","plainCitation":"[214]","noteIndex":0},"citationItems":[{"id":3351,"uris":["http://zotero.org/users/local/WDVvZTBM/items/NX5CKG47"],"itemData":{"id":3351,"type":"article-journal","abstract":"The search for genes of complex traits is aided by the availability of multiple quantitative phenotypes collected in geographically isolated populations. Here we provide rationale for a large-scale study of gene-environment interactions influencing brain and behavior and cardiovascular and metabolic …","container-title":"Human brain mapping","DOI":"10.1002/hbm.20402","ISSN":"1065-9471","issue":"6","language":"en","note":"publisher: Hum Brain Mapp\nPMID: 17469173","source":"pubmed.ncbi.nlm.nih.gov","title":"Genes, maternal smoking, and the offspring brain and body during adolescence: design of the Saguenay Youth Study","title-short":"Genes, maternal smoking, and the offspring brain and body during adolescence","URL":"https://pubmed.ncbi.nlm.nih.gov/17469173/","volume":"28","author":[{"family":"Z","given":"Pausova"},{"family":"T","given":"Paus"},{"family":"M","given":"Abrahamowicz"},{"family":"J","given":"Almerigi"},{"family":"N","given":"Arbour"},{"family":"M","given":"Bernard"},{"family":"D","given":"Gaudet"},{"family":"P","given":"Hanzalek"},{"family":"P","given":"Hamet"},{"family":"Ac","given":"Evans"},{"family":"M","given":"Kramer"},{"family":"L","given":"Laberge"},{"family":"Sm","given":"Leal"},{"family":"G","given":"Leonard"},{"family":"J","given":"Lerner"},{"family":"Rm","given":"Lerner"},{"family":"J","given":"Mathieu"},{"family":"M","given":"Perron"},{"family":"B","given":"Pike"},{"family":"A","given":"Pitiot"},{"family":"L","given":"Richer"},{"family":"Jr","given":"Séguin"},{"family":"C","given":"Syme"},{"family":"R","given":"Toro"},{"family":"Re","given":"Tremblay"},{"family":"S","given":"Veillette"},{"family":"K","given":"Watkins"}],"accessed":{"date-parts":[["2023",12,6]]},"issued":{"date-parts":[["2007",6]]}}}],"schema":"https://github.com/citation-style-language/schema/raw/master/csl-citation.json"}</w:instrText>
      </w:r>
      <w:r>
        <w:rPr/>
      </w:r>
      <w:r>
        <w:rPr/>
        <w:fldChar w:fldCharType="separate"/>
      </w:r>
      <w:r>
        <w:rPr/>
        <w:t>[214]</w:t>
      </w:r>
      <w:r>
        <w:rPr/>
      </w:r>
      <w:r>
        <w:rPr/>
        <w:fldChar w:fldCharType="end"/>
      </w:r>
      <w:r>
        <w:rPr/>
        <w:t xml:space="preserve">. Το </w:t>
      </w:r>
      <w:r>
        <w:rPr>
          <w:lang w:val="en-US"/>
        </w:rPr>
        <w:t>Rs</w:t>
      </w:r>
      <w:r>
        <w:rPr/>
        <w:t xml:space="preserve">16933812 ως τόπος στο </w:t>
      </w:r>
      <w:r>
        <w:rPr>
          <w:lang w:val="en-US"/>
        </w:rPr>
        <w:t>PAX</w:t>
      </w:r>
      <w:r>
        <w:rPr/>
        <w:t>5 έφθασε σε ολόκληρη τη γονιδιακή σημασία για τη συνολική μάζα λίπους (ρ = 9,30 × 10</w:t>
      </w:r>
      <w:r>
        <w:rPr>
          <w:vertAlign w:val="superscript"/>
        </w:rPr>
        <w:t>-9</w:t>
      </w:r>
      <w:r>
        <w:rPr/>
        <w:t xml:space="preserve">) και υποδηλωτική σημασία για το ΔΜΣ (ρ 5,20 </w:t>
      </w:r>
      <w:r>
        <w:rPr>
          <w:lang w:val="en-US"/>
        </w:rPr>
        <w:t>x</w:t>
      </w:r>
      <w:r>
        <w:rPr/>
        <w:t xml:space="preserve"> 10</w:t>
      </w:r>
      <w:r>
        <w:rPr>
          <w:vertAlign w:val="superscript"/>
        </w:rPr>
        <w:t>-6</w:t>
      </w:r>
      <w:r>
        <w:rPr/>
        <w:t xml:space="preserve">). Στη  </w:t>
      </w:r>
      <w:r>
        <w:rPr>
          <w:lang w:val="en-US"/>
        </w:rPr>
        <w:t>GWAS</w:t>
      </w:r>
      <w:r>
        <w:rPr/>
        <w:t xml:space="preserve"> που δημοσιεύτηκε τον Δεκέμβριο του 2012, το πιο σημαντικό </w:t>
      </w:r>
      <w:r>
        <w:rPr>
          <w:lang w:val="en-US"/>
        </w:rPr>
        <w:t>SNP</w:t>
      </w:r>
      <w:r>
        <w:rPr/>
        <w:t xml:space="preserve"> για το σωματικό λίπος ήταν το </w:t>
      </w:r>
      <w:r>
        <w:rPr>
          <w:lang w:val="en-US"/>
        </w:rPr>
        <w:t>rs</w:t>
      </w:r>
      <w:r>
        <w:rPr/>
        <w:t xml:space="preserve">1056513 στο </w:t>
      </w:r>
      <w:r>
        <w:rPr>
          <w:lang w:val="en-US"/>
        </w:rPr>
        <w:t>INADL</w:t>
      </w:r>
      <w:r>
        <w:rPr/>
        <w:t xml:space="preserve"> 1,59 </w:t>
      </w:r>
      <w:r>
        <w:rPr>
          <w:lang w:val="en-US"/>
        </w:rPr>
        <w:t>x</w:t>
      </w:r>
      <w:r>
        <w:rPr/>
        <w:t xml:space="preserve"> 10</w:t>
      </w:r>
      <w:r>
        <w:rPr>
          <w:vertAlign w:val="superscript"/>
        </w:rPr>
        <w:t>-7</w:t>
      </w:r>
      <w:r>
        <w:rPr/>
        <w:t>)</w:t>
      </w:r>
      <w:r>
        <w:fldChar w:fldCharType="begin"/>
      </w:r>
      <w:r>
        <w:rPr/>
        <w:instrText xml:space="preserve">ADDIN ZOTERO_ITEM CSL_CITATION {"citationID":"GLDs5GVi","properties":{"formattedCitation":"[215]","plainCitation":"[215]","noteIndex":0},"citationItems":[{"id":3309,"uris":["http://zotero.org/users/local/WDVvZTBM/items/6J6SCFII"],"itemData":{"id":3309,"type":"article-journal","abstract":"Genetic variants responsible for susceptibility to obesity and its comorbidities among Hispanic children have not been identified. The VIVA LA FAMILIA Study was designed to genetically map childhood obesity and associated biological processes in the Hispanic population. A genome-wide association study (GWAS) entailed genotyping 1.1 million single nucleotide polymorphisms (SNPs) using the Illumina Infinium technology in 815 children. Measured genotype analysis was performed between genetic markers and obesity-related traits i.e., anthropometry, body composition, growth, metabolites, hormones, inflammation, diet, energy expenditure, substrate utilization and physical activity. Identified genome-wide significant loci: 1) corroborated genes implicated in other studies (MTNR1B, ZNF259/APOA5, XPA/FOXE1 (TTF-2), DARC, CCR3, ABO); 2) localized novel genes in plausible biological pathways (PCSK2, ARHGAP11A, CHRNA3); and 3) revealed novel genes with unknown function in obesity pathogenesis (MATK, COL4A1). Salient findings include a nonsynonymous SNP (rs1056513) in INADL (p = 1.2E-07) for weight; an intronic variant in MTNR1B associated with fasting glucose (p = 3.7E-08); variants in the APOA5-ZNF259 region associated with triglycerides (p = 2.5-4.8E-08); an intronic variant in PCSK2 associated with total antioxidants (p = 7.6E-08); a block of 23 SNPs in XPA/FOXE1 (TTF-2) associated with serum TSH (p = 5.5E-08 to 1.0E-09); a nonsynonymous SNP (p = 1.3E-21), an intronic SNP (p = 3.6E-13) in DARC identified for MCP-1; an intronic variant in ARHGAP11A associated with sleep duration (p = 5.0E-08); and, after adjusting for body weight, variants in MATK for total energy expenditure (p = 2.7E-08) and in CHRNA3 for sleeping energy expenditure (p = 6.0E-08). Unprecedented phenotyping and high-density SNP genotyping enabled localization of novel genetic loci associated with the pathophysiology of childhood obesity.","container-title":"PLOS ONE","DOI":"10.1371/journal.pone.0051954","ISSN":"1932-6203","issue":"12","journalAbbreviation":"PLOS ONE","language":"en","note":"publisher: Public Library of Science","page":"e51954","source":"journals.plos.org","title":"Novel Genetic Loci Identified for the Pathophysiology of Childhood Obesity in the Hispanic Population","volume":"7","author":[{"family":"Comuzzie","given":"Anthony G."},{"family":"Cole","given":"Shelley A."},{"family":"Laston","given":"Sandra L."},{"family":"Voruganti","given":"V. Saroja"},{"family":"Haack","given":"Karin"},{"family":"Gibbs","given":"Richard A."},{"family":"Butte","given":"Nancy F."}],"issued":{"date-parts":[["2012",11,14]]}}}],"schema":"https://github.com/citation-style-language/schema/raw/master/csl-citation.json"}</w:instrText>
      </w:r>
      <w:r>
        <w:rPr/>
      </w:r>
      <w:r>
        <w:rPr/>
        <w:fldChar w:fldCharType="separate"/>
      </w:r>
      <w:r>
        <w:rPr/>
        <w:t>[215]</w:t>
      </w:r>
      <w:r>
        <w:rPr/>
      </w:r>
      <w:r>
        <w:rPr/>
        <w:fldChar w:fldCharType="end"/>
      </w:r>
      <w:r>
        <w:rPr/>
        <w:t xml:space="preserve">. Τον Νοέμβριο του 2019, μια </w:t>
      </w:r>
      <w:r>
        <w:rPr>
          <w:lang w:val="en-US"/>
        </w:rPr>
        <w:t>GWAS</w:t>
      </w:r>
      <w:r>
        <w:rPr/>
        <w:t xml:space="preserve"> του ποσοστού σωματικού λίπους σε 828 παιδιά από το Μεξικό εντόπισε 11 </w:t>
      </w:r>
      <w:r>
        <w:rPr>
          <w:lang w:val="en-US"/>
        </w:rPr>
        <w:t>SNPs</w:t>
      </w:r>
      <w:r>
        <w:rPr/>
        <w:t xml:space="preserve"> σε έξι γονίδια (</w:t>
      </w:r>
      <w:r>
        <w:rPr>
          <w:lang w:val="en-US"/>
        </w:rPr>
        <w:t>ANKS</w:t>
      </w:r>
      <w:r>
        <w:rPr/>
        <w:t>1</w:t>
      </w:r>
      <w:r>
        <w:rPr>
          <w:lang w:val="en-US"/>
        </w:rPr>
        <w:t>B</w:t>
      </w:r>
      <w:r>
        <w:rPr/>
        <w:t xml:space="preserve">, </w:t>
      </w:r>
      <w:r>
        <w:rPr>
          <w:lang w:val="en-US"/>
        </w:rPr>
        <w:t>ARNTL</w:t>
      </w:r>
      <w:r>
        <w:rPr/>
        <w:t xml:space="preserve">2, </w:t>
      </w:r>
      <w:r>
        <w:rPr>
          <w:lang w:val="en-US"/>
        </w:rPr>
        <w:t>KCNS</w:t>
      </w:r>
      <w:r>
        <w:rPr/>
        <w:t xml:space="preserve">3, </w:t>
      </w:r>
      <w:r>
        <w:rPr>
          <w:lang w:val="en-US"/>
        </w:rPr>
        <w:t>LMNB</w:t>
      </w:r>
      <w:r>
        <w:rPr/>
        <w:t xml:space="preserve">1, </w:t>
      </w:r>
      <w:r>
        <w:rPr>
          <w:lang w:val="en-US"/>
        </w:rPr>
        <w:t>SRGAP</w:t>
      </w:r>
      <w:r>
        <w:rPr/>
        <w:t xml:space="preserve">3 και </w:t>
      </w:r>
      <w:r>
        <w:rPr>
          <w:lang w:val="en-US"/>
        </w:rPr>
        <w:t>TRPC</w:t>
      </w:r>
      <w:r>
        <w:rPr/>
        <w:t xml:space="preserve">7) που έφτασαν σε γονιδιακή σημασία </w:t>
      </w:r>
      <w:r>
        <w:fldChar w:fldCharType="begin"/>
      </w:r>
      <w:r>
        <w:rPr/>
        <w:instrText xml:space="preserve">ADDIN ZOTERO_ITEM CSL_CITATION {"citationID":"d7JTu8j0","properties":{"formattedCitation":"[211]","plainCitation":"[211]","noteIndex":0},"citationItems":[{"id":3339,"uris":["http://zotero.org/users/local/WDVvZTBM/items/2JUZAJJU"],"itemData":{"id":3339,"type":"article-journal","abstract":"None of the SNPs were previously reported as being associated to BMI or %BF. In addition, different loci were found for BMI and %BF. These results highlight the importance of gaining deeper understanding of genetic markers of predisposition to high values for the phenotypes used for obesity diagnosi …","container-title":"Genes","DOI":"10.3390/genes10110945","ISSN":"2073-4425","issue":"11","language":"en","note":"publisher: Genes (Basel)\nPMID: 31752434","source":"pubmed.ncbi.nlm.nih.gov","title":"Genome-Wide Association Study of Body Mass Index and Body Fat in Mexican-Mestizo Children","URL":"https://pubmed.ncbi.nlm.nih.gov/31752434/","volume":"10","author":[{"family":"P","given":"Costa-Urrutia"},{"family":"V","given":"Colistro"},{"family":"As","given":"Jiménez-Osorio"},{"family":"H","given":"Cárdenas-Hernández"},{"family":"J","given":"Solares-Tlapechco"},{"family":"M","given":"Ramirez-Alcántara"},{"family":"J","given":"Granados"},{"family":"Ij","given":"Ascencio-Montiel"},{"family":"Me","given":"Rodríguez-Arellano"}],"accessed":{"date-parts":[["2023",12,6]]},"issued":{"date-parts":[["2019",11,19]]}}}],"schema":"https://github.com/citation-style-language/schema/raw/master/csl-citation.json"}</w:instrText>
      </w:r>
      <w:r>
        <w:rPr/>
      </w:r>
      <w:r>
        <w:rPr/>
        <w:fldChar w:fldCharType="separate"/>
      </w:r>
      <w:r>
        <w:rPr/>
        <w:t>[211]</w:t>
      </w:r>
      <w:r>
        <w:rPr/>
      </w:r>
      <w:r>
        <w:rPr/>
        <w:fldChar w:fldCharType="end"/>
      </w:r>
      <w:r>
        <w:rPr/>
        <w:t>. Το Φεβρουάριο του 2021, μια G</w:t>
      </w:r>
      <w:r>
        <w:rPr>
          <w:lang w:val="en-US"/>
        </w:rPr>
        <w:t>WAS</w:t>
      </w:r>
      <w:r>
        <w:rPr/>
        <w:t xml:space="preserve"> προέβη στη συχέτιση μεταξύ 10 031 233 </w:t>
      </w:r>
      <w:r>
        <w:rPr>
          <w:lang w:val="en-US"/>
        </w:rPr>
        <w:t>SNPs</w:t>
      </w:r>
      <w:r>
        <w:rPr/>
        <w:t xml:space="preserve"> και σωματικού λίπους στην παιδική ηλικία, συμπεριλαμβανομένων 34 401 συμμετεχόντων στις Μελέτες Νοσηλευτών Υγείας </w:t>
      </w:r>
      <w:r>
        <w:rPr>
          <w:lang w:val="en-US"/>
        </w:rPr>
        <w:t>I</w:t>
      </w:r>
      <w:r>
        <w:rPr/>
        <w:t xml:space="preserve"> και </w:t>
      </w:r>
      <w:r>
        <w:rPr>
          <w:lang w:val="en-US"/>
        </w:rPr>
        <w:t>II</w:t>
      </w:r>
      <w:r>
        <w:rPr/>
        <w:t xml:space="preserve"> (</w:t>
      </w:r>
      <w:r>
        <w:rPr>
          <w:lang w:val="en-US"/>
        </w:rPr>
        <w:t>NHS</w:t>
      </w:r>
      <w:r>
        <w:rPr/>
        <w:t xml:space="preserve"> και </w:t>
      </w:r>
      <w:r>
        <w:rPr>
          <w:lang w:val="en-US"/>
        </w:rPr>
        <w:t>NHSII</w:t>
      </w:r>
      <w:r>
        <w:rPr/>
        <w:t>) και στη μελέτη παρακολούθησης των επαγγελματιών υγείας (</w:t>
      </w:r>
      <w:r>
        <w:rPr>
          <w:lang w:val="en-US"/>
        </w:rPr>
        <w:t>HPFS</w:t>
      </w:r>
      <w:r>
        <w:rPr/>
        <w:t xml:space="preserve">) στο στάδιο της ανακάλυψης </w:t>
      </w:r>
      <w:r>
        <w:fldChar w:fldCharType="begin"/>
      </w:r>
      <w:r>
        <w:rPr/>
        <w:instrText xml:space="preserve">ADDIN ZOTERO_ITEM CSL_CITATION {"citationID":"TSE79N6U","properties":{"formattedCitation":"[216]","plainCitation":"[216]","noteIndex":0},"citationItems":[{"id":3229,"uris":["http://zotero.org/users/local/WDVvZTBM/items/UFC28X2F"],"itemData":{"id":3229,"type":"article-journal","abstract":"To uncover genetic contributors to adiposity in early-life.We conducted a genome-wide association study (GWAS) of childhood body fatness in 34,401 individuals within the Nurses’ Health Studies and the Health Professionals Follow-up Study. We imputed ...","container-title":"Obesity (Silver Spring, Md.)","DOI":"10.1002/oby.23070","issue":"2","language":"en","note":"publisher: NIH Public Access\nPMID: 33491310","page":"446","source":"www.ncbi.nlm.nih.gov","title":"A Genome-Wide Association Study of Childhood Body Fatness","volume":"29","author":[{"family":"Warner","given":"Erica T."},{"family":"Jiang","given":"Lai"},{"family":"Adjei","given":"David Nana"},{"family":"Turman","given":"Constance"},{"family":"Gordon","given":"William"},{"family":"Wang","given":"Lu"},{"family":"Tamimi","given":"Rulla"},{"family":"Kraft","given":"Peter"},{"family":"Lindström","given":"Sara"}],"issued":{"date-parts":[["2021",2]]}}}],"schema":"https://github.com/citation-style-language/schema/raw/master/csl-citation.json"}</w:instrText>
      </w:r>
      <w:r>
        <w:rPr/>
      </w:r>
      <w:r>
        <w:rPr/>
        <w:fldChar w:fldCharType="separate"/>
      </w:r>
      <w:r>
        <w:rPr/>
        <w:t>[216]</w:t>
      </w:r>
      <w:r>
        <w:rPr/>
      </w:r>
      <w:r>
        <w:rPr/>
        <w:fldChar w:fldCharType="end"/>
      </w:r>
      <w:r>
        <w:rPr/>
        <w:t xml:space="preserve">. Ζητήθηκε από τους συμμετέχοντες να επιλέξουν το σχήμα από ένα επικυρωμένο εννιαψήφιο σχέδιο που ταίριαζε καλύτερα με το σωματικό τους λίπος στις ηλικίες 5 και 10 ετών. Με βάση αυτή τη μέτρηση, 19 </w:t>
      </w:r>
      <w:r>
        <w:rPr>
          <w:lang w:val="en-US"/>
        </w:rPr>
        <w:t>SNPs</w:t>
      </w:r>
      <w:r>
        <w:rPr/>
        <w:t xml:space="preserve"> σε 11 γονίδια συσχετίστηκαν σημαντικά σε όλο το γονιδίωμα με το σωματικό λίπος. Οι </w:t>
      </w:r>
      <w:r>
        <w:rPr>
          <w:lang w:val="en-US"/>
        </w:rPr>
        <w:t>Warner</w:t>
      </w:r>
      <w:r>
        <w:rPr/>
        <w:t xml:space="preserve"> </w:t>
      </w:r>
      <w:r>
        <w:rPr>
          <w:lang w:val="en-US"/>
        </w:rPr>
        <w:t>et</w:t>
      </w:r>
      <w:r>
        <w:rPr/>
        <w:t xml:space="preserve"> </w:t>
      </w:r>
      <w:r>
        <w:rPr>
          <w:lang w:val="en-US"/>
        </w:rPr>
        <w:t>al</w:t>
      </w:r>
      <w:r>
        <w:rPr/>
        <w:t xml:space="preserve">. έκανε μια έρευνα 19 </w:t>
      </w:r>
      <w:r>
        <w:rPr>
          <w:lang w:val="en-US"/>
        </w:rPr>
        <w:t>SNP</w:t>
      </w:r>
      <w:r>
        <w:rPr/>
        <w:t xml:space="preserve"> στην παιδική ηλικία </w:t>
      </w:r>
      <w:r>
        <w:rPr>
          <w:lang w:val="en-US"/>
        </w:rPr>
        <w:t>BMI</w:t>
      </w:r>
      <w:r>
        <w:rPr/>
        <w:t xml:space="preserve"> </w:t>
      </w:r>
      <w:r>
        <w:rPr>
          <w:lang w:val="en-US"/>
        </w:rPr>
        <w:t>GWAS</w:t>
      </w:r>
      <w:r>
        <w:rPr/>
        <w:t xml:space="preserve"> (που διεξήχθη από τον </w:t>
      </w:r>
      <w:r>
        <w:rPr>
          <w:lang w:val="en-US"/>
        </w:rPr>
        <w:t>Felix</w:t>
      </w:r>
      <w:r>
        <w:rPr/>
        <w:t xml:space="preserve"> </w:t>
      </w:r>
      <w:r>
        <w:rPr>
          <w:lang w:val="en-US"/>
        </w:rPr>
        <w:t>et</w:t>
      </w:r>
      <w:r>
        <w:rPr/>
        <w:t xml:space="preserve"> </w:t>
      </w:r>
      <w:r>
        <w:rPr>
          <w:lang w:val="en-US"/>
        </w:rPr>
        <w:t>al</w:t>
      </w:r>
      <w:r>
        <w:rPr/>
        <w:t xml:space="preserve">.) από την κοινοπραξία </w:t>
      </w:r>
      <w:r>
        <w:rPr>
          <w:lang w:val="en-US"/>
        </w:rPr>
        <w:t>Early</w:t>
      </w:r>
      <w:r>
        <w:rPr/>
        <w:t xml:space="preserve"> </w:t>
      </w:r>
      <w:r>
        <w:rPr>
          <w:lang w:val="en-US"/>
        </w:rPr>
        <w:t>Growth</w:t>
      </w:r>
      <w:r>
        <w:rPr/>
        <w:t xml:space="preserve"> </w:t>
      </w:r>
      <w:r>
        <w:rPr>
          <w:lang w:val="en-US"/>
        </w:rPr>
        <w:t>Genetics</w:t>
      </w:r>
      <w:r>
        <w:rPr/>
        <w:t xml:space="preserve"> (</w:t>
      </w:r>
      <w:r>
        <w:rPr>
          <w:lang w:val="en-US"/>
        </w:rPr>
        <w:t>EGG</w:t>
      </w:r>
      <w:r>
        <w:rPr/>
        <w:t xml:space="preserve">) για να βρει επικαλυπτόμενα </w:t>
      </w:r>
      <w:r>
        <w:rPr>
          <w:lang w:val="en-US"/>
        </w:rPr>
        <w:t>SNP</w:t>
      </w:r>
      <w:r>
        <w:rPr/>
        <w:t xml:space="preserve"> </w:t>
      </w:r>
      <w:r>
        <w:fldChar w:fldCharType="begin"/>
      </w:r>
      <w:r>
        <w:rPr/>
        <w:instrText xml:space="preserve">ADDIN ZOTERO_ITEM CSL_CITATION {"citationID":"Eq7tZFwt","properties":{"formattedCitation":"[207], [216]","plainCitation":"[207], [216]","noteIndex":0},"citationItems":[{"id":3325,"uris":["http://zotero.org/users/local/WDVvZTBM/items/BS8SXRG4"],"itemData":{"id":3325,"type":"article-journal","abstract":"A large number of genetic loci are associated with adult body mass index. However, the genetics of childhood body mass index are largely unknown. We performed a meta-analysis of genome-wide association studies of childhood body mass index, using sex- and age-adjusted standard deviation scores. We in …","container-title":"Human molecular genetics","DOI":"10.1093/hmg/ddv472","ISSN":"1460-2083","issue":"2","language":"en","note":"publisher: Hum Mol Genet\nPMID: 26604143","source":"pubmed.ncbi.nlm.nih.gov","title":"Genome-wide association analysis identifies three new susceptibility loci for childhood body mass index","URL":"https://pubmed.ncbi.nlm.nih.gov/26604143/","volume":"25","author":[{"family":"Jf","given":"Felix"},{"family":"Jp","given":"Bradfield"},{"family":"C","given":"Monnereau"},{"family":"Rj","given":"van der Valk"},{"family":"E","given":"Stergiakouli"},{"family":"A","given":"Chesi"},{"family":"R","given":"Gaillard"},{"family":"B","given":"Feenstra"},{"family":"E","given":"Thiering"},{"family":"E","given":"Kreiner-Møller"},{"family":"A","given":"Mahajan"},{"family":"N","given":"Pitkänen"},{"family":"R","given":"Joro"},{"family":"A","given":"Cavadino"},{"family":"V","given":"Huikari"},{"family":"S","given":"Franks"},{"family":"Mm","given":"Groen-Blokhuis"},{"family":"Dl","given":"Cousminer"},{"family":"Ja","given":"Marsh"},{"family":"T","given":"Lehtimäki"},{"family":"Ja","given":"Curtin"},{"family":"J","given":"Vioque"},{"family":"Ts","given":"Ahluwalia"},{"family":"R","given":"Myhre"},{"family":"Ts","given":"Price"},{"family":"N","given":"Vilor-Tejedor"},{"family":"L","given":"Yengo"},{"family":"N","given":"Grarup"},{"family":"I","given":"Ntalla"},{"family":"W","given":"Ang"},{"family":"M","given":"Atalay"},{"family":"H","given":"Bisgaard"},{"family":"Ai","given":"Blakemore"},{"family":"A","given":"Bonnefond"},{"family":"L","given":"Carstensen"},{"family":"J","given":"Eriksson"},{"family":"C","given":"Flexeder"},{"family":"L","given":"Franke"},{"family":"F","given":"Geller"},{"family":"M","given":"Geserick"},{"family":"Al","given":"Hartikainen"},{"family":"Cm","given":"Haworth"},{"family":"Jn","given":"Hirschhorn"},{"family":"A","given":"Hofman"},{"family":"Jc","given":"Holm"},{"family":"M","given":"Horikoshi"},{"family":"Jj","given":"Hottenga"},{"family":"J","given":"Huang"},{"family":"Hn","given":"Kadarmideen"},{"family":"M","given":"Kähönen"},{"family":"W","given":"Kiess"},{"family":"Hm","given":"Lakka"},{"family":"Ta","given":"Lakka"},{"family":"Am","given":"Lewin"},{"family":"L","given":"Liang"},{"family":"Lp","given":"Lyytikäinen"},{"family":"B","given":"Ma"},{"family":"P","given":"Magnus"},{"family":"Se","given":"McCormack"},{"family":"G","given":"McMahon"},{"family":"Fd","given":"Mentch"},{"family":"Cm","given":"Middeldorp"},{"family":"Cs","given":"Murray"},{"family":"K","given":"Pahkala"},{"family":"Th","given":"Pers"},{"family":"R","given":"Pfäffle"},{"family":"Ds","given":"Postma"},{"family":"C","given":"Power"},{"family":"A","given":"Simpson"},{"family":"V","given":"Sengpiel"},{"family":"Cm","given":"Tiesler"},{"family":"M","given":"Torrent"},{"family":"Ag","given":"Uitterlinden"},{"family":"Jb","given":"van Meurs"},{"family":"R","given":"Vinding"},{"family":"J","given":"Waage"},{"family":"J","given":"Wardle"},{"family":"E","given":"Zeggini"},{"family":"Bs","given":"Zemel"},{"family":"Gv","given":"Dedoussis"},{"family":"O","given":"Pedersen"},{"family":"P","given":"Froguel"},{"family":"J","given":"Sunyer"},{"family":"R","given":"Plomin"},{"family":"B","given":"Jacobsson"},{"family":"T","given":"Hansen"},{"family":"Jr","given":"Gonzalez"},{"family":"A","given":"Custovic"},{"family":"Ot","given":"Raitakari"},{"family":"Ce","given":"Pennell"},{"family":"E","given":"Widén"},{"family":"Di","given":"Boomsma"},{"family":"Gh","given":"Koppelman"},{"family":"S","given":"Sebert"},{"family":"Mr","given":"Järvelin"},{"family":"E","given":"Hyppönen"},{"family":"Mi","given":"McCarthy"},{"family":"V","given":"Lindi"},{"family":"N","given":"Harri"},{"family":"A","given":"Körner"},{"family":"K","given":"Bønnelykke"},{"family":"J","given":"Heinrich"},{"family":"M","given":"Melbye"},{"family":"F","given":"Rivadeneira"},{"family":"H","given":"Hakonarson"},{"family":"Sm","given":"Ring"},{"family":"Gd","given":"Smith"},{"family":"Ti","given":"Sørensen"},{"family":"Nj","given":"Timpson"},{"family":"Sf","given":"Grant"},{"family":"Vw","given":"Jaddoe"}],"accessed":{"date-parts":[["2023",12,6]]},"issued":{"date-parts":[["2016",1,15]]}}},{"id":3229,"uris":["http://zotero.org/users/local/WDVvZTBM/items/UFC28X2F"],"itemData":{"id":3229,"type":"article-journal","abstract":"To uncover genetic contributors to adiposity in early-life.We conducted a genome-wide association study (GWAS) of childhood body fatness in 34,401 individuals within the Nurses’ Health Studies and the Health Professionals Follow-up Study. We imputed ...","container-title":"Obesity (Silver Spring, Md.)","DOI":"10.1002/oby.23070","issue":"2","language":"en","note":"publisher: NIH Public Access\nPMID: 33491310","page":"446","source":"www.ncbi.nlm.nih.gov","title":"A Genome-Wide Association Study of Childhood Body Fatness","volume":"29","author":[{"family":"Warner","given":"Erica T."},{"family":"Jiang","given":"Lai"},{"family":"Adjei","given":"David Nana"},{"family":"Turman","given":"Constance"},{"family":"Gordon","given":"William"},{"family":"Wang","given":"Lu"},{"family":"Tamimi","given":"Rulla"},{"family":"Kraft","given":"Peter"},{"family":"Lindström","given":"Sara"}],"issued":{"date-parts":[["2021",2]]}}}],"schema":"https://github.com/citation-style-language/schema/raw/master/csl-citation.json"}</w:instrText>
      </w:r>
      <w:r>
        <w:rPr/>
      </w:r>
      <w:r>
        <w:rPr/>
        <w:fldChar w:fldCharType="separate"/>
      </w:r>
      <w:r>
        <w:rPr/>
        <w:t>[207], [216]</w:t>
      </w:r>
      <w:r>
        <w:rPr/>
      </w:r>
      <w:r>
        <w:rPr/>
        <w:fldChar w:fldCharType="end"/>
      </w:r>
      <w:r>
        <w:rPr/>
        <w:t xml:space="preserve">. Δεκατέσσερα από αυτά τα </w:t>
      </w:r>
      <w:r>
        <w:rPr>
          <w:lang w:val="en-US"/>
        </w:rPr>
        <w:t>SNPs</w:t>
      </w:r>
      <w:r>
        <w:rPr/>
        <w:t xml:space="preserve"> συσχετίστηκαν σημαντικά σε όλο το γονιδίωμα τόσο με τον ΔΜΣ όσο και με το σωματικό λίπος στα παιδιά.</w:t>
      </w:r>
    </w:p>
    <w:p>
      <w:pPr>
        <w:pStyle w:val="Normal"/>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s>
        <w:spacing w:lineRule="auto" w:line="360"/>
        <w:jc w:val="both"/>
        <w:rPr/>
      </w:pPr>
      <w:r>
        <w:rPr/>
      </w:r>
    </w:p>
    <w:p>
      <w:pPr>
        <w:pStyle w:val="Normal"/>
        <w:keepNext w:val="true"/>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s>
        <w:spacing w:lineRule="auto" w:line="360"/>
        <w:jc w:val="both"/>
        <w:rPr/>
      </w:pPr>
      <w:r>
        <w:rPr/>
        <w:drawing>
          <wp:inline distT="0" distB="0" distL="0" distR="0">
            <wp:extent cx="5278755" cy="4948555"/>
            <wp:effectExtent l="0" t="0" r="0" b="0"/>
            <wp:docPr id="15" name="Εικόνα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Εικόνα12" descr=""/>
                    <pic:cNvPicPr>
                      <a:picLocks noChangeAspect="1" noChangeArrowheads="1"/>
                    </pic:cNvPicPr>
                  </pic:nvPicPr>
                  <pic:blipFill>
                    <a:blip r:embed="rId32"/>
                    <a:stretch>
                      <a:fillRect/>
                    </a:stretch>
                  </pic:blipFill>
                  <pic:spPr bwMode="auto">
                    <a:xfrm>
                      <a:off x="0" y="0"/>
                      <a:ext cx="5278755" cy="4948555"/>
                    </a:xfrm>
                    <a:prstGeom prst="rect">
                      <a:avLst/>
                    </a:prstGeom>
                  </pic:spPr>
                </pic:pic>
              </a:graphicData>
            </a:graphic>
          </wp:inline>
        </w:drawing>
      </w:r>
    </w:p>
    <w:p>
      <w:pPr>
        <w:pStyle w:val="Caption1"/>
        <w:jc w:val="center"/>
        <w:rPr/>
      </w:pPr>
      <w:bookmarkStart w:id="87" w:name="_Toc152764779"/>
      <w:r>
        <w:rPr/>
        <w:t xml:space="preserve">Εικόνα </w:t>
      </w:r>
      <w:r>
        <w:rPr/>
        <w:fldChar w:fldCharType="begin"/>
      </w:r>
      <w:r>
        <w:rPr/>
        <w:instrText xml:space="preserve"> SEQ Εικόνα \* ARABIC </w:instrText>
      </w:r>
      <w:r>
        <w:rPr/>
        <w:fldChar w:fldCharType="separate"/>
      </w:r>
      <w:r>
        <w:rPr/>
        <w:t>13</w:t>
      </w:r>
      <w:r>
        <w:rPr/>
        <w:fldChar w:fldCharType="end"/>
      </w:r>
      <w:r>
        <w:rPr/>
        <w:t xml:space="preserve">: </w:t>
      </w:r>
      <w:r>
        <w:rPr>
          <w:b w:val="false"/>
          <w:bCs w:val="false"/>
          <w:i/>
          <w:iCs/>
          <w:sz w:val="18"/>
          <w:szCs w:val="18"/>
        </w:rPr>
        <w:t xml:space="preserve">Το διάγραμμα </w:t>
      </w:r>
      <w:r>
        <w:rPr>
          <w:b w:val="false"/>
          <w:bCs w:val="false"/>
          <w:i/>
          <w:iCs/>
          <w:sz w:val="18"/>
          <w:szCs w:val="18"/>
          <w:lang w:val="en-US"/>
        </w:rPr>
        <w:t>sunburst</w:t>
      </w:r>
      <w:r>
        <w:rPr>
          <w:b w:val="false"/>
          <w:bCs w:val="false"/>
          <w:i/>
          <w:iCs/>
          <w:sz w:val="18"/>
          <w:szCs w:val="18"/>
        </w:rPr>
        <w:t xml:space="preserve"> των S</w:t>
      </w:r>
      <w:r>
        <w:rPr>
          <w:b w:val="false"/>
          <w:bCs w:val="false"/>
          <w:i/>
          <w:iCs/>
          <w:sz w:val="18"/>
          <w:szCs w:val="18"/>
          <w:lang w:val="en-US"/>
        </w:rPr>
        <w:t>NPs</w:t>
      </w:r>
      <w:r>
        <w:rPr>
          <w:b w:val="false"/>
          <w:bCs w:val="false"/>
          <w:i/>
          <w:iCs/>
          <w:sz w:val="18"/>
          <w:szCs w:val="18"/>
        </w:rPr>
        <w:t xml:space="preserve"> αντιστοιίζει τα πλησιέστερα γονίδια για κάθε φαινότυπο. Το πιο εσωτερικό στρώμα αντιπροσωπεύει τρεις φαινότυπους. Το μεσαίο στρώμα είναι το πλησιέστερο γονίδιο στα S</w:t>
      </w:r>
      <w:r>
        <w:rPr>
          <w:b w:val="false"/>
          <w:bCs w:val="false"/>
          <w:i/>
          <w:iCs/>
          <w:sz w:val="18"/>
          <w:szCs w:val="18"/>
          <w:lang w:val="en-US"/>
        </w:rPr>
        <w:t>NPs</w:t>
      </w:r>
      <w:r>
        <w:rPr>
          <w:b w:val="false"/>
          <w:bCs w:val="false"/>
          <w:i/>
          <w:iCs/>
          <w:sz w:val="18"/>
          <w:szCs w:val="18"/>
        </w:rPr>
        <w:t>. Το πιο εξωτερικό στρώμα δείχνει τον αριθμό r</w:t>
      </w:r>
      <w:r>
        <w:rPr>
          <w:b w:val="false"/>
          <w:bCs w:val="false"/>
          <w:i/>
          <w:iCs/>
          <w:sz w:val="18"/>
          <w:szCs w:val="18"/>
          <w:lang w:val="en-US"/>
        </w:rPr>
        <w:t>sID</w:t>
      </w:r>
      <w:r>
        <w:rPr>
          <w:b w:val="false"/>
          <w:bCs w:val="false"/>
          <w:i/>
          <w:iCs/>
          <w:sz w:val="18"/>
          <w:szCs w:val="18"/>
        </w:rPr>
        <w:t xml:space="preserve"> των </w:t>
      </w:r>
      <w:r>
        <w:rPr>
          <w:b w:val="false"/>
          <w:bCs w:val="false"/>
          <w:i/>
          <w:iCs/>
          <w:sz w:val="18"/>
          <w:szCs w:val="18"/>
          <w:lang w:val="en-US"/>
        </w:rPr>
        <w:t>SNPs</w:t>
      </w:r>
      <w:r>
        <w:rPr>
          <w:b w:val="false"/>
          <w:bCs w:val="false"/>
          <w:i/>
          <w:iCs/>
          <w:sz w:val="18"/>
          <w:szCs w:val="18"/>
        </w:rPr>
        <w:t xml:space="preserve"> με σημασία συσχέτισης σε όλο το γονιδίωμα </w:t>
      </w:r>
      <w:r>
        <w:fldChar w:fldCharType="begin"/>
      </w:r>
      <w:r>
        <w:rPr>
          <w:sz w:val="18"/>
          <w:i/>
          <w:b w:val="false"/>
          <w:szCs w:val="18"/>
          <w:iCs/>
          <w:bCs w:val="false"/>
        </w:rPr>
        <w:instrText xml:space="preserve">ADDIN ZOTERO_ITEM CSL_CITATION {"citationID":"EbgnLfF6","properties":{"formattedCitation":"[200]","plainCitation":"[200]","noteIndex":0},"citationItems":[{"id":3347,"uris":["http://zotero.org/users/local/WDVvZTBM/items/WYYKDT7N"],"itemData":{"id":3347,"type":"article-journal","abstract":"Background\nThe progress of genome-wide association studies (GWAS) in childhood obesity and its indicators is challenging and there are differences in genetic studies in children and adults.\n \nObject...","container-title":"Pediatric Obesity","DOI":"10.1111/ijpo.13077","ISSN":"2047-6310","issue":"12","language":"en","note":"publisher: John Wiley &amp; Sons, Ltd","page":"e13077","source":"onlinelibrary.wiley.com","title":"Development of genome-wide association studies on childhood obesity and its indicators: A scoping review and enrichment analysis","title-short":"Development of genome-wide association studies on childhood obesity and its indicators","volume":"18","author":[{"family":"Zhou","given":"Feixiang"},{"family":"Tian","given":"Gang"},{"family":"Cui","given":"Yiran"},{"family":"He","given":"Simin"},{"family":"Yan","given":"Yan"}],"issued":{"date-parts":[["2023",12,1]]}}}],"schema":"https://github.com/citation-style-language/schema/raw/master/csl-citation.json"}</w:instrText>
      </w:r>
      <w:r>
        <w:rPr>
          <w:b w:val="false"/>
          <w:bCs w:val="false"/>
          <w:i/>
          <w:iCs/>
          <w:sz w:val="18"/>
          <w:szCs w:val="18"/>
        </w:rPr>
      </w:r>
      <w:r>
        <w:rPr>
          <w:sz w:val="18"/>
          <w:i/>
          <w:b w:val="false"/>
          <w:szCs w:val="18"/>
          <w:iCs/>
          <w:bCs w:val="false"/>
        </w:rPr>
        <w:fldChar w:fldCharType="separate"/>
      </w:r>
      <w:r>
        <w:rPr>
          <w:b w:val="false"/>
          <w:bCs w:val="false"/>
          <w:i/>
          <w:iCs/>
          <w:sz w:val="18"/>
          <w:szCs w:val="18"/>
        </w:rPr>
        <w:t>[200]</w:t>
      </w:r>
      <w:r>
        <w:rPr>
          <w:b w:val="false"/>
          <w:bCs w:val="false"/>
          <w:i/>
          <w:iCs/>
          <w:sz w:val="18"/>
          <w:szCs w:val="18"/>
        </w:rPr>
      </w:r>
      <w:r>
        <w:rPr>
          <w:sz w:val="18"/>
          <w:i/>
          <w:b w:val="false"/>
          <w:szCs w:val="18"/>
          <w:iCs/>
          <w:bCs w:val="false"/>
        </w:rPr>
        <w:fldChar w:fldCharType="end"/>
      </w:r>
      <w:r>
        <w:rPr>
          <w:b w:val="false"/>
          <w:bCs w:val="false"/>
          <w:i/>
          <w:iCs/>
          <w:sz w:val="18"/>
          <w:szCs w:val="18"/>
        </w:rPr>
        <w:t>.</w:t>
      </w:r>
      <w:bookmarkEnd w:id="87"/>
    </w:p>
    <w:p>
      <w:pPr>
        <w:pStyle w:val="Heading2"/>
        <w:rPr/>
      </w:pPr>
      <w:bookmarkStart w:id="88" w:name="_Toc154923848"/>
      <w:r>
        <w:rPr/>
        <w:t xml:space="preserve">5.3 Μελέτες </w:t>
      </w:r>
      <w:r>
        <w:rPr>
          <w:lang w:val="en-US"/>
        </w:rPr>
        <w:t>GWAS</w:t>
      </w:r>
      <w:r>
        <w:rPr/>
        <w:t xml:space="preserve"> για την παιδική παχυσαρκία</w:t>
      </w:r>
      <w:bookmarkEnd w:id="88"/>
      <w:r>
        <w:rPr/>
        <w:t xml:space="preserve"> </w:t>
      </w:r>
    </w:p>
    <w:p>
      <w:pPr>
        <w:pStyle w:val="Normal"/>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s>
        <w:spacing w:lineRule="auto" w:line="360"/>
        <w:jc w:val="both"/>
        <w:rPr/>
      </w:pPr>
      <w:r>
        <w:rPr/>
        <w:tab/>
        <w:t xml:space="preserve">Η πρώτη </w:t>
      </w:r>
      <w:r>
        <w:rPr>
          <w:lang w:val="en-US"/>
        </w:rPr>
        <w:t>GWAS</w:t>
      </w:r>
      <w:r>
        <w:rPr/>
        <w:t xml:space="preserve"> για την παιδική παχυσαρκία διεξήχθη σε Γερμανούς και δημοσιεύτηκε τον Δεκέμβριο του 2007 </w:t>
      </w:r>
      <w:r>
        <w:fldChar w:fldCharType="begin"/>
      </w:r>
      <w:r>
        <w:rPr/>
        <w:instrText xml:space="preserve">ADDIN ZOTERO_ITEM CSL_CITATION {"citationID":"nAOujDd7","properties":{"formattedCitation":"[217]","plainCitation":"[217]","noteIndex":0},"citationItems":[{"id":3359,"uris":["http://zotero.org/users/local/WDVvZTBM/items/JQKJUZ5V"],"itemData":{"id":3359,"type":"article-journal","abstract":"Our GWA for extreme early onset obesity substantiates that variation in FTO strongly contributes to early onset obesity. This is a further proof of concept for GWA to detect genes relevant for highly complex phenotypes. We concurrently show that nine additional SNPs with initially low p-values in th …","container-title":"PloS one","DOI":"10.1371/journal.pone.0001361","ISSN":"1932-6203","issue":"12","language":"en","note":"publisher: PLoS One\nPMID: 18159244","source":"pubmed.ncbi.nlm.nih.gov","title":"Genome wide association (GWA) study for early onset extreme obesity supports the role of fat mass and obesity associated gene (FTO) variants","URL":"https://pubmed.ncbi.nlm.nih.gov/18159244/","volume":"2","author":[{"family":"A","given":"Hinney"},{"family":"Tt","given":"Nguyen"},{"family":"A","given":"Scherag"},{"family":"S","given":"Friedel"},{"family":"G","given":"Brönner"},{"family":"Td","given":"Müller"},{"family":"H","given":"Grallert"},{"family":"T","given":"Illig"},{"family":"He","given":"Wichmann"},{"family":"W","given":"Rief"},{"family":"H","given":"Schäfer"},{"family":"J","given":"Hebebrand"}],"accessed":{"date-parts":[["2023",12,6]]},"issued":{"date-parts":[["2007",12,26]]}}}],"schema":"https://github.com/citation-style-language/schema/raw/master/csl-citation.json"}</w:instrText>
      </w:r>
      <w:r>
        <w:rPr/>
      </w:r>
      <w:r>
        <w:rPr/>
        <w:fldChar w:fldCharType="separate"/>
      </w:r>
      <w:r>
        <w:rPr/>
        <w:t>[217]</w:t>
      </w:r>
      <w:r>
        <w:rPr/>
      </w:r>
      <w:r>
        <w:rPr/>
        <w:fldChar w:fldCharType="end"/>
      </w:r>
      <w:r>
        <w:rPr/>
        <w:t xml:space="preserve">. Η μελέτη περιελάμβανε 487 εξαιρετικά παχύσαρκους νεαρούς Γερμανούς ως ομάδα περιπτώσεων (μέσος όρος ηλικίας ± </w:t>
      </w:r>
      <w:r>
        <w:rPr>
          <w:lang w:val="en-US"/>
        </w:rPr>
        <w:t>SD</w:t>
      </w:r>
      <w:r>
        <w:rPr/>
        <w:t xml:space="preserve">, 14,38 ± 3,74 έτη), αλλά ήταν λιγότερο από το ιδανικό ότι η ομάδα ελέγχου ήταν 442 ισχνοί νεαροί ενήλικες Γερμανοί. Αν και αυτή η μελέτη επέλεξε αδύνατα άτομα ως μάρτυρες, λαμβάνοντας υπόψη τα ακραία για την αύξηση της ικανότητας ανίχνευσης γενετικών τόπων δεδομένα, τα αδύνατα άτομα δεν ήταν παιδιά ή έφηβοι αλλά νεαροί ενήλικες (μέση ηλικία ± </w:t>
      </w:r>
      <w:r>
        <w:rPr>
          <w:lang w:val="en-US"/>
        </w:rPr>
        <w:t>SD</w:t>
      </w:r>
      <w:r>
        <w:rPr/>
        <w:t xml:space="preserve">, 26,07 ± 5,79 έτη). Δύο </w:t>
      </w:r>
      <w:r>
        <w:rPr>
          <w:lang w:val="en-US"/>
        </w:rPr>
        <w:t>SNPs</w:t>
      </w:r>
      <w:r>
        <w:rPr/>
        <w:t xml:space="preserve"> (</w:t>
      </w:r>
      <w:r>
        <w:rPr>
          <w:lang w:val="en-US"/>
        </w:rPr>
        <w:t>rs</w:t>
      </w:r>
      <w:r>
        <w:rPr/>
        <w:t xml:space="preserve">1121980, </w:t>
      </w:r>
      <w:r>
        <w:rPr>
          <w:lang w:val="en-US"/>
        </w:rPr>
        <w:t>p</w:t>
      </w:r>
      <w:r>
        <w:rPr/>
        <w:t xml:space="preserve"> = 1,13 </w:t>
      </w:r>
      <w:r>
        <w:rPr>
          <w:lang w:val="en-US"/>
        </w:rPr>
        <w:t>x</w:t>
      </w:r>
      <w:r>
        <w:rPr/>
        <w:t xml:space="preserve"> 10</w:t>
      </w:r>
      <w:r>
        <w:rPr>
          <w:vertAlign w:val="superscript"/>
        </w:rPr>
        <w:t>-7</w:t>
      </w:r>
      <w:r>
        <w:rPr/>
        <w:t xml:space="preserve">, </w:t>
      </w:r>
      <w:r>
        <w:rPr>
          <w:lang w:val="en-US"/>
        </w:rPr>
        <w:t>rs</w:t>
      </w:r>
      <w:r>
        <w:rPr/>
        <w:t xml:space="preserve">9939973, </w:t>
      </w:r>
      <w:r>
        <w:rPr>
          <w:lang w:val="en-US"/>
        </w:rPr>
        <w:t>p</w:t>
      </w:r>
      <w:r>
        <w:rPr/>
        <w:t xml:space="preserve"> = 2,11 × 10</w:t>
      </w:r>
      <w:r>
        <w:rPr>
          <w:vertAlign w:val="superscript"/>
        </w:rPr>
        <w:t>-7</w:t>
      </w:r>
      <w:r>
        <w:rPr/>
        <w:t xml:space="preserve">) συνδέθηκαν υποδηλωτικά με την παιδική παχυσαρκία, υποστηρίζοντας τον ρόλο του </w:t>
      </w:r>
      <w:r>
        <w:rPr>
          <w:lang w:val="en-US"/>
        </w:rPr>
        <w:t>FTO</w:t>
      </w:r>
      <w:r>
        <w:rPr/>
        <w:t xml:space="preserve">. Ένα </w:t>
      </w:r>
      <w:r>
        <w:rPr>
          <w:lang w:val="en-US"/>
        </w:rPr>
        <w:t>GWAS</w:t>
      </w:r>
      <w:r>
        <w:rPr/>
        <w:t xml:space="preserve"> που δημοσιεύθηκε τον Ιανουάριο του 2009 αξιολόγησε τις εκτιμήσεις επίδρασης των </w:t>
      </w:r>
      <w:r>
        <w:rPr>
          <w:lang w:val="en-US"/>
        </w:rPr>
        <w:t>SNPs</w:t>
      </w:r>
      <w:r>
        <w:rPr/>
        <w:t xml:space="preserve"> στην παιδική παχυσαρκία χρησιμοποιώντας Γερμανούς και Γάλλους συμμετέχοντες </w:t>
      </w:r>
      <w:r>
        <w:fldChar w:fldCharType="begin"/>
      </w:r>
      <w:r>
        <w:rPr>
          <w:lang w:val="en-US"/>
        </w:rPr>
        <w:instrText xml:space="preserve">ADDIN ZOTERO_ITEM CSL_CITATION {"citationID":"Cz0lax1V","properties":{"formattedCitation":"[201]","plainCitation":"[201]","noteIndex":0},"citationItems":[{"id":3302,"uris":["http://zotero.org/users/local/WDVvZTBM/items/TQWGUE4S"],"itemData":{"id":3302,"type":"article-journal","abstract":"We analyzed genome-wide association data from 1,380 Europeans with early-onset and morbid adult obesity and 1,416 age-matched normal-weight controls. Thirty-eight markers showing strong association were further evaluated in 14,186 European subjects. In addition to FTO and MC4R, we detected significa …","container-title":"Nature genetics","DOI":"10.1038/ng.301","ISSN":"1546-1718","issue":"2","language":"en","note":"publisher: Nat Genet\nPMID: 19151714","source":"pubmed.ncbi.nlm.nih.gov","title":"Genome-wide association study for early-onset and morbid adult obesity identifies three new risk loci in European populations","URL":"https://pubmed.ncbi.nlm.nih.gov/19151714/","volume":"41","author":[{"family":"D","given":"Meyre"},{"family":"J","given":"Delplanque"},{"family":"Jc","given":"Chèvre"},{"family":"C","given":"Lecoeur"},{"family":"S","given":"Lobbens"},{"family":"S","given":"Gallina"},{"family":"E","given":"Durand"},{"family":"V","given":"Vatin"},{"family":"F","given":"Degraeve"},{"family":"C","given":"Proença"},{"family":"S","given":"Gaget"},{"family":"A","given":"Körner"},{"family":"P","given":"Kovacs"},{"family":"W","given":"Kiess"},{"family":"J","given":"Tichet"},{"family":"M","given":"Marre"},{"family":"Al","given":"Hartikainen"},{"family":"F","given":"Horber"},{"family":"N","given":"Potoczna"},{"family":"S","given":"Hercberg"},{"family":"C","given":"Levy-Marchal"},{"family":"F","given":"Pattou"},{"family":"B","given":"Heude"},{"family":"M","given":"Tauber"},{"family":"Mi","given":"McCarthy"},{"family":"Ai","given":"Blakemore"},{"family":"A","given":"Montpetit"},{"family":"C","given":"Polychronakos"},{"family":"J","given":"Weill"},{"family":"Lj","given":"Coin"},{"family":"J","given":"Asher"},{"family":"P","given":"Elliott"},{"family":"Mr","given":"Järvelin"},{"family":"S","given":"Visvikis-Siest"},{"family":"B","given":"Balkau"},{"family":"R","given":"Sladek"},{"family":"D","given":"Balding"},{"family":"A","given":"Walley"},{"family":"C","given":"Dina"},{"family":"P","given":"Froguel"}],"accessed":{"date-parts":[["2023",12,6]]},"issued":{"date-parts":[["2009",2]]}}}],"schema":"https://github.com/citation-style-language/schema/raw/master/csl-citation.json"}</w:instrText>
      </w:r>
      <w:r>
        <w:rPr>
          <w:lang w:val="en-US"/>
        </w:rPr>
      </w:r>
      <w:r>
        <w:rPr>
          <w:lang w:val="en-US"/>
        </w:rPr>
        <w:fldChar w:fldCharType="separate"/>
      </w:r>
      <w:r>
        <w:rPr>
          <w:lang w:val="en-US"/>
        </w:rPr>
      </w:r>
      <w:r>
        <w:rPr/>
        <w:t>[201]</w:t>
      </w:r>
      <w:r>
        <w:rPr>
          <w:lang w:val="en-US"/>
        </w:rPr>
      </w:r>
      <w:r>
        <w:rPr>
          <w:lang w:val="en-US"/>
        </w:rPr>
        <w:fldChar w:fldCharType="end"/>
      </w:r>
      <w:r>
        <w:rPr/>
        <w:t xml:space="preserve">. Το στάδιο ανακάλυψης αυτής της μελέτης πραγματοποιήθηκε σε 1370 Γαλλικά παιδιά (685 περιπτώσεις, 685 μάρτυρες). Στο στάδιο της αναπαραγωγής, τα γερμανικά δείγματα ήταν όλα παιδιά (377 περιπτώσεις, 731 μάρτυρες), αλλά η ομάδα ελέγχου στα γαλλικά δείγματα (519 περιπτώσεις, 566 μάρτυρες) ήταν νεαροί ενήλικες (μέσος όρος ± </w:t>
      </w:r>
      <w:r>
        <w:rPr>
          <w:lang w:val="en-US"/>
        </w:rPr>
        <w:t>SD</w:t>
      </w:r>
      <w:r>
        <w:rPr/>
        <w:t xml:space="preserve">, 20,99 ± 4,47 έτη). Το </w:t>
      </w:r>
      <w:r>
        <w:rPr>
          <w:lang w:val="en-US"/>
        </w:rPr>
        <w:t>Rs</w:t>
      </w:r>
      <w:r>
        <w:rPr/>
        <w:t>1421085 αναγνωρίστηκε ως το πιο συσχετισμένο με την παιδική παχυσαρκία (</w:t>
      </w:r>
      <w:r>
        <w:rPr>
          <w:lang w:val="en-US"/>
        </w:rPr>
        <w:t>p</w:t>
      </w:r>
      <w:r>
        <w:rPr/>
        <w:t xml:space="preserve"> = 1,30 × 10-</w:t>
      </w:r>
      <w:r>
        <w:rPr>
          <w:vertAlign w:val="superscript"/>
        </w:rPr>
        <w:t>7</w:t>
      </w:r>
      <w:r>
        <w:rPr/>
        <w:t xml:space="preserve">), αν και δεν έφτασε το επίπεδο σημαντικότητας σε επίπεδο γονιδιώματος. Ωστόσο, το </w:t>
      </w:r>
      <w:r>
        <w:rPr>
          <w:lang w:val="en-US"/>
        </w:rPr>
        <w:t>rs</w:t>
      </w:r>
      <w:r>
        <w:rPr/>
        <w:t>1421085 είχε μια σημαντική συσχέτιση σε όλο το γονιδίωμα με το ΔΜΣ της παιδικής ηλικίας σε αυτή τη μελέτη (</w:t>
      </w:r>
      <w:r>
        <w:rPr>
          <w:lang w:val="en-US"/>
        </w:rPr>
        <w:t>p</w:t>
      </w:r>
      <w:r>
        <w:rPr/>
        <w:t xml:space="preserve"> = 1,9 </w:t>
      </w:r>
      <w:r>
        <w:rPr>
          <w:lang w:val="en-US"/>
        </w:rPr>
        <w:t>x</w:t>
      </w:r>
      <w:r>
        <w:rPr/>
        <w:t xml:space="preserve"> 10-</w:t>
      </w:r>
      <w:r>
        <w:rPr>
          <w:vertAlign w:val="superscript"/>
        </w:rPr>
        <w:t>8</w:t>
      </w:r>
      <w:r>
        <w:rPr/>
        <w:t xml:space="preserve">) όπως περιγράφηκε στην προηγούμενη ενότητα για το ΔΜΣ παιδικής ηλικίας. Η μελέτη που δημοσιεύθηκε τον Απρίλιο του 2010 αύξησε το μέγεθος του δείγματος με βάση τους δύο προηγούμενους πληθυσμούς μελέτης (γερμανικά και γαλλικά) και εντόπισε πέντε </w:t>
      </w:r>
      <w:r>
        <w:rPr>
          <w:lang w:val="en-US"/>
        </w:rPr>
        <w:t>SNPs</w:t>
      </w:r>
      <w:r>
        <w:rPr/>
        <w:t xml:space="preserve"> στο </w:t>
      </w:r>
      <w:r>
        <w:rPr>
          <w:lang w:val="en-US"/>
        </w:rPr>
        <w:t>TNKS</w:t>
      </w:r>
      <w:r>
        <w:rPr/>
        <w:t>/</w:t>
      </w:r>
      <w:r>
        <w:rPr>
          <w:lang w:val="en-US"/>
        </w:rPr>
        <w:t>MSRA</w:t>
      </w:r>
      <w:r>
        <w:rPr/>
        <w:t xml:space="preserve"> (</w:t>
      </w:r>
      <w:r>
        <w:rPr>
          <w:lang w:val="en-US"/>
        </w:rPr>
        <w:t>rs</w:t>
      </w:r>
      <w:r>
        <w:rPr/>
        <w:t xml:space="preserve">17150703, </w:t>
      </w:r>
      <w:r>
        <w:rPr>
          <w:lang w:val="en-US"/>
        </w:rPr>
        <w:t>p</w:t>
      </w:r>
      <w:r>
        <w:rPr/>
        <w:t xml:space="preserve"> = 1,85 × 10</w:t>
      </w:r>
      <w:r>
        <w:rPr>
          <w:vertAlign w:val="superscript"/>
        </w:rPr>
        <w:t>−8</w:t>
      </w:r>
      <w:r>
        <w:rPr/>
        <w:t xml:space="preserve">, </w:t>
      </w:r>
      <w:r>
        <w:rPr>
          <w:lang w:val="en-US"/>
        </w:rPr>
        <w:t>rs</w:t>
      </w:r>
      <w:r>
        <w:rPr/>
        <w:t xml:space="preserve">13278851, </w:t>
      </w:r>
      <w:r>
        <w:rPr>
          <w:lang w:val="en-US"/>
        </w:rPr>
        <w:t>p</w:t>
      </w:r>
      <w:r>
        <w:rPr/>
        <w:t xml:space="preserve"> = 2,09 × 10</w:t>
      </w:r>
      <w:r>
        <w:rPr>
          <w:vertAlign w:val="superscript"/>
        </w:rPr>
        <w:t>−8</w:t>
      </w:r>
      <w:r>
        <w:rPr/>
        <w:t xml:space="preserve">), </w:t>
      </w:r>
      <w:r>
        <w:rPr>
          <w:lang w:val="en-US"/>
        </w:rPr>
        <w:t>FTO</w:t>
      </w:r>
      <w:r>
        <w:rPr/>
        <w:t xml:space="preserve"> (</w:t>
      </w:r>
      <w:r>
        <w:rPr>
          <w:lang w:val="en-US"/>
        </w:rPr>
        <w:t>rs</w:t>
      </w:r>
      <w:r>
        <w:rPr/>
        <w:t xml:space="preserve">1558902, </w:t>
      </w:r>
      <w:r>
        <w:rPr>
          <w:lang w:val="en-US"/>
        </w:rPr>
        <w:t>p</w:t>
      </w:r>
      <w:r>
        <w:rPr/>
        <w:t xml:space="preserve"> = 5,00 </w:t>
      </w:r>
      <w:r>
        <w:rPr>
          <w:lang w:val="en-US"/>
        </w:rPr>
        <w:t>x</w:t>
      </w:r>
      <w:r>
        <w:rPr/>
        <w:t xml:space="preserve"> 10-</w:t>
      </w:r>
      <w:r>
        <w:rPr>
          <w:vertAlign w:val="superscript"/>
        </w:rPr>
        <w:t>19</w:t>
      </w:r>
      <w:r>
        <w:rPr/>
        <w:t xml:space="preserve">; </w:t>
      </w:r>
      <w:r>
        <w:rPr>
          <w:lang w:val="en-US"/>
        </w:rPr>
        <w:t>rs</w:t>
      </w:r>
      <w:r>
        <w:rPr/>
        <w:t xml:space="preserve">9935401, </w:t>
      </w:r>
      <w:r>
        <w:rPr>
          <w:lang w:val="en-US"/>
        </w:rPr>
        <w:t>p</w:t>
      </w:r>
      <w:r>
        <w:rPr/>
        <w:t xml:space="preserve"> = 4,06 × 10</w:t>
      </w:r>
      <w:r>
        <w:rPr>
          <w:vertAlign w:val="superscript"/>
        </w:rPr>
        <w:t>-9</w:t>
      </w:r>
      <w:r>
        <w:rPr/>
        <w:t xml:space="preserve">) και </w:t>
      </w:r>
      <w:r>
        <w:rPr>
          <w:lang w:val="en-US"/>
        </w:rPr>
        <w:t>MC</w:t>
      </w:r>
      <w:r>
        <w:rPr/>
        <w:t>4</w:t>
      </w:r>
      <w:r>
        <w:rPr>
          <w:lang w:val="en-US"/>
        </w:rPr>
        <w:t>R</w:t>
      </w:r>
      <w:r>
        <w:rPr/>
        <w:t>/</w:t>
      </w:r>
      <w:r>
        <w:rPr>
          <w:lang w:val="en-US"/>
        </w:rPr>
        <w:t>RPS</w:t>
      </w:r>
      <w:r>
        <w:rPr/>
        <w:t>3</w:t>
      </w:r>
      <w:r>
        <w:rPr>
          <w:lang w:val="en-US"/>
        </w:rPr>
        <w:t>AP</w:t>
      </w:r>
      <w:r>
        <w:rPr/>
        <w:t>49 (</w:t>
      </w:r>
      <w:r>
        <w:rPr>
          <w:lang w:val="en-US"/>
        </w:rPr>
        <w:t>rs</w:t>
      </w:r>
      <w:r>
        <w:rPr/>
        <w:t xml:space="preserve">17700144, </w:t>
      </w:r>
      <w:r>
        <w:rPr>
          <w:lang w:val="en-US"/>
        </w:rPr>
        <w:t>p</w:t>
      </w:r>
      <w:r>
        <w:rPr/>
        <w:t xml:space="preserve"> = 6,47 </w:t>
      </w:r>
      <w:r>
        <w:rPr>
          <w:lang w:val="en-US"/>
        </w:rPr>
        <w:t>x</w:t>
      </w:r>
      <w:r>
        <w:rPr/>
        <w:t xml:space="preserve"> 10</w:t>
      </w:r>
      <w:r>
        <w:rPr>
          <w:vertAlign w:val="superscript"/>
        </w:rPr>
        <w:t>-11</w:t>
      </w:r>
      <w:r>
        <w:rPr/>
        <w:t xml:space="preserve"> παιδική ηλικία) που συσχετίστηκαν σημαντικά με το γονίδιο παχυσαρκίας </w:t>
      </w:r>
      <w:r>
        <w:fldChar w:fldCharType="begin"/>
      </w:r>
      <w:r>
        <w:rPr/>
        <w:instrText xml:space="preserve">ADDIN ZOTERO_ITEM CSL_CITATION {"citationID":"4Ng5905z","properties":{"formattedCitation":"[218]","plainCitation":"[218]","noteIndex":0},"citationItems":[{"id":3366,"uris":["http://zotero.org/users/local/WDVvZTBM/items/TQ7JD5DU"],"itemData":{"id":3366,"type":"article-journal","abstract":"Meta-analyses of population-based genome-wide association studies (GWAS) in adults have recently led to the detection of new genetic loci for obesity. Here we aimed to discover additional obesity loci in extremely obese children and adolescents. We also investigated if these results generalize by es …","container-title":"PLoS genetics","DOI":"10.1371/journal.pgen.1000916","ISSN":"1553-7404","issue":"4","language":"en","note":"publisher: PLoS Genet\nPMID: 20421936","source":"pubmed.ncbi.nlm.nih.gov","title":"Two new Loci for body-weight regulation identified in a joint analysis of genome-wide association studies for early-onset extreme obesity in French and german study groups","URL":"https://pubmed.ncbi.nlm.nih.gov/20421936/","volume":"6","author":[{"family":"A","given":"Scherag"},{"family":"C","given":"Dina"},{"family":"A","given":"Hinney"},{"family":"V","given":"Vatin"},{"family":"S","given":"Scherag"},{"family":"Ci","given":"Vogel"},{"family":"Td","given":"Müller"},{"family":"H","given":"Grallert"},{"family":"He","given":"Wichmann"},{"family":"B","given":"Balkau"},{"family":"B","given":"Heude"},{"family":"Mr","given":"Jarvelin"},{"family":"Al","given":"Hartikainen"},{"family":"C","given":"Levy-Marchal"},{"family":"J","given":"Weill"},{"family":"J","given":"Delplanque"},{"family":"A","given":"Körner"},{"family":"W","given":"Kiess"},{"family":"P","given":"Kovacs"},{"family":"Nw","given":"Rayner"},{"family":"I","given":"Prokopenko"},{"family":"Mi","given":"McCarthy"},{"family":"H","given":"Schäfer"},{"family":"I","given":"Jarick"},{"family":"H","given":"Boeing"},{"family":"E","given":"Fisher"},{"family":"T","given":"Reinehr"},{"family":"J","given":"Heinrich"},{"family":"P","given":"Rzehak"},{"family":"D","given":"Berdel"},{"family":"M","given":"Borte"},{"family":"H","given":"Biebermann"},{"family":"H","given":"Krude"},{"family":"D","given":"Rosskopf"},{"family":"C","given":"Rimmbach"},{"family":"W","given":"Rief"},{"family":"T","given":"Fromme"},{"family":"M","given":"Klingenspor"},{"family":"A","given":"Schürmann"},{"family":"N","given":"Schulz"},{"family":"Mm","given":"Nöthen"},{"family":"Tw","given":"Mühleisen"},{"family":"R","given":"Erbel"},{"family":"Kh","given":"Jöckel"},{"family":"S","given":"Moebus"},{"family":"T","given":"Boes"},{"family":"T","given":"Illig"},{"family":"P","given":"Froguel"},{"family":"J","given":"Hebebrand"},{"family":"D","given":"Meyre"}],"accessed":{"date-parts":[["2023",12,6]]},"issued":{"date-parts":[["2010",4,22]]}}}],"schema":"https://github.com/citation-style-language/schema/raw/master/csl-citation.json"}</w:instrText>
      </w:r>
      <w:r>
        <w:rPr/>
      </w:r>
      <w:r>
        <w:rPr/>
        <w:fldChar w:fldCharType="separate"/>
      </w:r>
      <w:r>
        <w:rPr/>
        <w:t>[218]</w:t>
      </w:r>
      <w:r>
        <w:rPr/>
      </w:r>
      <w:r>
        <w:rPr/>
        <w:fldChar w:fldCharType="end"/>
      </w:r>
      <w:r>
        <w:rPr/>
        <w:t xml:space="preserve">. Ωστόσο, αυτά τα πέντε </w:t>
      </w:r>
      <w:r>
        <w:rPr>
          <w:lang w:val="en-US"/>
        </w:rPr>
        <w:t>SNP</w:t>
      </w:r>
      <w:r>
        <w:rPr/>
        <w:t xml:space="preserve">s δεν αναπαράχθηκαν στο στάδιο της αναπαραγωγής (Όλα </w:t>
      </w:r>
      <w:r>
        <w:rPr>
          <w:lang w:val="en-US"/>
        </w:rPr>
        <w:t>p</w:t>
      </w:r>
      <w:r>
        <w:rPr/>
        <w:t xml:space="preserve"> &gt; 6,85 </w:t>
      </w:r>
      <w:r>
        <w:rPr>
          <w:lang w:val="en-US"/>
        </w:rPr>
        <w:t>x</w:t>
      </w:r>
      <w:r>
        <w:rPr/>
        <w:t xml:space="preserve"> 10</w:t>
      </w:r>
      <w:r>
        <w:rPr>
          <w:vertAlign w:val="superscript"/>
        </w:rPr>
        <w:t>-7</w:t>
      </w:r>
      <w:r>
        <w:rPr/>
        <w:t>).</w:t>
      </w:r>
    </w:p>
    <w:p>
      <w:pPr>
        <w:pStyle w:val="Normal"/>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s>
        <w:spacing w:lineRule="auto" w:line="360"/>
        <w:jc w:val="both"/>
        <w:rPr/>
      </w:pPr>
      <w:r>
        <w:rPr/>
        <w:tab/>
        <w:t xml:space="preserve">Τον Απρίλιο του 2012, υπήρξαν νέες εξελίξεις στην ανακάλυψη των </w:t>
      </w:r>
      <w:r>
        <w:rPr>
          <w:lang w:val="en-US"/>
        </w:rPr>
        <w:t>SNPs</w:t>
      </w:r>
      <w:r>
        <w:rPr/>
        <w:t xml:space="preserve"> της παιδικής παχυσαρκίας, αντιμετωπίζοντας προηγούμενους περιορισμούς στην επιλογή της ομάδας ελέγχου </w:t>
      </w:r>
      <w:r>
        <w:fldChar w:fldCharType="begin"/>
      </w:r>
      <w:r>
        <w:rPr/>
        <w:instrText xml:space="preserve">ADDIN ZOTERO_ITEM CSL_CITATION {"citationID":"LJO5Chko","properties":{"formattedCitation":"[219]","plainCitation":"[219]","noteIndex":0},"citationItems":[{"id":3370,"uris":["http://zotero.org/users/local/WDVvZTBM/items/6PMECY24"],"itemData":{"id":3370,"type":"article-journal","abstract":"Multiple genetic variants have been associated with adult obesity and a few with severe obesity in childhood; however, less progress has been made in establishing genetic influences on common early-onset obesity. We performed a North American, Australian and European collaborative meta-analysis of 1 …","container-title":"Nature genetics","DOI":"10.1038/ng.2247","ISSN":"1546-1718","issue":"5","language":"en","note":"publisher: Nat Genet\nPMID: 22484627","source":"pubmed.ncbi.nlm.nih.gov","title":"A genome-wide association meta-analysis identifies new childhood obesity loci","URL":"https://pubmed.ncbi.nlm.nih.gov/22484627/","volume":"44","author":[{"family":"Jp","given":"Bradfield"},{"family":"Hr","given":"Taal"},{"family":"Nj","given":"Timpson"},{"family":"A","given":"Scherag"},{"family":"C","given":"Lecoeur"},{"family":"Nm","given":"Warrington"},{"family":"E","given":"Hypponen"},{"family":"C","given":"Holst"},{"family":"B","given":"Valcarcel"},{"family":"E","given":"Thiering"},{"family":"Rm","given":"Salem"},{"family":"Fr","given":"Schumacher"},{"family":"Dl","given":"Cousminer"},{"family":"Pm","given":"Sleiman"},{"family":"J","given":"Zhao"},{"family":"Ri","given":"Berkowitz"},{"family":"Ks","given":"Vimaleswaran"},{"family":"I","given":"Jarick"},{"family":"Ce","given":"Pennell"},{"family":"Dm","given":"Evans"},{"family":"B","given":"St Pourcain"},{"family":"Dj","given":"Berry"},{"family":"Do","given":"Mook-Kanamori"},{"family":"A","given":"Hofman"},{"family":"F","given":"Rivadeneira"},{"family":"Ag","given":"Uitterlinden"},{"family":"Cm","given":"van Duijn"},{"family":"Rj","given":"van der Valk"},{"family":"Jc","given":"de Jongste"},{"family":"Ds","given":"Postma"},{"family":"Di","given":"Boomsma"},{"family":"Wj","given":"Gauderman"},{"family":"Mt","given":"Hassanein"},{"family":"Cm","given":"Lindgren"},{"family":"R","given":"Mägi"},{"family":"Ca","given":"Boreham"},{"family":"Ce","given":"Neville"},{"family":"La","given":"Moreno"},{"family":"P","given":"Elliott"},{"family":"A","given":"Pouta"},{"family":"Al","given":"Hartikainen"},{"family":"M","given":"Li"},{"family":"O","given":"Raitakari"},{"family":"T","given":"Lehtimäki"},{"family":"Jg","given":"Eriksson"},{"family":"A","given":"Palotie"},{"family":"J","given":"Dallongeville"},{"family":"S","given":"Das"},{"family":"P","given":"Deloukas"},{"family":"G","given":"McMahon"},{"family":"Sm","given":"Ring"},{"family":"Jp","given":"Kemp"},{"family":"Jl","given":"Buxton"},{"family":"Ai","given":"Blakemore"},{"family":"M","given":"Bustamante"},{"family":"M","given":"Guxens"},{"family":"Jn","given":"Hirschhorn"},{"family":"Mw","given":"Gillman"},{"family":"E","given":"Kreiner-Møller"},{"family":"H","given":"Bisgaard"},{"family":"Fd","given":"Gilliland"},{"family":"J","given":"Heinrich"},{"family":"E","given":"Wheeler"},{"family":"I","given":"Barroso"},{"family":"S","given":"O'Rahilly"},{"family":"A","given":"Meirhaeghe"},{"family":"Ti","given":"Sørensen"},{"family":"C","given":"Power"},{"family":"Lj","given":"Palmer"},{"family":"A","given":"Hinney"},{"family":"E","given":"Widen"},{"family":"Is","given":"Farooqi"},{"family":"Mi","given":"McCarthy"},{"family":"P","given":"Froguel"},{"family":"D","given":"Meyre"},{"family":"J","given":"Hebebrand"},{"family":"Mr","given":"Jarvelin"},{"family":"Vw","given":"Jaddoe"},{"family":"Gd","given":"Smith"},{"family":"H","given":"Hakonarson"},{"family":"Sf","given":"Grant"}],"accessed":{"date-parts":[["2023",12,6]]},"issued":{"date-parts":[["2012",12]]}}}],"schema":"https://github.com/citation-style-language/schema/raw/master/csl-citation.json"}</w:instrText>
      </w:r>
      <w:r>
        <w:rPr/>
      </w:r>
      <w:r>
        <w:rPr/>
        <w:fldChar w:fldCharType="separate"/>
      </w:r>
      <w:r>
        <w:rPr/>
        <w:t>[219]</w:t>
      </w:r>
      <w:r>
        <w:rPr/>
      </w:r>
      <w:r>
        <w:rPr/>
        <w:fldChar w:fldCharType="end"/>
      </w:r>
      <w:r>
        <w:rPr/>
        <w:t xml:space="preserve">. Μια </w:t>
      </w:r>
      <w:r>
        <w:rPr>
          <w:lang w:val="en-US"/>
        </w:rPr>
        <w:t>GWAS</w:t>
      </w:r>
      <w:r>
        <w:rPr/>
        <w:t xml:space="preserve"> εντόπισε εννέα </w:t>
      </w:r>
      <w:r>
        <w:rPr>
          <w:lang w:val="en-US"/>
        </w:rPr>
        <w:t>SNPs</w:t>
      </w:r>
      <w:r>
        <w:rPr/>
        <w:t xml:space="preserve"> που σχετίζονται με την παχυσαρκία σε παιδιά ηλικίας 2-18 ετών μέσω μιας μετα-ανάλυσης 23 μελετών (8348 περιπτώσεις· 12.401 έλεγχοι). </w:t>
      </w:r>
      <w:r>
        <w:rPr>
          <w:lang w:val="en-US"/>
        </w:rPr>
        <w:t>OLFM</w:t>
      </w:r>
      <w:r>
        <w:rPr/>
        <w:t>4/</w:t>
      </w:r>
      <w:r>
        <w:rPr>
          <w:lang w:val="en-US"/>
        </w:rPr>
        <w:t>PCDH</w:t>
      </w:r>
      <w:r>
        <w:rPr/>
        <w:t>8</w:t>
      </w:r>
      <w:r>
        <w:rPr>
          <w:lang w:val="en-US"/>
        </w:rPr>
        <w:t>P</w:t>
      </w:r>
      <w:r>
        <w:rPr/>
        <w:t>1 (</w:t>
      </w:r>
      <w:r>
        <w:rPr>
          <w:lang w:val="en-US"/>
        </w:rPr>
        <w:t>rs</w:t>
      </w:r>
      <w:r>
        <w:rPr/>
        <w:t xml:space="preserve">9568856, </w:t>
      </w:r>
      <w:r>
        <w:rPr>
          <w:lang w:val="en-US"/>
        </w:rPr>
        <w:t>p</w:t>
      </w:r>
      <w:r>
        <w:rPr/>
        <w:t xml:space="preserve"> = 1,82 </w:t>
      </w:r>
      <w:r>
        <w:rPr>
          <w:lang w:val="en-US"/>
        </w:rPr>
        <w:t>x</w:t>
      </w:r>
      <w:r>
        <w:rPr/>
        <w:t xml:space="preserve"> 10-</w:t>
      </w:r>
      <w:r>
        <w:rPr>
          <w:vertAlign w:val="superscript"/>
        </w:rPr>
        <w:t>2</w:t>
      </w:r>
      <w:r>
        <w:rPr/>
        <w:t xml:space="preserve">) και στο </w:t>
      </w:r>
      <w:r>
        <w:rPr>
          <w:lang w:val="en-US"/>
        </w:rPr>
        <w:t>HOXB</w:t>
      </w:r>
      <w:r>
        <w:rPr/>
        <w:t>5 (</w:t>
      </w:r>
      <w:r>
        <w:rPr>
          <w:lang w:val="en-US"/>
        </w:rPr>
        <w:t>rs</w:t>
      </w:r>
      <w:r>
        <w:rPr/>
        <w:t xml:space="preserve">9299, </w:t>
      </w:r>
      <w:r>
        <w:rPr>
          <w:lang w:val="en-US"/>
        </w:rPr>
        <w:t>p</w:t>
      </w:r>
      <w:r>
        <w:rPr/>
        <w:t xml:space="preserve"> = 3,54 </w:t>
      </w:r>
      <w:r>
        <w:rPr>
          <w:lang w:val="en-US"/>
        </w:rPr>
        <w:t>x</w:t>
      </w:r>
      <w:r>
        <w:rPr/>
        <w:t xml:space="preserve"> 10-</w:t>
      </w:r>
      <w:r>
        <w:rPr>
          <w:vertAlign w:val="superscript"/>
        </w:rPr>
        <w:t>9</w:t>
      </w:r>
      <w:r>
        <w:rPr/>
        <w:t xml:space="preserve">). Τον Απρίλιο του 2013, διεξήχθη </w:t>
      </w:r>
      <w:r>
        <w:rPr>
          <w:lang w:val="en-US"/>
        </w:rPr>
        <w:t>GWAS</w:t>
      </w:r>
      <w:r>
        <w:rPr/>
        <w:t xml:space="preserve"> σε 1509 παιδιά με σοβαρή παχυσαρκία (&gt;3 </w:t>
      </w:r>
      <w:r>
        <w:rPr>
          <w:lang w:val="en-US"/>
        </w:rPr>
        <w:t>SD</w:t>
      </w:r>
      <w:r>
        <w:rPr/>
        <w:t xml:space="preserve"> από τη μέση κατανομή του ΔΜΣ) και 5380 ελέγχους στο στάδιο της ανακάλυψης. Η αξιολόγηση 29 </w:t>
      </w:r>
      <w:r>
        <w:rPr>
          <w:lang w:val="en-US"/>
        </w:rPr>
        <w:t>SNPs</w:t>
      </w:r>
      <w:r>
        <w:rPr/>
        <w:t xml:space="preserve"> (</w:t>
      </w:r>
      <w:r>
        <w:rPr>
          <w:lang w:val="en-US"/>
        </w:rPr>
        <w:t>p</w:t>
      </w:r>
      <w:r>
        <w:rPr/>
        <w:t xml:space="preserve"> &lt; 1 </w:t>
      </w:r>
      <w:r>
        <w:rPr>
          <w:lang w:val="en-US"/>
        </w:rPr>
        <w:t>x</w:t>
      </w:r>
      <w:r>
        <w:rPr/>
        <w:t xml:space="preserve"> 10</w:t>
      </w:r>
      <w:r>
        <w:rPr>
          <w:vertAlign w:val="superscript"/>
        </w:rPr>
        <w:t>-5</w:t>
      </w:r>
      <w:r>
        <w:rPr/>
        <w:t xml:space="preserve">) σε επιπλέον 971 παιδιά με σοβαρή παχυσαρκία και 1990  εντόπισε εννέα </w:t>
      </w:r>
      <w:r>
        <w:rPr>
          <w:lang w:val="en-US"/>
        </w:rPr>
        <w:t>SNPs</w:t>
      </w:r>
      <w:r>
        <w:rPr/>
        <w:t xml:space="preserve"> που σχετίζονται με σοβαρή παχυσαρκία και πέντε νέα </w:t>
      </w:r>
      <w:r>
        <w:rPr>
          <w:lang w:val="en-US"/>
        </w:rPr>
        <w:t>SNPs</w:t>
      </w:r>
      <w:r>
        <w:rPr/>
        <w:t xml:space="preserve"> σε </w:t>
      </w:r>
      <w:r>
        <w:rPr>
          <w:lang w:val="en-US"/>
        </w:rPr>
        <w:t>RPL</w:t>
      </w:r>
      <w:r>
        <w:rPr/>
        <w:t>31</w:t>
      </w:r>
      <w:r>
        <w:rPr>
          <w:lang w:val="en-US"/>
        </w:rPr>
        <w:t>P</w:t>
      </w:r>
      <w:r>
        <w:rPr/>
        <w:t xml:space="preserve">12, </w:t>
      </w:r>
      <w:r>
        <w:rPr>
          <w:lang w:val="en-US"/>
        </w:rPr>
        <w:t>PRKCH</w:t>
      </w:r>
      <w:r>
        <w:rPr/>
        <w:t xml:space="preserve">, </w:t>
      </w:r>
      <w:r>
        <w:rPr>
          <w:lang w:val="en-US"/>
        </w:rPr>
        <w:t>LEPR</w:t>
      </w:r>
      <w:r>
        <w:rPr/>
        <w:t xml:space="preserve">, </w:t>
      </w:r>
      <w:r>
        <w:rPr>
          <w:lang w:val="en-US"/>
        </w:rPr>
        <w:t>PACS</w:t>
      </w:r>
      <w:r>
        <w:rPr/>
        <w:t xml:space="preserve">1 και </w:t>
      </w:r>
      <w:r>
        <w:rPr>
          <w:lang w:val="en-US"/>
        </w:rPr>
        <w:t>NEDD</w:t>
      </w:r>
      <w:r>
        <w:rPr/>
        <w:t xml:space="preserve">1 </w:t>
      </w:r>
      <w:r>
        <w:fldChar w:fldCharType="begin"/>
      </w:r>
      <w:r>
        <w:rPr/>
        <w:instrText xml:space="preserve">ADDIN ZOTERO_ITEM CSL_CITATION {"citationID":"XPrYMNCT","properties":{"formattedCitation":"[220]","plainCitation":"[220]","noteIndex":0},"citationItems":[{"id":3374,"uris":["http://zotero.org/users/local/WDVvZTBM/items/4ITBVXK8"],"itemData":{"id":3374,"type":"article-journal","abstract":"Common and rare variants associated with body mass index (BMI) and obesity account for &lt;5% of the variance in BMI. We performed SNP and copy number variation (CNV) association analyses in 1,509 children with obesity at the extreme tail (&gt;3 s.d. from the mean) of the BMI distribution and 5,380 …","container-title":"Nature genetics","DOI":"10.1038/ng.2607","ISSN":"1546-1718","issue":"5","language":"en","note":"publisher: Nat Genet\nPMID: 23563609","source":"pubmed.ncbi.nlm.nih.gov","title":"Genome-wide SNP and CNV analysis identifies common and low-frequency variants associated with severe early-onset obesity","URL":"https://pubmed.ncbi.nlm.nih.gov/23563609/","volume":"45","author":[{"family":"E","given":"Wheeler"},{"family":"N","given":"Huang"},{"family":"Eg","given":"Bochukova"},{"family":"Jm","given":"Keogh"},{"family":"S","given":"Lindsay"},{"family":"S","given":"Garg"},{"family":"E","given":"Henning"},{"family":"H","given":"Blackburn"},{"family":"Rj","given":"Loos"},{"family":"Nj","given":"Wareham"},{"family":"S","given":"O'Rahilly"},{"family":"Me","given":"Hurles"},{"family":"I","given":"Barroso"},{"family":"Is","given":"Farooqi"}],"accessed":{"date-parts":[["2023",12,6]]},"issued":{"date-parts":[["2013",12]]}}}],"schema":"https://github.com/citation-style-language/schema/raw/master/csl-citation.json"}</w:instrText>
      </w:r>
      <w:r>
        <w:rPr/>
      </w:r>
      <w:r>
        <w:rPr/>
        <w:fldChar w:fldCharType="separate"/>
      </w:r>
      <w:r>
        <w:rPr/>
        <w:t>[220]</w:t>
      </w:r>
      <w:r>
        <w:rPr/>
      </w:r>
      <w:r>
        <w:rPr/>
        <w:fldChar w:fldCharType="end"/>
      </w:r>
      <w:r>
        <w:rPr/>
        <w:t xml:space="preserve">. </w:t>
      </w:r>
    </w:p>
    <w:p>
      <w:pPr>
        <w:pStyle w:val="Normal"/>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s>
        <w:spacing w:lineRule="auto" w:line="360"/>
        <w:jc w:val="both"/>
        <w:rPr/>
      </w:pPr>
      <w:r>
        <w:rPr/>
        <w:tab/>
        <w:t xml:space="preserve">Η πρόσφατη και μεγαλύτερη </w:t>
      </w:r>
      <w:r>
        <w:rPr>
          <w:lang w:val="en-US"/>
        </w:rPr>
        <w:t>GWAS</w:t>
      </w:r>
      <w:r>
        <w:rPr/>
        <w:t xml:space="preserve"> για την παιδική παχυσαρκία δημοσιεύθηκε τον Ιούλιο του 2019 </w:t>
      </w:r>
      <w:r>
        <w:fldChar w:fldCharType="begin"/>
      </w:r>
      <w:r>
        <w:rPr/>
        <w:instrText xml:space="preserve">ADDIN ZOTERO_ITEM CSL_CITATION {"citationID":"qSWfElnI","properties":{"formattedCitation":"[221]","plainCitation":"[221]","noteIndex":0},"citationItems":[{"id":3378,"uris":["http://zotero.org/users/local/WDVvZTBM/items/3HUTK7SI"],"itemData":{"id":3378,"type":"article-journal","abstract":"Although hundreds of genome-wide association studies-implicated loci have been reported for adult obesity-related traits, less is known about the genetics specific for early-onset obesity and with only a few studies conducted in non-European populations to date. Searching for additional genetic vari …","container-title":"Human molecular genetics","DOI":"10.1093/hmg/ddz161","ISSN":"1460-2083","issue":"19","language":"en","note":"publisher: Hum Mol Genet\nPMID: 31504550","source":"pubmed.ncbi.nlm.nih.gov","title":"A trans-ancestral meta-analysis of genome-wide association studies reveals loci associated with childhood obesity","URL":"https://pubmed.ncbi.nlm.nih.gov/31504550/","volume":"28","author":[{"family":"Jp","given":"Bradfield"},{"family":"S","given":"Vogelezang"},{"family":"Jf","given":"Felix"},{"family":"A","given":"Chesi"},{"family":"Ø","given":"Helgeland"},{"family":"M","given":"Horikoshi"},{"family":"V","given":"Karhunen"},{"family":"E","given":"Lowry"},{"family":"Dl","given":"Cousminer"},{"family":"Ts","given":"Ahluwalia"},{"family":"E","given":"Thiering"},{"family":"Et","given":"Boh"},{"family":"Mh","given":"Zafarmand"},{"family":"N","given":"Vilor-Tejedor"},{"family":"Ca","given":"Wang"},{"family":"R","given":"Joro"},{"family":"Z","given":"Chen"},{"family":"Wj","given":"Gauderman"},{"family":"N","given":"Pitkänen"},{"family":"Ej","given":"Parra"},{"family":"L","given":"Fernandez-Rhodes"},{"family":"A","given":"Alyass"},{"family":"C","given":"Monnereau"},{"family":"Ja","given":"Curtin"},{"family":"Ct","given":"Have"},{"family":"Se","given":"McCormack"},{"family":"M","given":"Hollensted"},{"family":"C","given":"Frithioff-Bøjsøe"},{"family":"A","given":"Valladares-Salgado"},{"family":"J","given":"Peralta-Romero"},{"family":"Yy","given":"Teo"},{"family":"M","given":"Standl"},{"family":"Jt","given":"Leinonen"},{"family":"Jc","given":"Holm"},{"family":"T","given":"Peters"},{"family":"J","given":"Vioque"},{"family":"M","given":"Vrijheid"},{"family":"A","given":"Simpson"},{"family":"A","given":"Custovic"},{"family":"M","given":"Vaudel"},{"family":"M","given":"Canouil"},{"family":"V","given":"Lindi"},{"family":"M","given":"Atalay"},{"family":"M","given":"Kähönen"},{"family":"Ot","given":"Raitakari"},{"family":"Bdc","given":"van Schaik"},{"family":"Ri","given":"Berkowitz"},{"family":"Sa","given":"Cole"},{"family":"Vs","given":"Voruganti"},{"family":"Y","given":"Wang"},{"family":"Hm","given":"Highland"},{"family":"Ag","given":"Comuzzie"},{"family":"Nf","given":"Butte"},{"family":"Ae","given":"Justice"},{"family":"S","given":"Gahagan"},{"family":"E","given":"Blanco"},{"family":"T","given":"Lehtimäki"},{"family":"Ta","given":"Lakka"},{"family":"J","given":"Hebebrand"},{"family":"A","given":"Bonnefond"},{"family":"N","given":"Grarup"},{"family":"P","given":"Froguel"},{"family":"Lp","given":"Lyytikäinen"},{"family":"M","given":"Cruz"},{"family":"S","given":"Kobes"},{"family":"Rl","given":"Hanson"},{"family":"Bs","given":"Zemel"},{"family":"A","given":"Hinney"},{"family":"Kk","given":"Teo"},{"family":"D","given":"Meyre"},{"family":"Ke","given":"North"},{"family":"Fd","given":"Gilliland"},{"family":"H","given":"Bisgaard"},{"family":"M","given":"Bustamante"},{"family":"K","given":"Bonnelykke"},{"family":"Ce","given":"Pennell"},{"family":"F","given":"Rivadeneira"},{"family":"Ag","given":"Uitterlinden"},{"family":"Lj","given":"Baier"},{"family":"Tgm","given":"Vrijkotte"},{"family":"J","given":"Heinrich"},{"family":"Tia","given":"Sørensen"},{"family":"Sm","given":"Saw"},{"family":"O","given":"Pedersen"},{"family":"T","given":"Hansen"},{"family":"J","given":"Eriksson"},{"family":"E","given":"Widén"},{"family":"Mi","given":"McCarthy"},{"family":"Pr","given":"Njølstad"},{"family":"C","given":"Power"},{"family":"E","given":"Hyppönen"},{"family":"S","given":"Sebert"},{"family":"Cd","given":"Brown"},{"family":"Mr","given":"Järvelin"},{"family":"Nj","given":"Timpson"},{"family":"S","given":"Johansson"},{"family":"H","given":"Hakonarson"},{"family":"Vwv","given":"Jaddoe"},{"family":"Sfa","given":"Grant"}],"accessed":{"date-parts":[["2023",12,6]]},"issued":{"date-parts":[["2019",1,10]]}}}],"schema":"https://github.com/citation-style-language/schema/raw/master/csl-citation.json"}</w:instrText>
      </w:r>
      <w:r>
        <w:rPr/>
      </w:r>
      <w:r>
        <w:rPr/>
        <w:fldChar w:fldCharType="separate"/>
      </w:r>
      <w:r>
        <w:rPr/>
        <w:t>[221]</w:t>
      </w:r>
      <w:r>
        <w:rPr/>
      </w:r>
      <w:r>
        <w:rPr/>
        <w:fldChar w:fldCharType="end"/>
      </w:r>
      <w:r>
        <w:rPr/>
        <w:t xml:space="preserve">. Αυτή είναι μια πολυεθνική μετα-ανάλυση του </w:t>
      </w:r>
      <w:r>
        <w:rPr>
          <w:lang w:val="en-US"/>
        </w:rPr>
        <w:t>GWAS</w:t>
      </w:r>
      <w:r>
        <w:rPr/>
        <w:t xml:space="preserve"> που περιλαμβάνει Ευρωπαίους, Ασιάτες, Αφρικανούς και Ισπανόφωνους, η οποία εντόπισε 19 </w:t>
      </w:r>
      <w:r>
        <w:rPr>
          <w:lang w:val="en-US"/>
        </w:rPr>
        <w:t>SNPs</w:t>
      </w:r>
      <w:r>
        <w:rPr/>
        <w:t xml:space="preserve"> που αγγίζουν τη σημασία του γονιδιώματος για την υπερπρογονική παιδική παχυσαρκία. Οι σημαντικές συσχετίσεις σε όλο το γονιδίωμα για τα </w:t>
      </w:r>
      <w:r>
        <w:rPr>
          <w:lang w:val="en-US"/>
        </w:rPr>
        <w:t>SNP</w:t>
      </w:r>
      <w:r>
        <w:rPr/>
        <w:t xml:space="preserve">s με την παιδική παχυσαρκία βρέθηκαν μόνο στην Ευρώπη και ο αριθμός των </w:t>
      </w:r>
      <w:r>
        <w:rPr>
          <w:lang w:val="en-US"/>
        </w:rPr>
        <w:t>SNPs</w:t>
      </w:r>
      <w:r>
        <w:rPr/>
        <w:t xml:space="preserve"> ήταν 12. Οι πιο σημαντικοί </w:t>
      </w:r>
      <w:r>
        <w:rPr>
          <w:lang w:val="en-US"/>
        </w:rPr>
        <w:t>SNPs</w:t>
      </w:r>
      <w:r>
        <w:rPr/>
        <w:t xml:space="preserve"> στους Ασιατικούς, Αφρικανούς και Ισπανόφωνους πληθυσμούς ήταν οι </w:t>
      </w:r>
      <w:r>
        <w:rPr>
          <w:lang w:val="en-US"/>
        </w:rPr>
        <w:t>rs</w:t>
      </w:r>
      <w:r>
        <w:rPr/>
        <w:t>2540031 (</w:t>
      </w:r>
      <w:r>
        <w:rPr>
          <w:lang w:val="en-US"/>
        </w:rPr>
        <w:t>ADCY</w:t>
      </w:r>
      <w:r>
        <w:rPr/>
        <w:t xml:space="preserve">9, </w:t>
      </w:r>
      <w:r>
        <w:rPr>
          <w:lang w:val="en-US"/>
        </w:rPr>
        <w:t>p</w:t>
      </w:r>
      <w:r>
        <w:rPr/>
        <w:t xml:space="preserve"> = 0,015), </w:t>
      </w:r>
      <w:r>
        <w:rPr>
          <w:lang w:val="en-US"/>
        </w:rPr>
        <w:t>rs</w:t>
      </w:r>
      <w:r>
        <w:rPr/>
        <w:t>6567160 (</w:t>
      </w:r>
      <w:r>
        <w:rPr>
          <w:lang w:val="en-US"/>
        </w:rPr>
        <w:t>MC</w:t>
      </w:r>
      <w:r>
        <w:rPr/>
        <w:t>4</w:t>
      </w:r>
      <w:r>
        <w:rPr>
          <w:lang w:val="en-US"/>
        </w:rPr>
        <w:t>R</w:t>
      </w:r>
      <w:r>
        <w:rPr/>
        <w:t xml:space="preserve">, </w:t>
      </w:r>
      <w:r>
        <w:rPr>
          <w:lang w:val="en-US"/>
        </w:rPr>
        <w:t>p</w:t>
      </w:r>
      <w:r>
        <w:rPr/>
        <w:t xml:space="preserve"> = 8,66 </w:t>
      </w:r>
      <w:r>
        <w:rPr>
          <w:lang w:val="en-US"/>
        </w:rPr>
        <w:t>x</w:t>
      </w:r>
      <w:r>
        <w:rPr/>
        <w:t xml:space="preserve"> 10</w:t>
      </w:r>
      <w:r>
        <w:rPr>
          <w:vertAlign w:val="superscript"/>
        </w:rPr>
        <w:t>-5</w:t>
      </w:r>
      <w:r>
        <w:rPr/>
        <w:t xml:space="preserve">) και </w:t>
      </w:r>
      <w:r>
        <w:rPr>
          <w:lang w:val="en-US"/>
        </w:rPr>
        <w:t>rs</w:t>
      </w:r>
      <w:r>
        <w:rPr/>
        <w:t>56094641 (</w:t>
      </w:r>
      <w:r>
        <w:rPr>
          <w:lang w:val="en-US"/>
        </w:rPr>
        <w:t>FTO</w:t>
      </w:r>
      <w:r>
        <w:rPr/>
        <w:t xml:space="preserve">, </w:t>
      </w:r>
      <w:r>
        <w:rPr>
          <w:lang w:val="en-US"/>
        </w:rPr>
        <w:t>p</w:t>
      </w:r>
      <w:r>
        <w:rPr/>
        <w:t xml:space="preserve"> = 6,55 × 10</w:t>
      </w:r>
      <w:r>
        <w:rPr>
          <w:vertAlign w:val="superscript"/>
        </w:rPr>
        <w:t>−6</w:t>
      </w:r>
      <w:r>
        <w:rPr/>
        <w:t>) αντίστοιχα.</w:t>
      </w:r>
    </w:p>
    <w:p>
      <w:pPr>
        <w:pStyle w:val="Normal"/>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s>
        <w:jc w:val="both"/>
        <w:rPr/>
      </w:pPr>
      <w:r>
        <w:rPr/>
      </w:r>
    </w:p>
    <w:p>
      <w:pPr>
        <w:pStyle w:val="Heading2"/>
        <w:rPr/>
      </w:pPr>
      <w:bookmarkStart w:id="89" w:name="_Toc154923849"/>
      <w:r>
        <w:rPr/>
        <w:t>5.4 Αναλύσεις εμπλουτισμού των πλησιέστερων γονιδίων</w:t>
      </w:r>
      <w:bookmarkEnd w:id="89"/>
      <w:r>
        <w:rPr/>
        <w:t xml:space="preserve"> </w:t>
      </w:r>
    </w:p>
    <w:p>
      <w:pPr>
        <w:pStyle w:val="Normal"/>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s>
        <w:spacing w:lineRule="auto" w:line="360"/>
        <w:jc w:val="both"/>
        <w:rPr/>
      </w:pPr>
      <w:r>
        <w:rPr/>
        <w:tab/>
        <w:t xml:space="preserve">Τα αποτελέσματα των αναλύσεων εμπλουτισμού φαίνονται στην Εικόνα 14. Οι </w:t>
      </w:r>
      <w:r>
        <w:rPr>
          <w:lang w:val="en-US"/>
        </w:rPr>
        <w:t>Zhou</w:t>
      </w:r>
      <w:r>
        <w:rPr/>
        <w:t xml:space="preserve"> </w:t>
      </w:r>
      <w:r>
        <w:rPr>
          <w:lang w:val="en-US"/>
        </w:rPr>
        <w:t>et</w:t>
      </w:r>
      <w:r>
        <w:rPr/>
        <w:t xml:space="preserve"> </w:t>
      </w:r>
      <w:r>
        <w:rPr>
          <w:lang w:val="en-US"/>
        </w:rPr>
        <w:t>al</w:t>
      </w:r>
      <w:r>
        <w:rPr/>
        <w:t xml:space="preserve">. </w:t>
      </w:r>
      <w:r>
        <w:fldChar w:fldCharType="begin"/>
      </w:r>
      <w:r>
        <w:rPr/>
        <w:instrText xml:space="preserve">ADDIN ZOTERO_ITEM CSL_CITATION {"citationID":"eZKoxqAE","properties":{"formattedCitation":"[200]","plainCitation":"[200]","noteIndex":0},"citationItems":[{"id":3347,"uris":["http://zotero.org/users/local/WDVvZTBM/items/WYYKDT7N"],"itemData":{"id":3347,"type":"article-journal","abstract":"Background\nThe progress of genome-wide association studies (GWAS) in childhood obesity and its indicators is challenging and there are differences in genetic studies in children and adults.\n \nObject...","container-title":"Pediatric Obesity","DOI":"10.1111/ijpo.13077","ISSN":"2047-6310","issue":"12","language":"en","note":"publisher: John Wiley &amp; Sons, Ltd","page":"e13077","source":"onlinelibrary.wiley.com","title":"Development of genome-wide association studies on childhood obesity and its indicators: A scoping review and enrichment analysis","title-short":"Development of genome-wide association studies on childhood obesity and its indicators","volume":"18","author":[{"family":"Zhou","given":"Feixiang"},{"family":"Tian","given":"Gang"},{"family":"Cui","given":"Yiran"},{"family":"He","given":"Simin"},{"family":"Yan","given":"Yan"}],"issued":{"date-parts":[["2023",12,1]]}}}],"schema":"https://github.com/citation-style-language/schema/raw/master/csl-citation.json"}</w:instrText>
      </w:r>
      <w:r>
        <w:rPr/>
      </w:r>
      <w:r>
        <w:rPr/>
        <w:fldChar w:fldCharType="separate"/>
      </w:r>
      <w:r>
        <w:rPr/>
        <w:t>[200]</w:t>
      </w:r>
      <w:r>
        <w:rPr/>
      </w:r>
      <w:r>
        <w:rPr/>
        <w:fldChar w:fldCharType="end"/>
      </w:r>
      <w:r>
        <w:rPr>
          <w:lang w:val="en-US"/>
        </w:rPr>
        <w:t>ozh</w:t>
      </w:r>
      <w:r>
        <w:rPr/>
        <w:t xml:space="preserve">ανακάλυψαν μερικές σημαντικές διαδρομές εμπλουτισμού σε μονοπάτια γονιδιακής οντολογίας και μονοπάτια </w:t>
      </w:r>
      <w:r>
        <w:rPr>
          <w:lang w:val="en-US"/>
        </w:rPr>
        <w:t>Wiki</w:t>
      </w:r>
      <w:r>
        <w:rPr/>
        <w:t xml:space="preserve"> χρησιμοποιώντας τα 55 πλησιέστερα γονίδια. Τα μονοπάτια γονιδιακής οντολογίας περιελάμβαναν 10 βιολογικές διεργασίες και πέντε κυτταρικά συστατικά. Τα μονοπάτια του </w:t>
      </w:r>
      <w:r>
        <w:rPr>
          <w:lang w:val="en-US"/>
        </w:rPr>
        <w:t>Wiki</w:t>
      </w:r>
      <w:r>
        <w:rPr/>
        <w:t xml:space="preserve"> περιελάμβαναν μονοπάτια σηματοδότησης πρωτεΐνης </w:t>
      </w:r>
      <w:r>
        <w:rPr>
          <w:lang w:val="en-US"/>
        </w:rPr>
        <w:t>G</w:t>
      </w:r>
      <w:r>
        <w:rPr/>
        <w:t xml:space="preserve"> (</w:t>
      </w:r>
      <w:r>
        <w:rPr>
          <w:lang w:val="en-US"/>
        </w:rPr>
        <w:t>Padjusted</w:t>
      </w:r>
      <w:r>
        <w:rPr/>
        <w:t xml:space="preserve"> = 0,008), ρύθμιση ασβεστίου στο καρδιακό κύτταρο (</w:t>
      </w:r>
      <w:r>
        <w:rPr>
          <w:lang w:val="en-US"/>
        </w:rPr>
        <w:t>Padjusted</w:t>
      </w:r>
      <w:r>
        <w:rPr/>
        <w:t xml:space="preserve"> = 0,019), λεπτίνη και αδιπονεκτίνη (</w:t>
      </w:r>
      <w:r>
        <w:rPr>
          <w:lang w:val="en-US"/>
        </w:rPr>
        <w:t>Padjusted</w:t>
      </w:r>
      <w:r>
        <w:rPr/>
        <w:t xml:space="preserve"> = 0,019) και επικάλυψη ινσουλίνης λεπτίνης (</w:t>
      </w:r>
      <w:r>
        <w:rPr>
          <w:lang w:val="en-US"/>
        </w:rPr>
        <w:t>Padjusted</w:t>
      </w:r>
      <w:r>
        <w:rPr/>
        <w:t xml:space="preserve"> = 0,04) (Εικόνα 14Β).</w:t>
      </w:r>
    </w:p>
    <w:p>
      <w:pPr>
        <w:pStyle w:val="Normal"/>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s>
        <w:spacing w:lineRule="auto" w:line="360"/>
        <w:jc w:val="both"/>
        <w:rPr/>
      </w:pPr>
      <w:r>
        <w:rPr/>
        <w:tab/>
        <w:t xml:space="preserve">Σε 30 γενικούς τύπους ιστών, ο μαστός και ο νεφρός παρουσίασαν σημαντικό εμπλουτισμό στην τιμή </w:t>
      </w:r>
      <w:r>
        <w:rPr>
          <w:lang w:val="en-US"/>
        </w:rPr>
        <w:t>p</w:t>
      </w:r>
      <w:r>
        <w:rPr/>
        <w:t xml:space="preserve"> 0,0017 (</w:t>
      </w:r>
      <w:r>
        <w:rPr>
          <w:lang w:val="en-US"/>
        </w:rPr>
        <w:t>p</w:t>
      </w:r>
      <w:r>
        <w:rPr/>
        <w:t xml:space="preserve"> = 0,05/30) (Εικόνα 14Α). Σε 53 συγκεκριμένους τύπους ιστών, το λιπώδη σπλαχνικό ιστό, ο μαστικός ιστός του μαστού, οι ινοβλάστες που καλλιεργήθηκαν με κύτταρα, ο βλεννογόνος του οισοφάγου και ο φλοιός των νεφρών έδειξαν σημαντικό εμπλουτισμό στην τιμή </w:t>
      </w:r>
      <w:r>
        <w:rPr>
          <w:lang w:val="en-US"/>
        </w:rPr>
        <w:t>p</w:t>
      </w:r>
      <w:r>
        <w:rPr/>
        <w:t>=0,001 (</w:t>
      </w:r>
      <w:r>
        <w:rPr>
          <w:lang w:val="en-US"/>
        </w:rPr>
        <w:t>p</w:t>
      </w:r>
      <w:r>
        <w:rPr/>
        <w:t xml:space="preserve"> = 0,05/53). Τα ειδικά για τον ιστό μοτίβα έκφρασης κάθε γονιδίου οπτικοποιήθηκαν ως ένας διαδραστικός χάρτης θερμότητας που βασίζεται σε δεδομένα </w:t>
      </w:r>
      <w:r>
        <w:rPr>
          <w:lang w:val="en-US"/>
        </w:rPr>
        <w:t>RNA</w:t>
      </w:r>
      <w:r>
        <w:rPr/>
        <w:t>-</w:t>
      </w:r>
      <w:r>
        <w:rPr>
          <w:lang w:val="en-US"/>
        </w:rPr>
        <w:t>seq</w:t>
      </w:r>
      <w:r>
        <w:rPr/>
        <w:t xml:space="preserve"> </w:t>
      </w:r>
      <w:r>
        <w:rPr>
          <w:lang w:val="en-US"/>
        </w:rPr>
        <w:t>GTEX</w:t>
      </w:r>
      <w:r>
        <w:rPr/>
        <w:t xml:space="preserve"> </w:t>
      </w:r>
      <w:r>
        <w:rPr>
          <w:lang w:val="en-US"/>
        </w:rPr>
        <w:t>v</w:t>
      </w:r>
      <w:r>
        <w:rPr/>
        <w:t>8. Βρήκανε οκτώ σημαντικά εμπλουτισμένες ασθένειες, όπως η παχυσαρκία (</w:t>
      </w:r>
      <w:r>
        <w:rPr>
          <w:lang w:val="en-US"/>
        </w:rPr>
        <w:t>p</w:t>
      </w:r>
      <w:r>
        <w:rPr/>
        <w:t xml:space="preserve"> = 9,36 </w:t>
      </w:r>
      <w:r>
        <w:rPr>
          <w:lang w:val="en-US"/>
        </w:rPr>
        <w:t>x</w:t>
      </w:r>
      <w:r>
        <w:rPr/>
        <w:t xml:space="preserve"> 10-</w:t>
      </w:r>
      <w:r>
        <w:rPr>
          <w:vertAlign w:val="superscript"/>
        </w:rPr>
        <w:t>10</w:t>
      </w:r>
      <w:r>
        <w:rPr/>
        <w:t>), οι διατροφικές διαταραχές (</w:t>
      </w:r>
      <w:r>
        <w:rPr>
          <w:lang w:val="en-US"/>
        </w:rPr>
        <w:t>p</w:t>
      </w:r>
      <w:r>
        <w:rPr/>
        <w:t xml:space="preserve"> = 2,14 × 10</w:t>
      </w:r>
      <w:r>
        <w:rPr>
          <w:vertAlign w:val="superscript"/>
        </w:rPr>
        <w:t>-9</w:t>
      </w:r>
      <w:r>
        <w:rPr/>
        <w:t>), το σωματικό βάρος (</w:t>
      </w:r>
      <w:r>
        <w:rPr>
          <w:lang w:val="en-US"/>
        </w:rPr>
        <w:t>p</w:t>
      </w:r>
      <w:r>
        <w:rPr/>
        <w:t xml:space="preserve"> = 4,11 </w:t>
      </w:r>
      <w:r>
        <w:rPr>
          <w:lang w:val="en-US"/>
        </w:rPr>
        <w:t>x</w:t>
      </w:r>
      <w:r>
        <w:rPr/>
        <w:t xml:space="preserve"> 10</w:t>
      </w:r>
      <w:r>
        <w:rPr>
          <w:vertAlign w:val="superscript"/>
        </w:rPr>
        <w:t>-8</w:t>
      </w:r>
      <w:r>
        <w:rPr/>
        <w:t>), ο σακχαρώδης διαβήτης τύπου 2 (</w:t>
      </w:r>
      <w:r>
        <w:rPr>
          <w:lang w:val="en-US"/>
        </w:rPr>
        <w:t>p</w:t>
      </w:r>
      <w:r>
        <w:rPr/>
        <w:t xml:space="preserve"> = 1,59 </w:t>
      </w:r>
      <w:r>
        <w:rPr>
          <w:lang w:val="en-US"/>
        </w:rPr>
        <w:t>x</w:t>
      </w:r>
      <w:r>
        <w:rPr/>
        <w:t xml:space="preserve"> 10-</w:t>
      </w:r>
      <w:r>
        <w:rPr>
          <w:vertAlign w:val="superscript"/>
        </w:rPr>
        <w:t>7</w:t>
      </w:r>
      <w:r>
        <w:rPr/>
        <w:t>), ορθοστατική υπόταση (</w:t>
      </w:r>
      <w:r>
        <w:rPr>
          <w:lang w:val="en-US"/>
        </w:rPr>
        <w:t>p</w:t>
      </w:r>
      <w:r>
        <w:rPr/>
        <w:t xml:space="preserve"> = 2,91 </w:t>
      </w:r>
      <w:r>
        <w:rPr>
          <w:lang w:val="en-US"/>
        </w:rPr>
        <w:t>x</w:t>
      </w:r>
      <w:r>
        <w:rPr/>
        <w:t xml:space="preserve"> 10</w:t>
      </w:r>
      <w:r>
        <w:rPr>
          <w:vertAlign w:val="superscript"/>
        </w:rPr>
        <w:t>-7</w:t>
      </w:r>
      <w:r>
        <w:rPr/>
        <w:t>), υπερφαγία (</w:t>
      </w:r>
      <w:r>
        <w:rPr>
          <w:lang w:val="en-US"/>
        </w:rPr>
        <w:t>p</w:t>
      </w:r>
      <w:r>
        <w:rPr/>
        <w:t xml:space="preserve"> = 1,15 </w:t>
      </w:r>
      <w:r>
        <w:rPr>
          <w:lang w:val="en-US"/>
        </w:rPr>
        <w:t>x</w:t>
      </w:r>
      <w:r>
        <w:rPr/>
        <w:t xml:space="preserve"> 10-</w:t>
      </w:r>
      <w:r>
        <w:rPr>
          <w:vertAlign w:val="superscript"/>
        </w:rPr>
        <w:t>6</w:t>
      </w:r>
      <w:r>
        <w:rPr/>
        <w:t>), νευρική ανορεξία (</w:t>
      </w:r>
      <w:r>
        <w:rPr>
          <w:lang w:val="en-US"/>
        </w:rPr>
        <w:t>p</w:t>
      </w:r>
      <w:r>
        <w:rPr/>
        <w:t xml:space="preserve"> = 2,15 </w:t>
      </w:r>
      <w:r>
        <w:rPr>
          <w:lang w:val="en-US"/>
        </w:rPr>
        <w:t>x</w:t>
      </w:r>
      <w:r>
        <w:rPr/>
        <w:t xml:space="preserve"> 10-</w:t>
      </w:r>
      <w:r>
        <w:rPr>
          <w:vertAlign w:val="superscript"/>
        </w:rPr>
        <w:t>6</w:t>
      </w:r>
      <w:r>
        <w:rPr/>
        <w:t>) και λεπτότητα (</w:t>
      </w:r>
      <w:r>
        <w:rPr>
          <w:lang w:val="en-US"/>
        </w:rPr>
        <w:t>p</w:t>
      </w:r>
      <w:r>
        <w:rPr/>
        <w:t xml:space="preserve"> = 5,79 </w:t>
      </w:r>
      <w:r>
        <w:rPr>
          <w:lang w:val="en-US"/>
        </w:rPr>
        <w:t>x</w:t>
      </w:r>
      <w:r>
        <w:rPr/>
        <w:t xml:space="preserve"> 10-</w:t>
      </w:r>
      <w:r>
        <w:rPr>
          <w:vertAlign w:val="superscript"/>
        </w:rPr>
        <w:t xml:space="preserve"> 6</w:t>
      </w:r>
      <w:r>
        <w:rPr/>
        <w:t>) (Εικόνα 14Γ).</w:t>
      </w:r>
    </w:p>
    <w:p>
      <w:pPr>
        <w:pStyle w:val="Normal"/>
        <w:keepNext w:val="true"/>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s>
        <w:spacing w:lineRule="auto" w:line="360"/>
        <w:jc w:val="both"/>
        <w:rPr/>
      </w:pPr>
      <w:r>
        <w:rPr/>
        <w:drawing>
          <wp:inline distT="0" distB="0" distL="0" distR="0">
            <wp:extent cx="5278755" cy="5965825"/>
            <wp:effectExtent l="0" t="0" r="0" b="0"/>
            <wp:docPr id="16" name="Εικόνα13" descr="Εικόνα που περιέχει κείμενο, στιγμιότυπο οθόνης, διάγραμμα, σχεδίασ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Εικόνα13" descr="Εικόνα που περιέχει κείμενο, στιγμιότυπο οθόνης, διάγραμμα, σχεδίαση&#10;&#10;Περιγραφή που δημιουργήθηκε αυτόματα"/>
                    <pic:cNvPicPr>
                      <a:picLocks noChangeAspect="1" noChangeArrowheads="1"/>
                    </pic:cNvPicPr>
                  </pic:nvPicPr>
                  <pic:blipFill>
                    <a:blip r:embed="rId33"/>
                    <a:stretch>
                      <a:fillRect/>
                    </a:stretch>
                  </pic:blipFill>
                  <pic:spPr bwMode="auto">
                    <a:xfrm>
                      <a:off x="0" y="0"/>
                      <a:ext cx="5278755" cy="5965825"/>
                    </a:xfrm>
                    <a:prstGeom prst="rect">
                      <a:avLst/>
                    </a:prstGeom>
                  </pic:spPr>
                </pic:pic>
              </a:graphicData>
            </a:graphic>
          </wp:inline>
        </w:drawing>
      </w:r>
    </w:p>
    <w:p>
      <w:pPr>
        <w:pStyle w:val="Caption1"/>
        <w:spacing w:lineRule="auto" w:line="240" w:before="0" w:after="0"/>
        <w:jc w:val="center"/>
        <w:rPr/>
      </w:pPr>
      <w:bookmarkStart w:id="90" w:name="_Toc152764780"/>
      <w:r>
        <w:rPr/>
        <w:t xml:space="preserve">Εικόνα </w:t>
      </w:r>
      <w:r>
        <w:rPr/>
        <w:fldChar w:fldCharType="begin"/>
      </w:r>
      <w:r>
        <w:rPr/>
        <w:instrText xml:space="preserve"> SEQ Εικόνα \* ARABIC </w:instrText>
      </w:r>
      <w:r>
        <w:rPr/>
        <w:fldChar w:fldCharType="separate"/>
      </w:r>
      <w:r>
        <w:rPr/>
        <w:t>14</w:t>
      </w:r>
      <w:r>
        <w:rPr/>
        <w:fldChar w:fldCharType="end"/>
      </w:r>
      <w:r>
        <w:rPr/>
        <w:t xml:space="preserve">: </w:t>
      </w:r>
      <w:r>
        <w:rPr>
          <w:rFonts w:eastAsia="Calibri" w:cs="Times-Italic" w:ascii="Times-Italic" w:hAnsi="Times-Italic"/>
          <w:b w:val="false"/>
          <w:bCs w:val="false"/>
          <w:i/>
          <w:iCs/>
          <w:color w:val="18191B"/>
          <w:sz w:val="18"/>
          <w:szCs w:val="18"/>
        </w:rPr>
        <w:t xml:space="preserve">Αποτελέσματα της ανάλυσης εμπλουτισμού σε ιστούς, μονοπάτια και ασθένειες. (Α) Το γράφημα ράβδων υποδεικνύει την τιμή p της ανάλυσης εμπλουτισμού 55 πλησιέστερων γονιδίων σε 30 γενικούς και 54 ειδικούς τύπους ιστών από τη βάση δεδομένων GTEx v8. Ο διαδραστικός χάρτης θερμότητας δείχνει την έκφραση κάθε γονιδίου. (Β) Το ραβδόγραμμα υποδεικνύει την ανάλυση εμπλουτισμού των μονοπατιών go και των μονοπατιών Wiki. (Γ) Υποδεικνύει τα αποτελέσματα της ανάλυσης εμπλουτισμού της νόσου, με το ραβδόγραμμα να δείχνει την τιμή p και το γραμμικό γράφημα να δείχνει την αναλογία εμπλουτισμού </w:t>
      </w:r>
      <w:r>
        <w:fldChar w:fldCharType="begin"/>
      </w:r>
      <w:r>
        <w:rPr>
          <w:sz w:val="18"/>
          <w:i/>
          <w:b w:val="false"/>
          <w:szCs w:val="18"/>
          <w:iCs/>
          <w:bCs w:val="false"/>
          <w:rFonts w:eastAsia="Calibri" w:cs="Times-Italic" w:ascii="Times-Italic" w:hAnsi="Times-Italic"/>
          <w:color w:val="18191B"/>
          <w:lang w:val="en-US"/>
        </w:rPr>
        <w:instrText xml:space="preserve">ADDIN ZOTERO_ITEM CSL_CITATION {"citationID":"XIk2pvrf","properties":{"formattedCitation":"[200]","plainCitation":"[200]","noteIndex":0},"citationItems":[{"id":3347,"uris":["http://zotero.org/users/local/WDVvZTBM/items/WYYKDT7N"],"itemData":{"id":3347,"type":"article-journal","abstract":"Background\nThe progress of genome-wide association studies (GWAS) in childhood obesity and its indicators is challenging and there are differences in genetic studies in children and adults.\n \nObject...","container-title":"Pediatric Obesity","DOI":"10.1111/ijpo.13077","ISSN":"2047-6310","issue":"12","language":"en","note":"publisher: John Wiley &amp; Sons, Ltd","page":"e13077","source":"onlinelibrary.wiley.com","title":"Development of genome-wide association studies on childhood obesity and its indicators: A scoping review and enrichment analysis","title-short":"Development of genome-wide association studies on childhood obesity and its indicators","volume":"18","author":[{"family":"Zhou","given":"Feixiang"},{"family":"Tian","given":"Gang"},{"family":"Cui","given":"Yiran"},{"family":"He","given":"Simin"},{"family":"Yan","given":"Yan"}],"issued":{"date-parts":[["2023",12,1]]}}}],"schema":"https://github.com/citation-style-language/schema/raw/master/csl-citation.json"}</w:instrText>
      </w:r>
      <w:r>
        <w:rPr>
          <w:rFonts w:eastAsia="Calibri" w:cs="Times-Italic" w:ascii="Times-Italic" w:hAnsi="Times-Italic"/>
          <w:b w:val="false"/>
          <w:bCs w:val="false"/>
          <w:i/>
          <w:iCs/>
          <w:color w:val="18191B"/>
          <w:sz w:val="18"/>
          <w:szCs w:val="18"/>
          <w:lang w:val="en-US"/>
        </w:rPr>
      </w:r>
      <w:r>
        <w:rPr>
          <w:sz w:val="18"/>
          <w:i/>
          <w:b w:val="false"/>
          <w:szCs w:val="18"/>
          <w:iCs/>
          <w:bCs w:val="false"/>
          <w:rFonts w:eastAsia="Calibri" w:cs="Times-Italic" w:ascii="Times-Italic" w:hAnsi="Times-Italic"/>
          <w:color w:val="18191B"/>
          <w:lang w:val="en-US"/>
        </w:rPr>
        <w:fldChar w:fldCharType="separate"/>
      </w:r>
      <w:r>
        <w:rPr>
          <w:rFonts w:eastAsia="Calibri" w:cs="Times-Italic" w:ascii="Times-Italic" w:hAnsi="Times-Italic"/>
          <w:b w:val="false"/>
          <w:bCs w:val="false"/>
          <w:i/>
          <w:iCs/>
          <w:color w:val="18191B"/>
          <w:sz w:val="18"/>
          <w:szCs w:val="18"/>
          <w:lang w:val="en-US"/>
        </w:rPr>
      </w:r>
      <w:r>
        <w:rPr>
          <w:rFonts w:eastAsia="Calibri" w:cs="Times-Italic" w:ascii="Times-Italic" w:hAnsi="Times-Italic"/>
          <w:b w:val="false"/>
          <w:bCs w:val="false"/>
          <w:i/>
          <w:iCs/>
          <w:color w:val="18191B"/>
          <w:sz w:val="18"/>
          <w:szCs w:val="18"/>
        </w:rPr>
        <w:t>[200]</w:t>
      </w:r>
      <w:r>
        <w:rPr>
          <w:rFonts w:eastAsia="Calibri" w:cs="Times-Italic" w:ascii="Times-Italic" w:hAnsi="Times-Italic"/>
          <w:b w:val="false"/>
          <w:bCs w:val="false"/>
          <w:i/>
          <w:iCs/>
          <w:color w:val="18191B"/>
          <w:sz w:val="18"/>
          <w:szCs w:val="18"/>
          <w:lang w:val="en-US"/>
        </w:rPr>
      </w:r>
      <w:r>
        <w:rPr>
          <w:sz w:val="18"/>
          <w:i/>
          <w:b w:val="false"/>
          <w:szCs w:val="18"/>
          <w:iCs/>
          <w:bCs w:val="false"/>
          <w:rFonts w:eastAsia="Calibri" w:cs="Times-Italic" w:ascii="Times-Italic" w:hAnsi="Times-Italic"/>
          <w:color w:val="18191B"/>
          <w:lang w:val="en-US"/>
        </w:rPr>
        <w:fldChar w:fldCharType="end"/>
      </w:r>
      <w:r>
        <w:rPr>
          <w:rFonts w:eastAsia="Calibri" w:cs="Times-Italic" w:ascii="Times-Italic" w:hAnsi="Times-Italic"/>
          <w:b w:val="false"/>
          <w:bCs w:val="false"/>
          <w:i/>
          <w:iCs/>
          <w:color w:val="18191B"/>
          <w:sz w:val="18"/>
          <w:szCs w:val="18"/>
        </w:rPr>
        <w:t>.</w:t>
      </w:r>
      <w:bookmarkEnd w:id="90"/>
    </w:p>
    <w:p>
      <w:pPr>
        <w:pStyle w:val="Normal"/>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s>
        <w:jc w:val="both"/>
        <w:rPr/>
      </w:pPr>
      <w:r>
        <w:rPr/>
      </w:r>
    </w:p>
    <w:p>
      <w:pPr>
        <w:pStyle w:val="Heading2"/>
        <w:rPr/>
      </w:pPr>
      <w:bookmarkStart w:id="91" w:name="_Toc154923850"/>
      <w:r>
        <w:rPr/>
        <w:t>5.5 Ευκαιρίες και προκλήσεις για μελέτες αντιγραφής</w:t>
      </w:r>
      <w:bookmarkEnd w:id="91"/>
      <w:r>
        <w:rPr/>
        <w:t xml:space="preserve"> </w:t>
      </w:r>
    </w:p>
    <w:p>
      <w:pPr>
        <w:pStyle w:val="Normal"/>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s>
        <w:spacing w:lineRule="auto" w:line="360"/>
        <w:jc w:val="both"/>
        <w:rPr/>
      </w:pPr>
      <w:r>
        <w:rPr/>
        <w:tab/>
        <w:t xml:space="preserve">Ο αναδιπλασιασμός ορίστηκε ως η παρουσία περισσότερων από δύο </w:t>
      </w:r>
      <w:r>
        <w:rPr>
          <w:lang w:val="en-US"/>
        </w:rPr>
        <w:t>SNP</w:t>
      </w:r>
      <w:r>
        <w:rPr/>
        <w:t xml:space="preserve">s σε όλο το γονιδίωμα που σχετίζονται σημαντικά με έναν φαινότυπο όταν εξετάζονται τα </w:t>
      </w:r>
      <w:r>
        <w:rPr>
          <w:lang w:val="en-US"/>
        </w:rPr>
        <w:t>SNP</w:t>
      </w:r>
      <w:r>
        <w:rPr/>
        <w:t xml:space="preserve"> σε ανισορροπία σύνδεσης. Αναφέρθηκαν στη μελέτη των Z</w:t>
      </w:r>
      <w:r>
        <w:rPr>
          <w:lang w:val="en-US"/>
        </w:rPr>
        <w:t>hao</w:t>
      </w:r>
      <w:r>
        <w:rPr/>
        <w:t xml:space="preserve"> </w:t>
      </w:r>
      <w:r>
        <w:rPr>
          <w:lang w:val="en-US"/>
        </w:rPr>
        <w:t>et</w:t>
      </w:r>
      <w:r>
        <w:rPr/>
        <w:t xml:space="preserve"> </w:t>
      </w:r>
      <w:r>
        <w:rPr>
          <w:lang w:val="en-US"/>
        </w:rPr>
        <w:t>al</w:t>
      </w:r>
      <w:r>
        <w:rPr/>
        <w:t xml:space="preserve">. </w:t>
      </w:r>
      <w:r>
        <w:fldChar w:fldCharType="begin"/>
      </w:r>
      <w:r>
        <w:rPr/>
        <w:instrText xml:space="preserve">ADDIN ZOTERO_ITEM CSL_CITATION {"citationID":"ZfjBZnAS","properties":{"formattedCitation":"[200]","plainCitation":"[200]","noteIndex":0},"citationItems":[{"id":3347,"uris":["http://zotero.org/users/local/WDVvZTBM/items/WYYKDT7N"],"itemData":{"id":3347,"type":"article-journal","abstract":"Background\nThe progress of genome-wide association studies (GWAS) in childhood obesity and its indicators is challenging and there are differences in genetic studies in children and adults.\n \nObject...","container-title":"Pediatric Obesity","DOI":"10.1111/ijpo.13077","ISSN":"2047-6310","issue":"12","language":"en","note":"publisher: John Wiley &amp; Sons, Ltd","page":"e13077","source":"onlinelibrary.wiley.com","title":"Development of genome-wide association studies on childhood obesity and its indicators: A scoping review and enrichment analysis","title-short":"Development of genome-wide association studies on childhood obesity and its indicators","volume":"18","author":[{"family":"Zhou","given":"Feixiang"},{"family":"Tian","given":"Gang"},{"family":"Cui","given":"Yiran"},{"family":"He","given":"Simin"},{"family":"Yan","given":"Yan"}],"issued":{"date-parts":[["2023",12,1]]}}}],"schema":"https://github.com/citation-style-language/schema/raw/master/csl-citation.json"}</w:instrText>
      </w:r>
      <w:r>
        <w:rPr/>
      </w:r>
      <w:r>
        <w:rPr/>
        <w:fldChar w:fldCharType="separate"/>
      </w:r>
      <w:r>
        <w:rPr/>
        <w:t>[200]</w:t>
      </w:r>
      <w:r>
        <w:rPr/>
      </w:r>
      <w:r>
        <w:rPr/>
        <w:fldChar w:fldCharType="end"/>
      </w:r>
      <w:r>
        <w:rPr/>
        <w:t xml:space="preserve"> 72 κύρια </w:t>
      </w:r>
      <w:r>
        <w:rPr>
          <w:lang w:val="en-US"/>
        </w:rPr>
        <w:t>SNPs</w:t>
      </w:r>
      <w:r>
        <w:rPr/>
        <w:t xml:space="preserve"> από 116 </w:t>
      </w:r>
      <w:r>
        <w:rPr>
          <w:lang w:val="en-US"/>
        </w:rPr>
        <w:t>SNPs</w:t>
      </w:r>
      <w:r>
        <w:rPr/>
        <w:t xml:space="preserve">. Αυτό σήμαινε ότι 19, 9 και 16 </w:t>
      </w:r>
      <w:r>
        <w:rPr>
          <w:lang w:val="en-US"/>
        </w:rPr>
        <w:t>SNPs</w:t>
      </w:r>
      <w:r>
        <w:rPr/>
        <w:t xml:space="preserve"> για παιδικό ΔΜΣ, σωματικό λίπος και παχυσαρκία αντιγράφηκαν αντίστοιχα. Ο αριθμός των </w:t>
      </w:r>
      <w:r>
        <w:rPr>
          <w:lang w:val="en-US"/>
        </w:rPr>
        <w:t>SNPs</w:t>
      </w:r>
      <w:r>
        <w:rPr/>
        <w:t xml:space="preserve"> που επαναλήφθηκαν σε όλες τις μελέτες ήταν υψηλός. Μερικά </w:t>
      </w:r>
      <w:r>
        <w:rPr>
          <w:lang w:val="en-US"/>
        </w:rPr>
        <w:t>SNPs</w:t>
      </w:r>
      <w:r>
        <w:rPr/>
        <w:t xml:space="preserve"> θα μπορούσαν να αντικατασταθούν από τα κύρια </w:t>
      </w:r>
      <w:r>
        <w:rPr>
          <w:lang w:val="en-US"/>
        </w:rPr>
        <w:t>SNPs</w:t>
      </w:r>
      <w:r>
        <w:rPr/>
        <w:t xml:space="preserve"> επειδή η πρώιμη </w:t>
      </w:r>
      <w:r>
        <w:rPr>
          <w:lang w:val="en-US"/>
        </w:rPr>
        <w:t>GWAS</w:t>
      </w:r>
      <w:r>
        <w:rPr/>
        <w:t xml:space="preserve"> συχνά δεν προσδιόριζε και έχανε μεγάλα τμήματα του γονιδιώματος. Το πρώιμο σύνολο δεδομένων </w:t>
      </w:r>
      <w:r>
        <w:rPr>
          <w:lang w:val="en-US"/>
        </w:rPr>
        <w:t>GWAS</w:t>
      </w:r>
      <w:r>
        <w:rPr/>
        <w:t xml:space="preserve"> για την παιδική παχυσαρκία περιελάμβανε 530 011 </w:t>
      </w:r>
      <w:r>
        <w:rPr>
          <w:lang w:val="en-US"/>
        </w:rPr>
        <w:t>SNP</w:t>
      </w:r>
      <w:r>
        <w:rPr/>
        <w:t xml:space="preserve">s, αλλά επεκτάθηκε σε 2 499 691 </w:t>
      </w:r>
      <w:r>
        <w:rPr>
          <w:lang w:val="en-US"/>
        </w:rPr>
        <w:t>SNPs</w:t>
      </w:r>
      <w:r>
        <w:rPr/>
        <w:t xml:space="preserve"> σε μια μεταγενέστερη μελέτη </w:t>
      </w:r>
      <w:r>
        <w:fldChar w:fldCharType="begin"/>
      </w:r>
      <w:r>
        <w:rPr/>
        <w:instrText xml:space="preserve">ADDIN ZOTERO_ITEM CSL_CITATION {"citationID":"cffmjpPa","properties":{"formattedCitation":"[202], [207]","plainCitation":"[202], [207]","noteIndex":0},"citationItems":[{"id":3305,"uris":["http://zotero.org/users/local/WDVvZTBM/items/3XAEUJMX"],"itemData":{"id":3305,"type":"article-journal","abstract":"Genome-wide association studies conducted in an adolescent founder population revealed two new and a number of previously identified loci of obesity and demonstrated that several but not all of these loci are also associated with elevated BP. These results begin to reveal the genetic architecture of …","container-title":"The Journal of clinical endocrinology and metabolism","DOI":"10.1210/jc.2011-1801","ISSN":"1945-7197","issue":"1","language":"en","note":"publisher: J Clin Endocrinol Metab\nPMID: 22013104","source":"pubmed.ncbi.nlm.nih.gov","title":"Genome-wide scan for loci of adolescent obesity and their relationship with blood pressure","URL":"https://pubmed.ncbi.nlm.nih.gov/22013104/","volume":"97","author":[{"family":"Mg","given":"Melka"},{"family":"M","given":"Bernard"},{"family":"A","given":"Mahboubi"},{"family":"M","given":"Abrahamowicz"},{"family":"Ad","given":"Paterson"},{"family":"C","given":"Syme"},{"family":"A","given":"Lourdusamy"},{"family":"G","given":"Schumann"},{"family":"Gt","given":"Leonard"},{"family":"M","given":"Perron"},{"family":"L","given":"Richer"},{"family":"S","given":"Veillette"},{"family":"D","given":"Gaudet"},{"family":"T","given":"Paus"},{"family":"Z","given":"Pausova"}],"accessed":{"date-parts":[["2023",12,6]]},"issued":{"date-parts":[["2012",1]]}}},{"id":3325,"uris":["http://zotero.org/users/local/WDVvZTBM/items/BS8SXRG4"],"itemData":{"id":3325,"type":"article-journal","abstract":"A large number of genetic loci are associated with adult body mass index. However, the genetics of childhood body mass index are largely unknown. We performed a meta-analysis of genome-wide association studies of childhood body mass index, using sex- and age-adjusted standard deviation scores. We in …","container-title":"Human molecular genetics","DOI":"10.1093/hmg/ddv472","ISSN":"1460-2083","issue":"2","language":"en","note":"publisher: Hum Mol Genet\nPMID: 26604143","source":"pubmed.ncbi.nlm.nih.gov","title":"Genome-wide association analysis identifies three new susceptibility loci for childhood body mass index","URL":"https://pubmed.ncbi.nlm.nih.gov/26604143/","volume":"25","author":[{"family":"Jf","given":"Felix"},{"family":"Jp","given":"Bradfield"},{"family":"C","given":"Monnereau"},{"family":"Rj","given":"van der Valk"},{"family":"E","given":"Stergiakouli"},{"family":"A","given":"Chesi"},{"family":"R","given":"Gaillard"},{"family":"B","given":"Feenstra"},{"family":"E","given":"Thiering"},{"family":"E","given":"Kreiner-Møller"},{"family":"A","given":"Mahajan"},{"family":"N","given":"Pitkänen"},{"family":"R","given":"Joro"},{"family":"A","given":"Cavadino"},{"family":"V","given":"Huikari"},{"family":"S","given":"Franks"},{"family":"Mm","given":"Groen-Blokhuis"},{"family":"Dl","given":"Cousminer"},{"family":"Ja","given":"Marsh"},{"family":"T","given":"Lehtimäki"},{"family":"Ja","given":"Curtin"},{"family":"J","given":"Vioque"},{"family":"Ts","given":"Ahluwalia"},{"family":"R","given":"Myhre"},{"family":"Ts","given":"Price"},{"family":"N","given":"Vilor-Tejedor"},{"family":"L","given":"Yengo"},{"family":"N","given":"Grarup"},{"family":"I","given":"Ntalla"},{"family":"W","given":"Ang"},{"family":"M","given":"Atalay"},{"family":"H","given":"Bisgaard"},{"family":"Ai","given":"Blakemore"},{"family":"A","given":"Bonnefond"},{"family":"L","given":"Carstensen"},{"family":"J","given":"Eriksson"},{"family":"C","given":"Flexeder"},{"family":"L","given":"Franke"},{"family":"F","given":"Geller"},{"family":"M","given":"Geserick"},{"family":"Al","given":"Hartikainen"},{"family":"Cm","given":"Haworth"},{"family":"Jn","given":"Hirschhorn"},{"family":"A","given":"Hofman"},{"family":"Jc","given":"Holm"},{"family":"M","given":"Horikoshi"},{"family":"Jj","given":"Hottenga"},{"family":"J","given":"Huang"},{"family":"Hn","given":"Kadarmideen"},{"family":"M","given":"Kähönen"},{"family":"W","given":"Kiess"},{"family":"Hm","given":"Lakka"},{"family":"Ta","given":"Lakka"},{"family":"Am","given":"Lewin"},{"family":"L","given":"Liang"},{"family":"Lp","given":"Lyytikäinen"},{"family":"B","given":"Ma"},{"family":"P","given":"Magnus"},{"family":"Se","given":"McCormack"},{"family":"G","given":"McMahon"},{"family":"Fd","given":"Mentch"},{"family":"Cm","given":"Middeldorp"},{"family":"Cs","given":"Murray"},{"family":"K","given":"Pahkala"},{"family":"Th","given":"Pers"},{"family":"R","given":"Pfäffle"},{"family":"Ds","given":"Postma"},{"family":"C","given":"Power"},{"family":"A","given":"Simpson"},{"family":"V","given":"Sengpiel"},{"family":"Cm","given":"Tiesler"},{"family":"M","given":"Torrent"},{"family":"Ag","given":"Uitterlinden"},{"family":"Jb","given":"van Meurs"},{"family":"R","given":"Vinding"},{"family":"J","given":"Waage"},{"family":"J","given":"Wardle"},{"family":"E","given":"Zeggini"},{"family":"Bs","given":"Zemel"},{"family":"Gv","given":"Dedoussis"},{"family":"O","given":"Pedersen"},{"family":"P","given":"Froguel"},{"family":"J","given":"Sunyer"},{"family":"R","given":"Plomin"},{"family":"B","given":"Jacobsson"},{"family":"T","given":"Hansen"},{"family":"Jr","given":"Gonzalez"},{"family":"A","given":"Custovic"},{"family":"Ot","given":"Raitakari"},{"family":"Ce","given":"Pennell"},{"family":"E","given":"Widén"},{"family":"Di","given":"Boomsma"},{"family":"Gh","given":"Koppelman"},{"family":"S","given":"Sebert"},{"family":"Mr","given":"Järvelin"},{"family":"E","given":"Hyppönen"},{"family":"Mi","given":"McCarthy"},{"family":"V","given":"Lindi"},{"family":"N","given":"Harri"},{"family":"A","given":"Körner"},{"family":"K","given":"Bønnelykke"},{"family":"J","given":"Heinrich"},{"family":"M","given":"Melbye"},{"family":"F","given":"Rivadeneira"},{"family":"H","given":"Hakonarson"},{"family":"Sm","given":"Ring"},{"family":"Gd","given":"Smith"},{"family":"Ti","given":"Sørensen"},{"family":"Nj","given":"Timpson"},{"family":"Sf","given":"Grant"},{"family":"Vw","given":"Jaddoe"}],"accessed":{"date-parts":[["2023",12,6]]},"issued":{"date-parts":[["2016",1,15]]}}}],"schema":"https://github.com/citation-style-language/schema/raw/master/csl-citation.json"}</w:instrText>
      </w:r>
      <w:r>
        <w:rPr/>
      </w:r>
      <w:r>
        <w:rPr/>
        <w:fldChar w:fldCharType="separate"/>
      </w:r>
      <w:r>
        <w:rPr/>
        <w:t>[202], [207]</w:t>
      </w:r>
      <w:r>
        <w:rPr/>
      </w:r>
      <w:r>
        <w:rPr/>
        <w:fldChar w:fldCharType="end"/>
      </w:r>
      <w:r>
        <w:rPr/>
        <w:t xml:space="preserve">. Υπήρχαν διάφοροι λόγοι για τους οποίους δεν αναπαράχθηκαν άλλα </w:t>
      </w:r>
      <w:r>
        <w:rPr>
          <w:lang w:val="en-US"/>
        </w:rPr>
        <w:t>SNPs</w:t>
      </w:r>
      <w:r>
        <w:rPr/>
        <w:t xml:space="preserve">. Το μικρό μέγεθος δείγματος των μελετών αντιγραφής που χρησιμοποιήθηκαν στη </w:t>
      </w:r>
      <w:r>
        <w:rPr>
          <w:lang w:val="en-US"/>
        </w:rPr>
        <w:t>GWAS</w:t>
      </w:r>
      <w:r>
        <w:rPr/>
        <w:t xml:space="preserve"> (οι περισσότερες λιγότερο από 10.000) αύξησε την πιθανότητα ψευδώς αρνητικών, και δυνητικά σημαντικοί τόποι απαιτούν μεγαλύτερη στατιστική ισχύ. Εντωμεταξύ, η μετα-ανάλυση της </w:t>
      </w:r>
      <w:r>
        <w:rPr>
          <w:lang w:val="en-US"/>
        </w:rPr>
        <w:t>GWAS</w:t>
      </w:r>
      <w:r>
        <w:rPr/>
        <w:t xml:space="preserve"> τυπικά περιλάμβανε όσο το δυνατόν περισσότερες μελέτες στο στάδιο της ανακάλυψης για να έχει τη μεγαλύτερη δύναμη στην ανακάλυψη συσχετισμών. Αυτό επέτρεψε την ανακάλυψη σημαντικών </w:t>
      </w:r>
      <w:r>
        <w:rPr>
          <w:lang w:val="en-US"/>
        </w:rPr>
        <w:t>SNPs</w:t>
      </w:r>
      <w:r>
        <w:rPr/>
        <w:t xml:space="preserve"> που είχαν ομοιογενή αποτελέσματα στην πλειονότητα των μελετών. Το αυξημένο μέγεθος δείγματος της </w:t>
      </w:r>
      <w:r>
        <w:rPr>
          <w:lang w:val="en-US"/>
        </w:rPr>
        <w:t>GWAS</w:t>
      </w:r>
      <w:r>
        <w:rPr/>
        <w:t xml:space="preserve"> της παιδικής παχυσαρκίας έχει συμβάλει σε νέες ανακαλύψεις που αποδίδονται στη συγκέντρωση σχετικών μεγάλων κοορτών και στο σχηματισμό κοινοπραξιών, όπως η </w:t>
      </w:r>
      <w:r>
        <w:rPr>
          <w:lang w:val="en-US"/>
        </w:rPr>
        <w:t>EGG</w:t>
      </w:r>
      <w:r>
        <w:rPr/>
        <w:t xml:space="preserve"> κοινοπραξία. </w:t>
      </w:r>
    </w:p>
    <w:p>
      <w:pPr>
        <w:pStyle w:val="Normal"/>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s>
        <w:spacing w:lineRule="auto" w:line="360"/>
        <w:jc w:val="both"/>
        <w:rPr/>
      </w:pPr>
      <w:r>
        <w:rPr/>
        <w:tab/>
        <w:t xml:space="preserve">Η μελλοντική τάση είναι να συμπεριληφθούν δείγματα από παιδιατρικές βιοτράπεζες σε διαφορετικές περιοχές, όπως η μελέτη κοόρτης </w:t>
      </w:r>
      <w:r>
        <w:rPr>
          <w:lang w:val="en-US"/>
        </w:rPr>
        <w:t>KOALA</w:t>
      </w:r>
      <w:r>
        <w:rPr/>
        <w:t xml:space="preserve"> και η </w:t>
      </w:r>
      <w:r>
        <w:rPr>
          <w:lang w:val="en-US"/>
        </w:rPr>
        <w:t>Bio</w:t>
      </w:r>
      <w:r>
        <w:rPr/>
        <w:t>-</w:t>
      </w:r>
      <w:r>
        <w:rPr>
          <w:lang w:val="en-US"/>
        </w:rPr>
        <w:t>bank</w:t>
      </w:r>
      <w:r>
        <w:rPr/>
        <w:t>@</w:t>
      </w:r>
      <w:r>
        <w:rPr>
          <w:lang w:val="en-US"/>
        </w:rPr>
        <w:t>VITO</w:t>
      </w:r>
      <w:r>
        <w:rPr/>
        <w:t xml:space="preserve"> </w:t>
      </w:r>
      <w:r>
        <w:fldChar w:fldCharType="begin"/>
      </w:r>
      <w:r>
        <w:rPr/>
        <w:instrText xml:space="preserve">ADDIN ZOTERO_ITEM CSL_CITATION {"citationID":"RMf4KHDz","properties":{"formattedCitation":"[222], [223]","plainCitation":"[222], [223]","noteIndex":0},"citationItems":[{"id":3385,"uris":["http://zotero.org/users/local/WDVvZTBM/items/UGR7N97Z"],"itemData":{"id":3385,"type":"article-journal","abstract":"On the basis of international legal standards and the views of experts, involved in paediatric biobanking, we argue that biological material of children may only be stored in a biobank for scientific purposes if parents provide their explicit consent, the child is re-contacted at 16 or 18 years of a …","container-title":"European journal of pediatrics","DOI":"10.1007/s00431-016-2810-y","ISSN":"1432-1076","issue":"1","language":"en","note":"publisher: Eur J Pediatr\nPMID: 27866271","source":"pubmed.ncbi.nlm.nih.gov","title":"Paediatric biobanking: Dutch experts reflecting on appropriate legal standards for practice","title-short":"Paediatric biobanking","URL":"https://pubmed.ncbi.nlm.nih.gov/27866271/","volume":"176","author":[{"family":"Ej","given":"Kranendonk"},{"family":"Rc","given":"Hennekam"},{"family":"Mc","given":"Ploem"}],"accessed":{"date-parts":[["2023",12,6]]},"issued":{"date-parts":[["2017",1]]}}},{"id":3382,"uris":["http://zotero.org/users/local/WDVvZTBM/items/U4ZALQCH"],"itemData":{"id":3382,"type":"article-journal","abstract":"During the last 15 years, VITO has established an infrastructure for biobanking a collection of biological samples from the general population in Flanders (Belgium). This biobank was set up to contribute to future, yet unspecified, research questions in the field of environment and health. Biobank@V …","container-title":"Frontiers in medicine","DOI":"10.3389/fmed.2020.00037","ISSN":"2296-858X","language":"en","note":"publisher: Front Med (Lausanne)\nPMID: 32118021","source":"pubmed.ncbi.nlm.nih.gov","title":"Biobank@VITO: Biobanking the General Population in Flanders","title-short":"Biobank@VITO","URL":"https://pubmed.ncbi.nlm.nih.gov/32118021/","volume":"7","author":[{"family":"R","given":"Van Den Heuvel"},{"family":"E","given":"Den Hond"},{"family":"A","given":"Colles"},{"family":"V","given":"Nelen"},{"family":"K","given":"Van Campenhout"},{"family":"G","given":"Schoeters"}],"accessed":{"date-parts":[["2023",12,6]]},"issued":{"date-parts":[["2020",2,14]]}}}],"schema":"https://github.com/citation-style-language/schema/raw/master/csl-citation.json"}</w:instrText>
      </w:r>
      <w:r>
        <w:rPr/>
      </w:r>
      <w:r>
        <w:rPr/>
        <w:fldChar w:fldCharType="separate"/>
      </w:r>
      <w:r>
        <w:rPr/>
        <w:t>[222], [223]</w:t>
      </w:r>
      <w:r>
        <w:rPr/>
      </w:r>
      <w:r>
        <w:rPr/>
        <w:fldChar w:fldCharType="end"/>
      </w:r>
      <w:r>
        <w:rPr/>
        <w:t xml:space="preserve">. Στη μελέτη κοόρτης </w:t>
      </w:r>
      <w:r>
        <w:rPr>
          <w:lang w:val="en-US"/>
        </w:rPr>
        <w:t>KOALA</w:t>
      </w:r>
      <w:r>
        <w:rPr/>
        <w:t xml:space="preserve">, περισσότερα από 2500 παιδιά που γεννήθηκαν μεταξύ 2001 και 2003 παρακολουθούνται από την εγκυμοσύνη έως την ενηλικίωση . Το αίμα συλλέχθηκε από τα παιδιά σε ηλικίες 1, 2 και 6-7 ετών. Το ύψος, το βάρος, η περίμετρος της μέσης, η λειτουργία των πνευμόνων και η αρτηριακή πίεση μετρήθηκαν για να δοθεί προσοχή στην ανάπτυξη και ανάπτυξη του παιδιού με τα χρόνια. Η μελέτη κοόρτης </w:t>
      </w:r>
      <w:r>
        <w:rPr>
          <w:lang w:val="en-US"/>
        </w:rPr>
        <w:t>KOALA</w:t>
      </w:r>
      <w:r>
        <w:rPr/>
        <w:t xml:space="preserve"> διερεύνησε την παιδική παχυσαρκία και το υπερβολικό βάρος, ειδικά την ισορροπία μεταξύ υγιεινής διατροφής και σωματικής δραστηριότητας. Αυτό παρέχει ευκαιρίες και προκλήσεις για μελέτες αντιγραφής. Από τη μία πλευρά, ανεξάρτητοι πληθυσμοί μπορούν να συμπεριληφθούν στο στάδιο της αντιγραφής για την εύρεση αντιγραφόμενων τόπων αυξάνοντας το μέγεθος του δείγματος και τη στατιστική ισχύ. Από την άλλη πλευρά, αυτό καθιστά εφικτή τη διεξαγωγή μιας μεγάλης μετα-ανάλυσης της </w:t>
      </w:r>
      <w:r>
        <w:rPr>
          <w:lang w:val="en-US"/>
        </w:rPr>
        <w:t>GWAS</w:t>
      </w:r>
      <w:r>
        <w:rPr/>
        <w:t xml:space="preserve"> που περιλαμβάνει ανεξάρτητους πληθυσμούς. Η </w:t>
      </w:r>
      <w:r>
        <w:rPr>
          <w:lang w:val="en-US"/>
        </w:rPr>
        <w:t>GWAS</w:t>
      </w:r>
      <w:r>
        <w:rPr/>
        <w:t xml:space="preserve"> με μεγάλα μεγέθη δείγματος μπορεί να εξηγήσει καλύτερα το ποσοστό διακύμανσης στην παιδική παχυσαρκία σε συγκεκριμένη εθνικότητα. Όπως φαίνεται στην ανασκόπησή των Z</w:t>
      </w:r>
      <w:r>
        <w:rPr>
          <w:lang w:val="en-US"/>
        </w:rPr>
        <w:t>hao</w:t>
      </w:r>
      <w:r>
        <w:rPr/>
        <w:t xml:space="preserve"> </w:t>
      </w:r>
      <w:r>
        <w:rPr>
          <w:lang w:val="en-US"/>
        </w:rPr>
        <w:t>et</w:t>
      </w:r>
      <w:r>
        <w:rPr/>
        <w:t xml:space="preserve"> </w:t>
      </w:r>
      <w:r>
        <w:rPr>
          <w:lang w:val="en-US"/>
        </w:rPr>
        <w:t>al</w:t>
      </w:r>
      <w:r>
        <w:rPr/>
        <w:t xml:space="preserve">., ο αριθμός των </w:t>
      </w:r>
      <w:r>
        <w:rPr>
          <w:lang w:val="en-US"/>
        </w:rPr>
        <w:t>GWAS</w:t>
      </w:r>
      <w:r>
        <w:rPr/>
        <w:t xml:space="preserve"> ποικίλλει ανάλογα με την εθνικότητα. Τα περισσότερα </w:t>
      </w:r>
      <w:r>
        <w:rPr>
          <w:lang w:val="en-US"/>
        </w:rPr>
        <w:t>GWAS</w:t>
      </w:r>
      <w:r>
        <w:rPr/>
        <w:t xml:space="preserve"> διεξάγονται σε ευρωπαϊκούς πληθυσμούς και ο αριθμός των </w:t>
      </w:r>
      <w:r>
        <w:rPr>
          <w:lang w:val="en-US"/>
        </w:rPr>
        <w:t>GWAS</w:t>
      </w:r>
      <w:r>
        <w:rPr/>
        <w:t xml:space="preserve"> σε ασιατικούς και αφρικανικούς πληθυσμούς είναι περιορισμένος. Οι τρέχουσες μελέτες έχουν επικεντρωθεί σε συγκεκριμένα χρονικά σημεία στην παιδική ή εφηβική ηλικία. Ο διαφορετικός χρόνος έκβασης επηρέασε τα στοιχεία αντιγραφής, καθώς οι γενετικές επιδράσεις του ΔΜΣ ποικίλλουν χρονικά στην παιδική ηλικία </w:t>
      </w:r>
      <w:r>
        <w:fldChar w:fldCharType="begin"/>
      </w:r>
      <w:r>
        <w:rPr/>
        <w:instrText xml:space="preserve">ADDIN ZOTERO_ITEM CSL_CITATION {"citationID":"Htx3BBwD","properties":{"formattedCitation":"[206], [210]","plainCitation":"[206], [210]","noteIndex":0},"citationItems":[{"id":3321,"uris":["http://zotero.org/users/local/WDVvZTBM/items/NHABACZ8"],"itemData":{"id":3321,"type":"article-journal","abstract":"This GWAS of BMI trajectories over childhood identified a novel locus that warrants further investigation. We also observed genome-wide significance with previously established obesity loci, making the novel observation that these loci affected both the level and the rate of change in BMI. We have d …","container-title":"International journal of epidemiology","DOI":"10.1093/ije/dyv077","ISSN":"1464-3685","issue":"2","language":"en","note":"publisher: Int J Epidemiol\nPMID: 25953783","source":"pubmed.ncbi.nlm.nih.gov","title":"A genome-wide association study of body mass index across early life and childhood","URL":"https://pubmed.ncbi.nlm.nih.gov/25953783/","volume":"44","author":[{"family":"Nm","given":"Warrington"},{"family":"Ld","given":"Howe"},{"family":"L","given":"Paternoster"},{"family":"M","given":"Kaakinen"},{"family":"S","given":"Herrala"},{"family":"V","given":"Huikari"},{"family":"Yy","given":"Wu"},{"family":"Jp","given":"Kemp"},{"family":"Nj","given":"Timpson"},{"family":"B","given":"St Pourcain"},{"family":"G","given":"Davey Smith"},{"family":"K","given":"Tilling"},{"family":"Mr","given":"Jarvelin"},{"family":"Ce","given":"Pennell"},{"family":"Dm","given":"Evans"},{"family":"Da","given":"Lawlor"},{"family":"L","given":"Briollais"},{"family":"Lj","given":"Palmer"}],"accessed":{"date-parts":[["2023",12,6]]},"issued":{"date-parts":[["2015",4]]}}},{"id":3337,"uris":["http://zotero.org/users/local/WDVvZTBM/items/NJGG7BZ5"],"itemData":{"id":3337,"type":"article-journal","abstract":"Changes in body mass index (BMI) during infancy and childhood follow a well-characterized pattern. Here, Helgeland et al. perform genome-wide association studies for BMI at 12 time points between birth and 8 years of age and find transient associations at the LEP and LEPR loci.","container-title":"Nature Communications","DOI":"10.1038/s41467-019-12308-0","ISSN":"2041-1723","issue":"1","journalAbbreviation":"Nat Commun","language":"en","license":"2019 The Author(s)","note":"number: 1\npublisher: Nature Publishing Group","page":"1-10","source":"www.nature.com","title":"Genome-wide association study reveals dynamic role of genetic variation in infant and early childhood growth","volume":"10","author":[{"family":"Helgeland","given":"Øyvind"},{"family":"Vaudel","given":"Marc"},{"family":"Juliusson","given":"Petur B."},{"family":"Lingaas Holmen","given":"Oddgeir"},{"family":"Juodakis","given":"Julius"},{"family":"Bacelis","given":"Jonas"},{"family":"Jacobsson","given":"Bo"},{"family":"Lindekleiv","given":"Haakon"},{"family":"Hveem","given":"Kristian"},{"family":"Lie","given":"Rolv Terje"},{"family":"Knudsen","given":"Gun Peggy"},{"family":"Stoltenberg","given":"Camilla"},{"family":"Magnus","given":"Per"},{"family":"Sagen","given":"Jørn V."},{"family":"Molven","given":"Anders"},{"family":"Johansson","given":"Stefan"},{"family":"Njølstad","given":"Pål Rasmus"}],"issued":{"date-parts":[["2019",10,1]]}}}],"schema":"https://github.com/citation-style-language/schema/raw/master/csl-citation.json"}</w:instrText>
      </w:r>
      <w:r>
        <w:rPr/>
      </w:r>
      <w:r>
        <w:rPr/>
        <w:fldChar w:fldCharType="separate"/>
      </w:r>
      <w:r>
        <w:rPr/>
        <w:t>[206], [210]</w:t>
      </w:r>
      <w:r>
        <w:rPr/>
      </w:r>
      <w:r>
        <w:rPr/>
        <w:fldChar w:fldCharType="end"/>
      </w:r>
      <w:r>
        <w:rPr/>
        <w:t xml:space="preserve">. Ορισμένες μελέτες αποκάλυψαν διαφορετικούς γενετικούς παράγοντες που επηρεάζουν την παιδική παχυσαρκία με βάση διαχρονικά δεδομένα. Υπήρξε έλλειψη εξέτασης της επίδρασης των γενετικών χαρακτηριστικών της παιδικής παχυσαρκίας στην παχυσαρκία των ενηλίκων. Μια </w:t>
      </w:r>
      <w:r>
        <w:rPr>
          <w:lang w:val="en-US"/>
        </w:rPr>
        <w:t>GWAS</w:t>
      </w:r>
      <w:r>
        <w:rPr/>
        <w:t xml:space="preserve"> δύο σταδίων για την παχυσαρκία στον ίδιο πληθυσμό από την παρακολούθηση της παιδικής ηλικίας έως την ενηλικίωση θα ήταν καινοτόμο. Ένας τέτοιος σχεδιασμός μελέτης θα βοηθούσε να κατανοηθεί εάν οι τόποι για την παιδική παχυσαρκία είναι κοινοί με τους τόπους για την παχυσαρκία των ενηλίκων. Αν και είναι δύσκολο να διεξαχθεί με βάση τις τρέχουσες κοορτές, μια πιο εφικτή επιλογή είναι η διεξαγωγή αναδρομικών ερευνών για την παιδική παχυσαρκία σε ενήλικες κοόρτες ή προοπτικές έρευνες για την παχυσαρκία ενηλίκων σε παιδιατρικές κοόρτες. Για προγραμματισμένες ή συνεχιζόμενες αναδρομικές μελέτες κοόρτης σε ενήλικες πληθυσμούς, οι αναδρομικές έρευνες μπορούν να λάβουν υπόψη δεδομένα που σχετίζονται με την παιδική παχυσαρκία και τους δείκτες της από αρχεία οικογενειακής ανάπτυξης, αρχεία σχολικών εξετάσεων υγείας και αρχεία ιατρικής περίθαλψης. Αν και αυτό μπορεί να είναι χρονοβόρο και έντασης εργασίας , αυξάνει τις πηγές δεδομένων. </w:t>
      </w:r>
    </w:p>
    <w:p>
      <w:pPr>
        <w:pStyle w:val="Normal"/>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s>
        <w:spacing w:lineRule="auto" w:line="360"/>
        <w:jc w:val="both"/>
        <w:rPr/>
      </w:pPr>
      <w:r>
        <w:rPr/>
        <w:tab/>
        <w:t xml:space="preserve">Μια άλλη προαιρετική αναδρομική μέθοδος είναι να ζητηθεί από ενήλικες να επιλέξουν το σχήμα από ένα επικυρωμένο εννιαψήφιο σχέδιο που αντιστοιχεί καλύτερα στο σωματικό τους λίπος στις ηλικίες 5, 10 και 20 ετών, όπως περιγράφεται από τους </w:t>
      </w:r>
      <w:r>
        <w:rPr>
          <w:lang w:val="en-US"/>
        </w:rPr>
        <w:t>Warner</w:t>
      </w:r>
      <w:r>
        <w:rPr/>
        <w:t xml:space="preserve"> </w:t>
      </w:r>
      <w:r>
        <w:rPr>
          <w:lang w:val="en-US"/>
        </w:rPr>
        <w:t>et</w:t>
      </w:r>
      <w:r>
        <w:rPr/>
        <w:t xml:space="preserve"> </w:t>
      </w:r>
      <w:r>
        <w:rPr>
          <w:lang w:val="en-US"/>
        </w:rPr>
        <w:t>al</w:t>
      </w:r>
      <w:r>
        <w:rPr/>
        <w:t xml:space="preserve">. </w:t>
      </w:r>
      <w:r>
        <w:fldChar w:fldCharType="begin"/>
      </w:r>
      <w:r>
        <w:rPr/>
        <w:instrText xml:space="preserve">ADDIN ZOTERO_ITEM CSL_CITATION {"citationID":"aPzTSYW5","properties":{"formattedCitation":"[216]","plainCitation":"[216]","noteIndex":0},"citationItems":[{"id":3229,"uris":["http://zotero.org/users/local/WDVvZTBM/items/UFC28X2F"],"itemData":{"id":3229,"type":"article-journal","abstract":"To uncover genetic contributors to adiposity in early-life.We conducted a genome-wide association study (GWAS) of childhood body fatness in 34,401 individuals within the Nurses’ Health Studies and the Health Professionals Follow-up Study. We imputed ...","container-title":"Obesity (Silver Spring, Md.)","DOI":"10.1002/oby.23070","issue":"2","language":"en","note":"publisher: NIH Public Access\nPMID: 33491310","page":"446","source":"www.ncbi.nlm.nih.gov","title":"A Genome-Wide Association Study of Childhood Body Fatness","volume":"29","author":[{"family":"Warner","given":"Erica T."},{"family":"Jiang","given":"Lai"},{"family":"Adjei","given":"David Nana"},{"family":"Turman","given":"Constance"},{"family":"Gordon","given":"William"},{"family":"Wang","given":"Lu"},{"family":"Tamimi","given":"Rulla"},{"family":"Kraft","given":"Peter"},{"family":"Lindström","given":"Sara"}],"issued":{"date-parts":[["2021",2]]}}}],"schema":"https://github.com/citation-style-language/schema/raw/master/csl-citation.json"}</w:instrText>
      </w:r>
      <w:r>
        <w:rPr/>
      </w:r>
      <w:r>
        <w:rPr/>
        <w:fldChar w:fldCharType="separate"/>
      </w:r>
      <w:r>
        <w:rPr/>
        <w:t>[216]</w:t>
      </w:r>
      <w:r>
        <w:rPr/>
      </w:r>
      <w:r>
        <w:rPr/>
        <w:fldChar w:fldCharType="end"/>
      </w:r>
      <w:r>
        <w:rPr/>
        <w:t xml:space="preserve">. Υπάρχουν πολλές συνεχιζόμενες προοπτικές έρευνες παχυσαρκία ενηλίκων σε παιδιατρικές κοόρτες, όπως η μελέτη </w:t>
      </w:r>
      <w:r>
        <w:rPr>
          <w:lang w:val="en-US"/>
        </w:rPr>
        <w:t>ABCD</w:t>
      </w:r>
      <w:r>
        <w:rPr/>
        <w:t xml:space="preserve"> και η μελέτη κοόρτης </w:t>
      </w:r>
      <w:r>
        <w:rPr>
          <w:lang w:val="en-US"/>
        </w:rPr>
        <w:t>KOALA</w:t>
      </w:r>
      <w:r>
        <w:rPr/>
        <w:t xml:space="preserve"> </w:t>
      </w:r>
      <w:r>
        <w:fldChar w:fldCharType="begin"/>
      </w:r>
      <w:r>
        <w:rPr/>
        <w:instrText xml:space="preserve">ADDIN ZOTERO_ITEM CSL_CITATION {"citationID":"dxT5xOmK","properties":{"formattedCitation":"[224]","plainCitation":"[224]","noteIndex":0},"citationItems":[{"id":3390,"uris":["http://zotero.org/users/local/WDVvZTBM/items/G4YBNFUV"],"itemData":{"id":3390,"type":"webpage","abstract":"Op deze pagina's vindt u alle informatie over de PUFFIN (Pharmacogenetics Use For Further treatment Improvement in childreN) studie.","genre":"webpagina","language":"nl_NL","note":"Last Modified: 2023-09-19T13:21:00+02","title":"ABCD-studie","URL":"http://www.amc.nl/web/abcd-studie-2.htm","accessed":{"date-parts":[["2023",12,6]]},"issued":{"date-parts":[["2018",8,22]]}}}],"schema":"https://github.com/citation-style-language/schema/raw/master/csl-citation.json"}</w:instrText>
      </w:r>
      <w:r>
        <w:rPr/>
      </w:r>
      <w:r>
        <w:rPr/>
        <w:fldChar w:fldCharType="separate"/>
      </w:r>
      <w:r>
        <w:rPr/>
        <w:t>[224]</w:t>
      </w:r>
      <w:r>
        <w:rPr/>
      </w:r>
      <w:r>
        <w:rPr/>
        <w:fldChar w:fldCharType="end"/>
      </w:r>
      <w:r>
        <w:rPr/>
        <w:t xml:space="preserve">. Απαιτούνται πολλαπλές μετρήσεις χρονικών σημείων, αλλά η απώλεια της μεροληψίας παρακολούθησης θα πρέπει να ελαχιστοποιηθεί κατά τη διάρκεια των ερευνών. Όσον αφορά τη στατιστική ανάλυση, η μοντελοποίηση κοινής τροχιάς επιτρέπει τη ομαδοποίηση της κατάστασης παχυσαρκίας των συμμετεχόντων και την εκτίμηση των διαφορετικών τροχιών , με τις πιθανές πιθανότητες (1) μη παχύσαρκων παιδιών και ενηλίκων μη παχύσαρκων. (2) παχύσαρκα παιδιά και ενήλικες μη παχύσαρκοι. (3) μη παχύσαρκα παιδιά και παχύσαρκοι ενήλικες. (4) παχύσαρκα παιδιά και παχύσαρκοι ενήλικες. Συγκεκριμένες μέθοδοι ίσως να αναφέρονται στη </w:t>
      </w:r>
      <w:r>
        <w:rPr>
          <w:lang w:val="en-US"/>
        </w:rPr>
        <w:t>GWAS</w:t>
      </w:r>
      <w:r>
        <w:rPr/>
        <w:t xml:space="preserve"> που διεξάγεται από τους </w:t>
      </w:r>
      <w:r>
        <w:rPr>
          <w:lang w:val="en-US"/>
        </w:rPr>
        <w:t>Xu</w:t>
      </w:r>
      <w:r>
        <w:rPr/>
        <w:t xml:space="preserve"> </w:t>
      </w:r>
      <w:r>
        <w:rPr>
          <w:lang w:val="en-US"/>
        </w:rPr>
        <w:t>et</w:t>
      </w:r>
      <w:r>
        <w:rPr/>
        <w:t xml:space="preserve"> </w:t>
      </w:r>
      <w:r>
        <w:rPr>
          <w:lang w:val="en-US"/>
        </w:rPr>
        <w:t>al</w:t>
      </w:r>
      <w:r>
        <w:rPr/>
        <w:t xml:space="preserve">. με βάση μακροχρόνια δεδομένα </w:t>
      </w:r>
      <w:r>
        <w:fldChar w:fldCharType="begin"/>
      </w:r>
      <w:r>
        <w:rPr/>
        <w:instrText xml:space="preserve">ADDIN ZOTERO_ITEM CSL_CITATION {"citationID":"BeYC1u28","properties":{"formattedCitation":"[225]","plainCitation":"[225]","noteIndex":0},"citationItems":[{"id":3391,"uris":["http://zotero.org/users/local/WDVvZTBM/items/DIJQ52R8"],"itemData":{"id":3391,"type":"article-journal","abstract":"Here we report a large genome-wide association study (GWAS) for longitudinal smoking phenotypes in 286,118 individuals from the Million Veteran Program (MVP) where we identified 18 loci for smoking trajectory of current versus never in European Americans, one locus in African Americans, and one in H …","container-title":"Nature communications","DOI":"10.1038/s41467-020-18489-3","ISSN":"2041-1723","issue":"1","language":"en","note":"publisher: Nat Commun\nPMID: 33082346","source":"pubmed.ncbi.nlm.nih.gov","title":"Genome-wide association study of smoking trajectory and meta-analysis of smoking status in 842,000 individuals","URL":"https://pubmed.ncbi.nlm.nih.gov/33082346/","volume":"11","author":[{"family":"K","given":"Xu"},{"family":"B","given":"Li"},{"family":"Ka","given":"McGinnis"},{"family":"R","given":"Vickers-Smith"},{"family":"C","given":"Dao"},{"family":"N","given":"Sun"},{"family":"Rl","given":"Kember"},{"family":"H","given":"Zhou"},{"family":"Wc","given":"Becker"},{"family":"J","given":"Gelernter"},{"family":"Hr","given":"Kranzler"},{"family":"H","given":"Zhao"},{"family":"Ac","given":"Justice"}],"accessed":{"date-parts":[["2023",12,6]]},"issued":{"date-parts":[["2020",10,20]]}}}],"schema":"https://github.com/citation-style-language/schema/raw/master/csl-citation.json"}</w:instrText>
      </w:r>
      <w:r>
        <w:rPr/>
      </w:r>
      <w:r>
        <w:rPr/>
        <w:fldChar w:fldCharType="separate"/>
      </w:r>
      <w:r>
        <w:rPr/>
        <w:t>[225]</w:t>
      </w:r>
      <w:r>
        <w:rPr/>
      </w:r>
      <w:r>
        <w:rPr/>
        <w:fldChar w:fldCharType="end"/>
      </w:r>
      <w:r>
        <w:rPr/>
        <w:t xml:space="preserve">. Η </w:t>
      </w:r>
      <w:r>
        <w:rPr>
          <w:lang w:val="en-US"/>
        </w:rPr>
        <w:t>GWAS</w:t>
      </w:r>
      <w:r>
        <w:rPr/>
        <w:t xml:space="preserve"> που διεξήχθη από τον </w:t>
      </w:r>
      <w:r>
        <w:rPr>
          <w:lang w:val="en-US"/>
        </w:rPr>
        <w:t>Vogelezang</w:t>
      </w:r>
      <w:r>
        <w:rPr/>
        <w:t xml:space="preserve"> εντόπισε 25 </w:t>
      </w:r>
      <w:r>
        <w:rPr>
          <w:lang w:val="en-US"/>
        </w:rPr>
        <w:t>SNPs</w:t>
      </w:r>
      <w:r>
        <w:rPr/>
        <w:t xml:space="preserve"> με σημαντικές συσχετίσεις σε όλο το γονιδίωμα για το ΔΜΣ της παιδικής ηλικίας, 20 εκ των οποίων βρέθηκαν επίσης στη </w:t>
      </w:r>
      <w:r>
        <w:rPr>
          <w:lang w:val="en-US"/>
        </w:rPr>
        <w:t>GWAS</w:t>
      </w:r>
      <w:r>
        <w:rPr/>
        <w:t xml:space="preserve"> ΔΜΣ ενηλίκων </w:t>
      </w:r>
      <w:r>
        <w:fldChar w:fldCharType="begin"/>
      </w:r>
      <w:r>
        <w:rPr/>
        <w:instrText xml:space="preserve">ADDIN ZOTERO_ITEM CSL_CITATION {"citationID":"YefbZf61","properties":{"formattedCitation":"[212]","plainCitation":"[212]","noteIndex":0},"citationItems":[{"id":3343,"uris":["http://zotero.org/users/local/WDVvZTBM/items/RLU57ZQ6"],"itemData":{"id":3343,"type":"article-journal","abstract":"The genetic background of childhood body mass index (BMI), and the extent to which the well-known associations of childhood BMI with adult diseases are explained by shared genetic factors, are largely unknown. We performed a genome-wide association study meta-analysis of BMI in 61,111 children aged …","container-title":"PLoS genetics","DOI":"10.1371/journal.pgen.1008718","ISSN":"1553-7404","issue":"10","language":"en","note":"publisher: PLoS Genet\nPMID: 33045005","source":"pubmed.ncbi.nlm.nih.gov","title":"Novel loci for childhood body mass index and shared heritability with adult cardiometabolic traits","URL":"https://pubmed.ncbi.nlm.nih.gov/33045005/","volume":"16","author":[{"family":"S","given":"Vogelezang"},{"family":"Jp","given":"Bradfield"},{"family":"Ts","given":"Ahluwalia"},{"family":"Ja","given":"Curtin"},{"family":"Ta","given":"Lakka"},{"family":"N","given":"Grarup"},{"family":"M","given":"Scholz"},{"family":"Pj","given":"van der Most"},{"family":"C","given":"Monnereau"},{"family":"E","given":"Stergiakouli"},{"family":"A","given":"Heiskala"},{"family":"M","given":"Horikoshi"},{"family":"Io","given":"Fedko"},{"family":"N","given":"Vilor-Tejedor"},{"family":"Dl","given":"Cousminer"},{"family":"M","given":"Standl"},{"family":"Ca","given":"Wang"},{"family":"J","given":"Viikari"},{"family":"F","given":"Geller"},{"family":"C","given":"Íñiguez"},{"family":"N","given":"Pitkänen"},{"family":"A","given":"Chesi"},{"family":"J","given":"Bacelis"},{"family":"L","given":"Yengo"},{"family":"M","given":"Torrent"},{"family":"I","given":"Ntalla"},{"family":"Ø","given":"Helgeland"},{"family":"S","given":"Selzam"},{"family":"Jm","given":"Vonk"},{"family":"Mh","given":"Zafarmand"},{"family":"B","given":"Heude"},{"family":"Is","given":"Farooqi"},{"family":"A","given":"Alyass"},{"family":"Rn","given":"Beaumont"},{"family":"Ct","given":"Have"},{"family":"P","given":"Rzehak"},{"family":"Jr","given":"Bilbao"},{"family":"Tm","given":"Schnurr"},{"family":"I","given":"Barroso"},{"family":"K","given":"Bønnelykke"},{"family":"Lj","given":"Beilin"},{"family":"L","given":"Carstensen"},{"family":"Ma","given":"Charles"},{"family":"B","given":"Chawes"},{"family":"K","given":"Clément"},{"family":"R","given":"Closa-Monasterolo"},{"family":"A","given":"Custovic"},{"family":"Jg","given":"Eriksson"},{"family":"J","given":"Escribano"},{"family":"M","given":"Groen-Blokhuis"},{"family":"V","given":"Grote"},{"family":"D","given":"Gruszfeld"},{"family":"H","given":"Hakonarson"},{"family":"T","given":"Hansen"},{"family":"At","given":"Hattersley"},{"family":"M","given":"Hollensted"},{"family":"Jj","given":"Hottenga"},{"family":"E","given":"Hyppönen"},{"family":"S","given":"Johansson"},{"family":"R","given":"Joro"},{"family":"M","given":"Kähönen"},{"family":"V","given":"Karhunen"},{"family":"W","given":"Kiess"},{"family":"Ba","given":"Knight"},{"family":"B","given":"Koletzko"},{"family":"A","given":"Kühnapfel"},{"family":"K","given":"Landgraf"},{"family":"Jp","given":"Langhendries"},{"family":"T","given":"Lehtimäki"},{"family":"Jt","given":"Leinonen"},{"family":"A","given":"Li"},{"family":"V","given":"Lindi"},{"family":"E","given":"Lowry"},{"family":"M","given":"Bustamante"},{"family":"C","given":"Medina-Gomez"},{"family":"M","given":"Melbye"},{"family":"Kf","given":"Michaelsen"},{"family":"Cs","given":"Morgen"},{"family":"Ta","given":"Mori"},{"family":"Trh","given":"Nielsen"},{"family":"H","given":"Niinikoski"},{"family":"Aj","given":"Oldehinkel"},{"family":"K","given":"Pahkala"},{"family":"K","given":"Panoutsopoulou"},{"family":"O","given":"Pedersen"},{"family":"Ce","given":"Pennell"},{"family":"C","given":"Power"},{"family":"Sa","given":"Reijneveld"},{"family":"F","given":"Rivadeneira"},{"family":"A","given":"Simpson"},{"family":"Pd","given":"Sly"},{"family":"J","given":"Stokholm"},{"family":"Kk","given":"Teo"},{"family":"E","given":"Thiering"},{"family":"Nj","given":"Timpson"},{"family":"Ag","given":"Uitterlinden"},{"family":"Cem","given":"van Beijsterveldt"},{"family":"Bdc","given":"van Schaik"},{"family":"M","given":"Vaudel"},{"family":"E","given":"Verduci"},{"family":"Rk","given":"Vinding"},{"family":"M","given":"Vogel"},{"family":"E","given":"Zeggini"},{"family":"S","given":"Sebert"},{"family":"Mv","given":"Lind"},{"family":"Cd","given":"Brown"},{"family":"L","given":"Santa-Marina"},{"family":"E","given":"Reischl"},{"family":"C","given":"Frithioff-Bøjsøe"},{"family":"D","given":"Meyre"},{"family":"E","given":"Wheeler"},{"family":"K","given":"Ong"},{"family":"Ea","given":"Nohr"},{"family":"Tgm","given":"Vrijkotte"},{"family":"Gh","given":"Koppelman"},{"family":"R","given":"Plomin"},{"family":"Pr","given":"Njølstad"},{"family":"Gd","given":"Dedoussis"},{"family":"P","given":"Froguel"},{"family":"Tia","given":"Sørensen"},{"family":"B","given":"Jacobsson"},{"family":"Rm","given":"Freathy"},{"family":"Bs","given":"Zemel"},{"family":"O","given":"Raitakari"},{"family":"M","given":"Vrijheid"},{"family":"B","given":"Feenstra"},{"family":"Lp","given":"Lyytikäinen"},{"family":"H","given":"Snieder"},{"family":"H","given":"Kirsten"},{"family":"Pg","given":"Holt"},{"family":"J","given":"Heinrich"},{"family":"E","given":"Widén"},{"family":"J","given":"Sunyer"},{"family":"Di","given":"Boomsma"},{"family":"Mr","given":"Järvelin"},{"family":"A","given":"Körner"},{"family":"G","given":"Davey Smith"},{"family":"Jc","given":"Holm"},{"family":"M","given":"Atalay"},{"family":"C","given":"Murray"},{"family":"H","given":"Bisgaard"},{"family":"Mi","given":"McCarthy"},{"family":"Vwv","given":"Jaddoe"},{"family":"Sfa","given":"Grant"},{"family":"Jf","given":"Felix"}],"accessed":{"date-parts":[["2023",12,6]]},"issued":{"date-parts":[["2020",12,10]]}}}],"schema":"https://github.com/citation-style-language/schema/raw/master/csl-citation.json"}</w:instrText>
      </w:r>
      <w:r>
        <w:rPr/>
      </w:r>
      <w:r>
        <w:rPr/>
        <w:fldChar w:fldCharType="separate"/>
      </w:r>
      <w:r>
        <w:rPr/>
        <w:t>[212]</w:t>
      </w:r>
      <w:r>
        <w:rPr/>
      </w:r>
      <w:r>
        <w:rPr/>
        <w:fldChar w:fldCharType="end"/>
      </w:r>
      <w:r>
        <w:rPr/>
        <w:t xml:space="preserve">. Οι κατευθύνσεις επίδρασης και των 20 </w:t>
      </w:r>
      <w:r>
        <w:rPr>
          <w:lang w:val="en-US"/>
        </w:rPr>
        <w:t>SNP</w:t>
      </w:r>
      <w:r>
        <w:rPr/>
        <w:t xml:space="preserve">s ήταν οι ίδιες σε ενήλικες και παιδιά. Τα μεγέθη επίδρασης αυτών των 20 </w:t>
      </w:r>
      <w:r>
        <w:rPr>
          <w:lang w:val="en-US"/>
        </w:rPr>
        <w:t>SNPs</w:t>
      </w:r>
      <w:r>
        <w:rPr/>
        <w:t xml:space="preserve"> στονΔΜΣ ενηλίκων συσχετίστηκαν σε μεγάλο βαθμό με τα μεγέθη επίδρασης του ΔΜΣ της παιδικής ηλικίας (</w:t>
      </w:r>
      <w:r>
        <w:rPr>
          <w:lang w:val="en-US"/>
        </w:rPr>
        <w:t>r</w:t>
      </w:r>
      <w:r>
        <w:rPr/>
        <w:t>2 = 0,86).</w:t>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Heading1"/>
        <w:rPr>
          <w:rFonts w:ascii="Times New Roman" w:hAnsi="Times New Roman"/>
        </w:rPr>
      </w:pPr>
      <w:bookmarkStart w:id="92" w:name="_Toc154923851"/>
      <w:r>
        <w:rPr>
          <w:rFonts w:ascii="Times New Roman" w:hAnsi="Times New Roman"/>
        </w:rPr>
        <w:t>Συμπεράσματα-Μελλοντικές Προσεγγίσεις</w:t>
      </w:r>
      <w:bookmarkEnd w:id="92"/>
    </w:p>
    <w:p>
      <w:pPr>
        <w:pStyle w:val="NormalWeb"/>
        <w:shd w:val="clear" w:color="auto" w:fill="FFFFFF"/>
        <w:spacing w:lineRule="auto" w:line="360" w:beforeAutospacing="0" w:before="0" w:afterAutospacing="0" w:after="0"/>
        <w:ind w:firstLine="720"/>
        <w:jc w:val="both"/>
        <w:rPr>
          <w:color w:val="1F1F1F"/>
        </w:rPr>
      </w:pPr>
      <w:r>
        <w:rPr>
          <w:color w:val="1F1F1F"/>
        </w:rPr>
        <w:t>Συμπερασματικά, η διερεύνηση των γενετικών παραγόντων στην παιδική παχυσαρκία έχει προσφέρει σημαντικές γνώσεις για την περίπλοκη αλληλεπίδραση μεταξύ γενετικής και περιβάλλοντος. Καθώς η κατανόηση των γενετικών προδιαθέσεων για την παχυσαρκία βαθαίνει, γίνεται όλο και πιο προφανές ότι η αντιμετώπιση της παιδικής παχυσαρκίας απαιτεί μια πολυεπίπεδη προσέγγιση. Ενώ οι γενετικοί παράγοντες παίζουν κρίσιμο ρόλο, δεν λειτουργούν απομονωμένα. Ο τρόπος ζωής, οι διατροφικές συνήθειες και οι κοινωνικο-οικονομικοί παράγοντες είναι εξίσου σημαντικοί στη διαμόρφωση του τοπίου της παχυσαρκίας.</w:t>
      </w:r>
    </w:p>
    <w:p>
      <w:pPr>
        <w:pStyle w:val="NormalWeb"/>
        <w:shd w:val="clear" w:color="auto" w:fill="FFFFFF"/>
        <w:spacing w:lineRule="auto" w:line="360" w:beforeAutospacing="0" w:before="0" w:afterAutospacing="0" w:after="0"/>
        <w:ind w:firstLine="720"/>
        <w:jc w:val="both"/>
        <w:rPr>
          <w:color w:val="1F1F1F"/>
        </w:rPr>
      </w:pPr>
      <w:r>
        <w:rPr>
          <w:color w:val="1F1F1F"/>
        </w:rPr>
        <w:t>Τα ευρήματα που συζητήθηκαν σε αυτή τη μελέτη υπογραμμίζουν τη σημασία της πρώιμης παρέμβασης και των εξατομικευμένων στρατηγικών υγειονομικής περίθαλψης. Η αναγνώριση των γενετικών προδιαθέσεων μπορεί να βοηθήσει στην ανάπτυξη στοχευμένων παρεμβάσεων προσαρμοσμένων στις ατομικές ανάγκες. Επίσης, υπογραμμίζει την ανάγκη για συνεχή έρευνα σε αυτό το πεδίο, ιδιαίτερα στην κατανόηση του τρόπου αλληλεπίδρασης αυτών των γενετικών παραγόντων με περιβαλλοντικά ερεθίσματα.</w:t>
      </w:r>
    </w:p>
    <w:p>
      <w:pPr>
        <w:pStyle w:val="NormalWeb"/>
        <w:shd w:val="clear" w:color="auto" w:fill="FFFFFF"/>
        <w:spacing w:lineRule="auto" w:line="360" w:beforeAutospacing="0" w:before="0" w:afterAutospacing="0" w:after="0"/>
        <w:ind w:firstLine="720"/>
        <w:jc w:val="both"/>
        <w:rPr>
          <w:color w:val="1F1F1F"/>
        </w:rPr>
      </w:pPr>
      <w:r>
        <w:rPr>
          <w:color w:val="1F1F1F"/>
        </w:rPr>
        <w:t>Προκειμένου να προχωρήσουμε μπροστά, ο δρόμος είναι σαφής: πρέπει να συνεχίσουμε να αναλύουμε τα γενετικά μυστήρια της παχυσαρκίας, παράλληλα με την αντιμετώπιση των περιβαλλοντικών και τρόπου ζωής παραγόντων που συμβάλλουν στη συχνότητά της. Αυτό περιλαμβάνει την προώθηση υγιέστερων χώρων διαβίωσης, τη βελτίωση της πρόσβασης σε θρεπτικά τρόφιμα και την ενθάρρυνση της σωματικής δραστηριότητας από νεαρή ηλικία. Περαιτέρω έρευνα θα πρέπει επίσης να επικεντρωθεί στην ανάπτυξη καινοτόμων ιατρικών θεραπειών και παρεμβάσεων που μπορούν να μετριάσουν τα αποτελέσματα αυτών των γενετικών προδιαθέσεων.</w:t>
      </w:r>
    </w:p>
    <w:p>
      <w:pPr>
        <w:pStyle w:val="NormalWeb"/>
        <w:shd w:val="clear" w:color="auto" w:fill="FFFFFF"/>
        <w:spacing w:lineRule="auto" w:line="360" w:beforeAutospacing="0" w:before="0" w:afterAutospacing="0" w:after="0"/>
        <w:ind w:firstLine="720"/>
        <w:jc w:val="both"/>
        <w:rPr>
          <w:color w:val="1F1F1F"/>
        </w:rPr>
      </w:pPr>
      <w:r>
        <w:rPr>
          <w:color w:val="1F1F1F"/>
        </w:rPr>
        <w:t>Επιπλέον, υπάρχει επιτακτική ανάγκη για πολιτικές δημόσιας υγείας που αναγνωρίζουν και αντιμετωπίζουν τους γενετικούς παράγοντες της παιδικής παχυσαρκίας. Αυτές οι πολιτικές θα πρέπει να στοχεύουν στη μείωση του στίγματος που σχετίζεται με την παχυσαρκία και την προώθηση ενός πιο συμπεριληπτικού και υποστηρικτικού περιβάλλοντος για τα παιδιά που πάσχουν από παχυσαρκία και τις οικογένειές τους.</w:t>
      </w:r>
    </w:p>
    <w:p>
      <w:pPr>
        <w:pStyle w:val="NormalWeb"/>
        <w:shd w:val="clear" w:color="auto" w:fill="FFFFFF"/>
        <w:spacing w:lineRule="auto" w:line="360" w:beforeAutospacing="0" w:before="0" w:afterAutospacing="0" w:after="0"/>
        <w:ind w:firstLine="720"/>
        <w:jc w:val="both"/>
        <w:rPr>
          <w:color w:val="1F1F1F"/>
        </w:rPr>
      </w:pPr>
      <w:r>
        <w:rPr>
          <w:color w:val="1F1F1F"/>
        </w:rPr>
        <w:t>Συνοψίζοντας, οι συλλογικές μας προσπάθειες στην έρευνα, την υγειονομική περίθαλψη και την πολιτική χάραξη πρέπει να συντονιστούν για να αντιμετωπίσουμε την πολυεπίπεδη πρόκληση της παιδικής παχυσαρκίας. Καθώς προχωράμε προς το μέλλον, είναι ευθύνη μας να διασφαλίσουμε ότι κάθε παιδί, ανεξάρτητα από το γενετικό του υπόβαθρο, έχει την ευκαιρία να ζήσει μια υγιή και ικανοποιητική ζωή.</w:t>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Normal"/>
        <w:jc w:val="both"/>
        <w:rPr>
          <w:rFonts w:ascii="Times-Roman" w:hAnsi="Times-Roman" w:eastAsia="Calibri" w:cs="Times-Roman"/>
          <w:color w:val="18191B"/>
        </w:rPr>
      </w:pPr>
      <w:r>
        <w:rPr>
          <w:rFonts w:eastAsia="Calibri" w:cs="Times-Roman" w:ascii="Times-Roman" w:hAnsi="Times-Roman"/>
          <w:color w:val="18191B"/>
        </w:rPr>
      </w:r>
    </w:p>
    <w:p>
      <w:pPr>
        <w:pStyle w:val="Heading1"/>
        <w:rPr>
          <w:rFonts w:ascii="Times New Roman" w:hAnsi="Times New Roman"/>
          <w:lang w:val="en-US"/>
        </w:rPr>
      </w:pPr>
      <w:r>
        <w:rPr>
          <w:rFonts w:eastAsia="Calibri" w:cs="Times-Roman" w:ascii="Times-Roman" w:hAnsi="Times-Roman"/>
          <w:color w:val="18191B"/>
        </w:rPr>
        <w:tab/>
      </w:r>
      <w:bookmarkStart w:id="93" w:name="_Toc154923852"/>
      <w:r>
        <w:rPr>
          <w:rFonts w:ascii="Times New Roman" w:hAnsi="Times New Roman"/>
        </w:rPr>
        <w:t>Βιβλιογραφία</w:t>
      </w:r>
      <w:bookmarkEnd w:id="93"/>
    </w:p>
    <w:p>
      <w:pPr>
        <w:pStyle w:val="Normal"/>
        <w:widowControl w:val="false"/>
        <w:spacing w:before="0" w:after="240"/>
        <w:jc w:val="both"/>
        <w:rPr>
          <w:lang w:val="en-US"/>
        </w:rPr>
      </w:pPr>
      <w:r>
        <w:fldChar w:fldCharType="begin"/>
      </w:r>
      <w:r>
        <w:rPr/>
        <w:instrText xml:space="preserve">ADDIN ZOTERO_BIBL {"uncited":[],"omitted":[],"custom":[]} CSL_BIBLIOGRAPHY</w:instrText>
      </w:r>
      <w:r>
        <w:rPr/>
      </w:r>
      <w:r>
        <w:rPr/>
        <w:fldChar w:fldCharType="separate"/>
      </w:r>
      <w:r>
        <w:rPr/>
      </w:r>
      <w:r>
        <w:rPr>
          <w:lang w:val="en-US"/>
        </w:rPr>
        <w:t>[1]</w:t>
        <w:tab/>
        <w:t xml:space="preserve">Y. Wang </w:t>
      </w:r>
      <w:r>
        <w:rPr/>
        <w:t>και</w:t>
      </w:r>
      <w:r>
        <w:rPr>
          <w:lang w:val="en-US"/>
        </w:rPr>
        <w:t xml:space="preserve"> H. Lim, ‘The Global Childhood Obesity Epidemic and the Association Between Socio-Economic Status and Childhood Obesity’, </w:t>
      </w:r>
      <w:r>
        <w:rPr>
          <w:i/>
          <w:iCs/>
          <w:lang w:val="en-US"/>
        </w:rPr>
        <w:t>Int. Rev. Psychiatry</w:t>
      </w:r>
      <w:r>
        <w:rPr>
          <w:lang w:val="en-US"/>
        </w:rPr>
        <w:t>, 2012, doi: 10.3109/09540261.2012.688195.</w:t>
      </w:r>
    </w:p>
    <w:p>
      <w:pPr>
        <w:pStyle w:val="Normal"/>
        <w:widowControl w:val="false"/>
        <w:spacing w:before="0" w:after="240"/>
        <w:jc w:val="both"/>
        <w:rPr>
          <w:lang w:val="en-US"/>
        </w:rPr>
      </w:pPr>
      <w:r>
        <w:rPr>
          <w:lang w:val="en-US"/>
        </w:rPr>
        <w:t>[2]</w:t>
        <w:tab/>
        <w:t xml:space="preserve">K. Sahoo, B. Sahoo, A. Choudhury, N. Y. Sofi, R. Kumar, </w:t>
      </w:r>
      <w:r>
        <w:rPr/>
        <w:t>και</w:t>
      </w:r>
      <w:r>
        <w:rPr>
          <w:lang w:val="en-US"/>
        </w:rPr>
        <w:t xml:space="preserve"> A. S. Bhadoria, ‘Childhood Obesity: Causes and Consequences’, </w:t>
      </w:r>
      <w:r>
        <w:rPr>
          <w:i/>
          <w:iCs/>
          <w:lang w:val="en-US"/>
        </w:rPr>
        <w:t>J. Fam. Med. Prim. Care</w:t>
      </w:r>
      <w:r>
        <w:rPr>
          <w:lang w:val="en-US"/>
        </w:rPr>
        <w:t>, 2015, doi: 10.4103/2249-4863.154628.</w:t>
      </w:r>
    </w:p>
    <w:p>
      <w:pPr>
        <w:pStyle w:val="Normal"/>
        <w:widowControl w:val="false"/>
        <w:spacing w:before="0" w:after="240"/>
        <w:jc w:val="both"/>
        <w:rPr>
          <w:lang w:val="en-US"/>
        </w:rPr>
      </w:pPr>
      <w:r>
        <w:rPr>
          <w:lang w:val="en-US"/>
        </w:rPr>
        <w:t>[3]</w:t>
        <w:tab/>
        <w:t xml:space="preserve">M. Barton, ‘Childhood Obesity: A Life-Long Health Risk’, </w:t>
      </w:r>
      <w:r>
        <w:rPr>
          <w:i/>
          <w:iCs/>
          <w:lang w:val="en-US"/>
        </w:rPr>
        <w:t>Acta Pharmacol. Sin.</w:t>
      </w:r>
      <w:r>
        <w:rPr>
          <w:lang w:val="en-US"/>
        </w:rPr>
        <w:t>, 2012, doi: 10.1038/aps.2011.204.</w:t>
      </w:r>
    </w:p>
    <w:p>
      <w:pPr>
        <w:pStyle w:val="Normal"/>
        <w:widowControl w:val="false"/>
        <w:spacing w:before="0" w:after="240"/>
        <w:jc w:val="both"/>
        <w:rPr>
          <w:lang w:val="en-US"/>
        </w:rPr>
      </w:pPr>
      <w:r>
        <w:rPr>
          <w:lang w:val="en-US"/>
        </w:rPr>
        <w:t>[4]</w:t>
        <w:tab/>
        <w:t xml:space="preserve">P. Nowicka, ‘Dietitians and Exercise Professionals in a Childhood Obesity Treatment Team’, </w:t>
      </w:r>
      <w:r>
        <w:rPr>
          <w:i/>
          <w:iCs/>
          <w:lang w:val="en-US"/>
        </w:rPr>
        <w:t>Acta Paediatr.</w:t>
      </w:r>
      <w:r>
        <w:rPr>
          <w:lang w:val="en-US"/>
        </w:rPr>
        <w:t>, 2005, doi: 10.1111/j.1651-2227.2005.tb02125.x.</w:t>
      </w:r>
    </w:p>
    <w:p>
      <w:pPr>
        <w:pStyle w:val="Normal"/>
        <w:widowControl w:val="false"/>
        <w:spacing w:before="0" w:after="240"/>
        <w:jc w:val="both"/>
        <w:rPr>
          <w:lang w:val="en-US"/>
        </w:rPr>
      </w:pPr>
      <w:r>
        <w:rPr>
          <w:lang w:val="en-US"/>
        </w:rPr>
        <w:t>[5]</w:t>
        <w:tab/>
        <w:t xml:space="preserve">S. Karnik </w:t>
      </w:r>
      <w:r>
        <w:rPr/>
        <w:t>και</w:t>
      </w:r>
      <w:r>
        <w:rPr>
          <w:lang w:val="en-US"/>
        </w:rPr>
        <w:t xml:space="preserve"> A. Kanekar, ‘Childhood Obesity: A Global Public Health Crisis’, 2015, doi: 10.1201/b18227-3.</w:t>
      </w:r>
    </w:p>
    <w:p>
      <w:pPr>
        <w:pStyle w:val="Normal"/>
        <w:widowControl w:val="false"/>
        <w:spacing w:before="0" w:after="240"/>
        <w:jc w:val="both"/>
        <w:rPr>
          <w:lang w:val="en-US"/>
        </w:rPr>
      </w:pPr>
      <w:r>
        <w:rPr>
          <w:lang w:val="en-US"/>
        </w:rPr>
        <w:t>[6]</w:t>
        <w:tab/>
        <w:t xml:space="preserve">S. M. Dharmarajlu, M. Alharbi, M. Almodeer, S. Abdullah, T. Ageel, </w:t>
      </w:r>
      <w:r>
        <w:rPr/>
        <w:t>και</w:t>
      </w:r>
      <w:r>
        <w:rPr>
          <w:lang w:val="en-US"/>
        </w:rPr>
        <w:t xml:space="preserve"> S. Abkr, ‘Parents’ Perception on Childhood Obesity and Its Prevention; A Population-Based Observational Study in Jazan, Saudi Arabia With Intention to Develop Self Instructional Module’, </w:t>
      </w:r>
      <w:r>
        <w:rPr>
          <w:i/>
          <w:iCs/>
          <w:lang w:val="en-US"/>
        </w:rPr>
        <w:t>J. Intern. Med. Sci. Art</w:t>
      </w:r>
      <w:r>
        <w:rPr>
          <w:lang w:val="en-US"/>
        </w:rPr>
        <w:t>, 2021, doi: 10.36013/jimsa.v2i1.73.</w:t>
      </w:r>
    </w:p>
    <w:p>
      <w:pPr>
        <w:pStyle w:val="Normal"/>
        <w:widowControl w:val="false"/>
        <w:spacing w:before="0" w:after="240"/>
        <w:jc w:val="both"/>
        <w:rPr>
          <w:lang w:val="en-US"/>
        </w:rPr>
      </w:pPr>
      <w:r>
        <w:rPr>
          <w:lang w:val="en-US"/>
        </w:rPr>
        <w:t>[7]</w:t>
        <w:tab/>
        <w:t xml:space="preserve">W. H. Dietz, ‘Therapeutic Strategies in Childhood Obesity’, </w:t>
      </w:r>
      <w:r>
        <w:rPr>
          <w:i/>
          <w:iCs/>
          <w:lang w:val="en-US"/>
        </w:rPr>
        <w:t>Horm. Res.</w:t>
      </w:r>
      <w:r>
        <w:rPr>
          <w:lang w:val="en-US"/>
        </w:rPr>
        <w:t>, 1993, doi: 10.1159/000182791.</w:t>
      </w:r>
    </w:p>
    <w:p>
      <w:pPr>
        <w:pStyle w:val="Normal"/>
        <w:widowControl w:val="false"/>
        <w:spacing w:before="0" w:after="240"/>
        <w:jc w:val="both"/>
        <w:rPr>
          <w:lang w:val="en-US"/>
        </w:rPr>
      </w:pPr>
      <w:r>
        <w:rPr>
          <w:lang w:val="en-US"/>
        </w:rPr>
        <w:t>[8]</w:t>
        <w:tab/>
        <w:t xml:space="preserve">M. Brissman, L. Lindberg, A. J. Beamish, C. Marcus, </w:t>
      </w:r>
      <w:r>
        <w:rPr/>
        <w:t>και</w:t>
      </w:r>
      <w:r>
        <w:rPr>
          <w:lang w:val="en-US"/>
        </w:rPr>
        <w:t xml:space="preserve"> E. Hagman, ‘High Estimated Prevalence of Bariatric Surgery in Young Adults Treated for Pediatric Obesity’, </w:t>
      </w:r>
      <w:r>
        <w:rPr>
          <w:i/>
          <w:iCs/>
          <w:lang w:val="en-US"/>
        </w:rPr>
        <w:t>Surg. Obes. Relat. Dis.</w:t>
      </w:r>
      <w:r>
        <w:rPr>
          <w:lang w:val="en-US"/>
        </w:rPr>
        <w:t>, 2021, doi: 10.1016/j.soard.2020.09.017.</w:t>
      </w:r>
    </w:p>
    <w:p>
      <w:pPr>
        <w:pStyle w:val="Normal"/>
        <w:widowControl w:val="false"/>
        <w:spacing w:before="0" w:after="240"/>
        <w:jc w:val="both"/>
        <w:rPr>
          <w:lang w:val="en-US"/>
        </w:rPr>
      </w:pPr>
      <w:r>
        <w:rPr>
          <w:lang w:val="en-US"/>
        </w:rPr>
        <w:t>[9]</w:t>
        <w:tab/>
        <w:t xml:space="preserve">A. Rankin, J. Blood-Siegfried, A. Vorderstrasse, </w:t>
      </w:r>
      <w:r>
        <w:rPr/>
        <w:t>και</w:t>
      </w:r>
      <w:r>
        <w:rPr>
          <w:lang w:val="en-US"/>
        </w:rPr>
        <w:t xml:space="preserve"> D. O. Chlebowy, ‘Implementation of Childhood Obesity Identification and Prevention Strategies in Primary Care: A Quality Improvement Project’, </w:t>
      </w:r>
      <w:r>
        <w:rPr>
          <w:i/>
          <w:iCs/>
          <w:lang w:val="en-US"/>
        </w:rPr>
        <w:t>Int. J. Pediatr. Adolesc. Med.</w:t>
      </w:r>
      <w:r>
        <w:rPr>
          <w:lang w:val="en-US"/>
        </w:rPr>
        <w:t>, 2015, doi: 10.1016/j.ijpam.2015.05.002.</w:t>
      </w:r>
    </w:p>
    <w:p>
      <w:pPr>
        <w:pStyle w:val="Normal"/>
        <w:widowControl w:val="false"/>
        <w:spacing w:before="0" w:after="240"/>
        <w:jc w:val="both"/>
        <w:rPr>
          <w:lang w:val="en-US"/>
        </w:rPr>
      </w:pPr>
      <w:r>
        <w:rPr>
          <w:lang w:val="en-US"/>
        </w:rPr>
        <w:t>[10]</w:t>
        <w:tab/>
        <w:t xml:space="preserve">A. Pandita, D. Sharma, D. Pandita, S. Pawar, M. Tariq, </w:t>
      </w:r>
      <w:r>
        <w:rPr/>
        <w:t>και</w:t>
      </w:r>
      <w:r>
        <w:rPr>
          <w:lang w:val="en-US"/>
        </w:rPr>
        <w:t xml:space="preserve"> A. Kaul, ‘Childhood Obesity: Prevention Is Better Than Cure’, </w:t>
      </w:r>
      <w:r>
        <w:rPr>
          <w:i/>
          <w:iCs/>
          <w:lang w:val="en-US"/>
        </w:rPr>
        <w:t>Diabetes Metab. Syndr. Obes. Targets Ther.</w:t>
      </w:r>
      <w:r>
        <w:rPr>
          <w:lang w:val="en-US"/>
        </w:rPr>
        <w:t>, 2016, doi: 10.2147/dmso.s90783.</w:t>
      </w:r>
    </w:p>
    <w:p>
      <w:pPr>
        <w:pStyle w:val="Normal"/>
        <w:widowControl w:val="false"/>
        <w:spacing w:before="0" w:after="240"/>
        <w:jc w:val="both"/>
        <w:rPr>
          <w:lang w:val="en-US"/>
        </w:rPr>
      </w:pPr>
      <w:r>
        <w:rPr>
          <w:lang w:val="en-US"/>
        </w:rPr>
        <w:t>[11]</w:t>
        <w:tab/>
        <w:t xml:space="preserve">L. Trasande, ‘How Much Should We Invest in Preventing Childhood Obesity?’, </w:t>
      </w:r>
      <w:r>
        <w:rPr>
          <w:i/>
          <w:iCs/>
          <w:lang w:val="en-US"/>
        </w:rPr>
        <w:t>Health Aff. (Millwood)</w:t>
      </w:r>
      <w:r>
        <w:rPr>
          <w:lang w:val="en-US"/>
        </w:rPr>
        <w:t>, 2010, doi: 10.1377/hlthaff.2009.0691.</w:t>
      </w:r>
    </w:p>
    <w:p>
      <w:pPr>
        <w:pStyle w:val="Normal"/>
        <w:widowControl w:val="false"/>
        <w:spacing w:before="0" w:after="240"/>
        <w:jc w:val="both"/>
        <w:rPr>
          <w:lang w:val="en-US"/>
        </w:rPr>
      </w:pPr>
      <w:r>
        <w:rPr>
          <w:lang w:val="en-US"/>
        </w:rPr>
        <w:t>[12]</w:t>
        <w:tab/>
        <w:t xml:space="preserve">D. E. Wilfley </w:t>
      </w:r>
      <w:r>
        <w:rPr>
          <w:i/>
          <w:iCs/>
        </w:rPr>
        <w:t>κ</w:t>
      </w:r>
      <w:r>
        <w:rPr>
          <w:i/>
          <w:iCs/>
          <w:lang w:val="en-US"/>
        </w:rPr>
        <w:t>.</w:t>
      </w:r>
      <w:r>
        <w:rPr>
          <w:i/>
          <w:iCs/>
        </w:rPr>
        <w:t>ά</w:t>
      </w:r>
      <w:r>
        <w:rPr>
          <w:i/>
          <w:iCs/>
          <w:lang w:val="en-US"/>
        </w:rPr>
        <w:t>.</w:t>
      </w:r>
      <w:r>
        <w:rPr>
          <w:lang w:val="en-US"/>
        </w:rPr>
        <w:t xml:space="preserve">, ‘Improving Access and Systems of Care for Evidence‐based Childhood Obesity Treatment: Conference Key Findings and Next Steps’, </w:t>
      </w:r>
      <w:r>
        <w:rPr>
          <w:i/>
          <w:iCs/>
          <w:lang w:val="en-US"/>
        </w:rPr>
        <w:t>Obesity</w:t>
      </w:r>
      <w:r>
        <w:rPr>
          <w:lang w:val="en-US"/>
        </w:rPr>
        <w:t>, 2016, doi: 10.1002/oby.21712.</w:t>
      </w:r>
    </w:p>
    <w:p>
      <w:pPr>
        <w:pStyle w:val="Normal"/>
        <w:widowControl w:val="false"/>
        <w:spacing w:before="0" w:after="240"/>
        <w:jc w:val="both"/>
        <w:rPr>
          <w:lang w:val="en-US"/>
        </w:rPr>
      </w:pPr>
      <w:r>
        <w:rPr>
          <w:lang w:val="en-US"/>
        </w:rPr>
        <w:t>[13]</w:t>
        <w:tab/>
        <w:t xml:space="preserve">K. Silventoinen, B. Rokholm, J. Kaprio, </w:t>
      </w:r>
      <w:r>
        <w:rPr/>
        <w:t>και</w:t>
      </w:r>
      <w:r>
        <w:rPr>
          <w:lang w:val="en-US"/>
        </w:rPr>
        <w:t xml:space="preserve"> T. I. A. Sørensen, ‘The Genetic and Environmental Influences on Childhood Obesity: A Systematic Review of Twin and Adoption Studies’, </w:t>
      </w:r>
      <w:r>
        <w:rPr>
          <w:i/>
          <w:iCs/>
          <w:lang w:val="en-US"/>
        </w:rPr>
        <w:t>Int. J. Obes.</w:t>
      </w:r>
      <w:r>
        <w:rPr>
          <w:lang w:val="en-US"/>
        </w:rPr>
        <w:t>, 2009, doi: 10.1038/ijo.2009.177.</w:t>
      </w:r>
    </w:p>
    <w:p>
      <w:pPr>
        <w:pStyle w:val="Normal"/>
        <w:widowControl w:val="false"/>
        <w:spacing w:before="0" w:after="240"/>
        <w:jc w:val="both"/>
        <w:rPr>
          <w:lang w:val="en-US"/>
        </w:rPr>
      </w:pPr>
      <w:r>
        <w:rPr>
          <w:lang w:val="en-US"/>
        </w:rPr>
        <w:t>[14]</w:t>
        <w:tab/>
        <w:t xml:space="preserve">A. G. Comuzzie </w:t>
      </w:r>
      <w:r>
        <w:rPr>
          <w:i/>
          <w:iCs/>
        </w:rPr>
        <w:t>κ</w:t>
      </w:r>
      <w:r>
        <w:rPr>
          <w:i/>
          <w:iCs/>
          <w:lang w:val="en-US"/>
        </w:rPr>
        <w:t>.</w:t>
      </w:r>
      <w:r>
        <w:rPr>
          <w:i/>
          <w:iCs/>
        </w:rPr>
        <w:t>ά</w:t>
      </w:r>
      <w:r>
        <w:rPr>
          <w:i/>
          <w:iCs/>
          <w:lang w:val="en-US"/>
        </w:rPr>
        <w:t>.</w:t>
      </w:r>
      <w:r>
        <w:rPr>
          <w:lang w:val="en-US"/>
        </w:rPr>
        <w:t xml:space="preserve">, ‘Novel Genetic Loci Identified for the Pathophysiology of Childhood Obesity in the Hispanic Population’, </w:t>
      </w:r>
      <w:r>
        <w:rPr>
          <w:i/>
          <w:iCs/>
          <w:lang w:val="en-US"/>
        </w:rPr>
        <w:t>Plos One</w:t>
      </w:r>
      <w:r>
        <w:rPr>
          <w:lang w:val="en-US"/>
        </w:rPr>
        <w:t>, 2012, doi: 10.1371/journal.pone.0051954.</w:t>
      </w:r>
    </w:p>
    <w:p>
      <w:pPr>
        <w:pStyle w:val="Normal"/>
        <w:widowControl w:val="false"/>
        <w:spacing w:before="0" w:after="240"/>
        <w:jc w:val="both"/>
        <w:rPr>
          <w:lang w:val="en-US"/>
        </w:rPr>
      </w:pPr>
      <w:r>
        <w:rPr>
          <w:lang w:val="en-US"/>
        </w:rPr>
        <w:t>[15]</w:t>
        <w:tab/>
        <w:t xml:space="preserve">M. Brandkvist </w:t>
      </w:r>
      <w:r>
        <w:rPr>
          <w:i/>
          <w:iCs/>
        </w:rPr>
        <w:t>κ</w:t>
      </w:r>
      <w:r>
        <w:rPr>
          <w:i/>
          <w:iCs/>
          <w:lang w:val="en-US"/>
        </w:rPr>
        <w:t>.</w:t>
      </w:r>
      <w:r>
        <w:rPr>
          <w:i/>
          <w:iCs/>
        </w:rPr>
        <w:t>ά</w:t>
      </w:r>
      <w:r>
        <w:rPr>
          <w:i/>
          <w:iCs/>
          <w:lang w:val="en-US"/>
        </w:rPr>
        <w:t>.</w:t>
      </w:r>
      <w:r>
        <w:rPr>
          <w:lang w:val="en-US"/>
        </w:rPr>
        <w:t xml:space="preserve">, ‘Separating the Genetics of Childhood and Adult Obesity: A Validation Study of Genetic Scores for Body Mass Index in Adolescence and Adulthood in the HUNT Study’, </w:t>
      </w:r>
      <w:r>
        <w:rPr>
          <w:i/>
          <w:iCs/>
          <w:lang w:val="en-US"/>
        </w:rPr>
        <w:t>Hum. Mol. Genet.</w:t>
      </w:r>
      <w:r>
        <w:rPr>
          <w:lang w:val="en-US"/>
        </w:rPr>
        <w:t>, 2020, doi: 10.1093/hmg/ddaa256.</w:t>
      </w:r>
    </w:p>
    <w:p>
      <w:pPr>
        <w:pStyle w:val="Normal"/>
        <w:widowControl w:val="false"/>
        <w:spacing w:before="0" w:after="240"/>
        <w:jc w:val="both"/>
        <w:rPr>
          <w:lang w:val="en-US"/>
        </w:rPr>
      </w:pPr>
      <w:r>
        <w:rPr>
          <w:lang w:val="en-US"/>
        </w:rPr>
        <w:t>[16]</w:t>
        <w:tab/>
        <w:t xml:space="preserve">H. F. Tavalire </w:t>
      </w:r>
      <w:r>
        <w:rPr>
          <w:i/>
          <w:iCs/>
        </w:rPr>
        <w:t>κ</w:t>
      </w:r>
      <w:r>
        <w:rPr>
          <w:i/>
          <w:iCs/>
          <w:lang w:val="en-US"/>
        </w:rPr>
        <w:t>.</w:t>
      </w:r>
      <w:r>
        <w:rPr>
          <w:i/>
          <w:iCs/>
        </w:rPr>
        <w:t>ά</w:t>
      </w:r>
      <w:r>
        <w:rPr>
          <w:i/>
          <w:iCs/>
          <w:lang w:val="en-US"/>
        </w:rPr>
        <w:t>.</w:t>
      </w:r>
      <w:r>
        <w:rPr>
          <w:lang w:val="en-US"/>
        </w:rPr>
        <w:t xml:space="preserve">, ‘Using a Sibling-Adoption Design to Parse Genetic and Environmental Influences on Children’s Body Mass Index (BMI)’, </w:t>
      </w:r>
      <w:r>
        <w:rPr>
          <w:i/>
          <w:iCs/>
          <w:lang w:val="en-US"/>
        </w:rPr>
        <w:t>Plos One</w:t>
      </w:r>
      <w:r>
        <w:rPr>
          <w:lang w:val="en-US"/>
        </w:rPr>
        <w:t>, 2020, doi: 10.1371/journal.pone.0236261.</w:t>
      </w:r>
    </w:p>
    <w:p>
      <w:pPr>
        <w:pStyle w:val="Normal"/>
        <w:widowControl w:val="false"/>
        <w:spacing w:before="0" w:after="240"/>
        <w:jc w:val="both"/>
        <w:rPr>
          <w:lang w:val="en-US"/>
        </w:rPr>
      </w:pPr>
      <w:r>
        <w:rPr>
          <w:lang w:val="en-US"/>
        </w:rPr>
        <w:t>[17]</w:t>
        <w:tab/>
        <w:t xml:space="preserve">M. R. Zandoná, C. N. Sangalli, P. D. Bó Campagnolo, M. R. Vítolo, S. Almeida, </w:t>
      </w:r>
      <w:r>
        <w:rPr/>
        <w:t>και</w:t>
      </w:r>
      <w:r>
        <w:rPr>
          <w:lang w:val="en-US"/>
        </w:rPr>
        <w:t xml:space="preserve"> V. S. Mattevi, ‘Validation of Obesity Susceptibility Loci Identified by Genome‐wide Association Studies in Early Childhood in South Brazilian Children’, </w:t>
      </w:r>
      <w:r>
        <w:rPr>
          <w:i/>
          <w:iCs/>
          <w:lang w:val="en-US"/>
        </w:rPr>
        <w:t>Pediatr. Obes.</w:t>
      </w:r>
      <w:r>
        <w:rPr>
          <w:lang w:val="en-US"/>
        </w:rPr>
        <w:t>, 2016, doi: 10.1111/ijpo.12113.</w:t>
      </w:r>
    </w:p>
    <w:p>
      <w:pPr>
        <w:pStyle w:val="Normal"/>
        <w:widowControl w:val="false"/>
        <w:spacing w:before="0" w:after="240"/>
        <w:jc w:val="both"/>
        <w:rPr>
          <w:lang w:val="en-US"/>
        </w:rPr>
      </w:pPr>
      <w:r>
        <w:rPr>
          <w:lang w:val="en-US"/>
        </w:rPr>
        <w:t>[18]</w:t>
        <w:tab/>
        <w:t xml:space="preserve">A. Morandi </w:t>
      </w:r>
      <w:r>
        <w:rPr>
          <w:i/>
          <w:iCs/>
        </w:rPr>
        <w:t>κ</w:t>
      </w:r>
      <w:r>
        <w:rPr>
          <w:i/>
          <w:iCs/>
          <w:lang w:val="en-US"/>
        </w:rPr>
        <w:t>.</w:t>
      </w:r>
      <w:r>
        <w:rPr>
          <w:i/>
          <w:iCs/>
        </w:rPr>
        <w:t>ά</w:t>
      </w:r>
      <w:r>
        <w:rPr>
          <w:i/>
          <w:iCs/>
          <w:lang w:val="en-US"/>
        </w:rPr>
        <w:t>.</w:t>
      </w:r>
      <w:r>
        <w:rPr>
          <w:lang w:val="en-US"/>
        </w:rPr>
        <w:t xml:space="preserve">, ‘Estimation of Newborn Risk for Child or Adolescent Obesity: Lessons From Longitudinal Birth Cohorts’, </w:t>
      </w:r>
      <w:r>
        <w:rPr>
          <w:i/>
          <w:iCs/>
          <w:lang w:val="en-US"/>
        </w:rPr>
        <w:t>Plos One</w:t>
      </w:r>
      <w:r>
        <w:rPr>
          <w:lang w:val="en-US"/>
        </w:rPr>
        <w:t>, 2012, doi: 10.1371/journal.pone.0049919.</w:t>
      </w:r>
    </w:p>
    <w:p>
      <w:pPr>
        <w:pStyle w:val="Normal"/>
        <w:widowControl w:val="false"/>
        <w:spacing w:before="0" w:after="240"/>
        <w:jc w:val="both"/>
        <w:rPr>
          <w:lang w:val="en-US"/>
        </w:rPr>
      </w:pPr>
      <w:r>
        <w:rPr>
          <w:lang w:val="en-US"/>
        </w:rPr>
        <w:t>[19]</w:t>
        <w:tab/>
        <w:t xml:space="preserve">F. Tekola-Ayele, A. Lee, T. Workalemahu, </w:t>
      </w:r>
      <w:r>
        <w:rPr/>
        <w:t>και</w:t>
      </w:r>
      <w:r>
        <w:rPr>
          <w:lang w:val="en-US"/>
        </w:rPr>
        <w:t xml:space="preserve"> K. Sánchez-Pozos, ‘Shared Genetic Underpinnings of Childhood Obesity and Adult Cardiometabolic Diseases’, </w:t>
      </w:r>
      <w:r>
        <w:rPr>
          <w:i/>
          <w:iCs/>
          <w:lang w:val="en-US"/>
        </w:rPr>
        <w:t>Hum. Genomics</w:t>
      </w:r>
      <w:r>
        <w:rPr>
          <w:lang w:val="en-US"/>
        </w:rPr>
        <w:t>, 2019, doi: 10.1186/s40246-019-0202-x.</w:t>
      </w:r>
    </w:p>
    <w:p>
      <w:pPr>
        <w:pStyle w:val="Normal"/>
        <w:widowControl w:val="false"/>
        <w:spacing w:before="0" w:after="240"/>
        <w:jc w:val="both"/>
        <w:rPr>
          <w:lang w:val="en-US"/>
        </w:rPr>
      </w:pPr>
      <w:r>
        <w:rPr>
          <w:lang w:val="en-US"/>
        </w:rPr>
        <w:t>[20]</w:t>
        <w:tab/>
        <w:t xml:space="preserve">B. Rokholm, C. S. Andersen, </w:t>
      </w:r>
      <w:r>
        <w:rPr/>
        <w:t>και</w:t>
      </w:r>
      <w:r>
        <w:rPr>
          <w:lang w:val="en-US"/>
        </w:rPr>
        <w:t xml:space="preserve"> T. I. A. Sørensen, ‘Developmental Origins of Obesity - Genetic and Epigenetic Determinants’, </w:t>
      </w:r>
      <w:r>
        <w:rPr>
          <w:i/>
          <w:iCs/>
          <w:lang w:val="en-US"/>
        </w:rPr>
        <w:t>Open Obes. J.</w:t>
      </w:r>
      <w:r>
        <w:rPr>
          <w:lang w:val="en-US"/>
        </w:rPr>
        <w:t>, 2011, doi: 10.2174/1876823701103010027.</w:t>
      </w:r>
    </w:p>
    <w:p>
      <w:pPr>
        <w:pStyle w:val="Normal"/>
        <w:widowControl w:val="false"/>
        <w:spacing w:before="0" w:after="240"/>
        <w:jc w:val="both"/>
        <w:rPr>
          <w:lang w:val="en-US"/>
        </w:rPr>
      </w:pPr>
      <w:r>
        <w:rPr>
          <w:lang w:val="en-US"/>
        </w:rPr>
        <w:t>[21]</w:t>
        <w:tab/>
        <w:t xml:space="preserve">J. A. Tur </w:t>
      </w:r>
      <w:r>
        <w:rPr/>
        <w:t>και</w:t>
      </w:r>
      <w:r>
        <w:rPr>
          <w:lang w:val="en-US"/>
        </w:rPr>
        <w:t xml:space="preserve"> J. Martínez, ‘Guide and Advances on Childhood Obesity Determinants: Setting the Research Agenda’, </w:t>
      </w:r>
      <w:r>
        <w:rPr>
          <w:i/>
          <w:iCs/>
          <w:lang w:val="en-US"/>
        </w:rPr>
        <w:t>Obes. Rev.</w:t>
      </w:r>
      <w:r>
        <w:rPr>
          <w:lang w:val="en-US"/>
        </w:rPr>
        <w:t>, 2021, doi: 10.1111/obr.13379.</w:t>
      </w:r>
    </w:p>
    <w:p>
      <w:pPr>
        <w:pStyle w:val="Normal"/>
        <w:widowControl w:val="false"/>
        <w:spacing w:before="0" w:after="240"/>
        <w:jc w:val="both"/>
        <w:rPr>
          <w:lang w:val="en-US"/>
        </w:rPr>
      </w:pPr>
      <w:r>
        <w:rPr>
          <w:lang w:val="en-US"/>
        </w:rPr>
        <w:t>[22]</w:t>
        <w:tab/>
        <w:t xml:space="preserve">A. T. Ergür, Ö. Ergür, A. Öktem, </w:t>
      </w:r>
      <w:r>
        <w:rPr/>
        <w:t>και</w:t>
      </w:r>
      <w:r>
        <w:rPr>
          <w:lang w:val="en-US"/>
        </w:rPr>
        <w:t xml:space="preserve"> S. Akyildiz, ‘The Genetic Determination of Tendency to Cardiovascular Disease in the Two Bardet Biedl Syndrome Cases’, </w:t>
      </w:r>
      <w:r>
        <w:rPr>
          <w:i/>
          <w:iCs/>
          <w:lang w:val="en-US"/>
        </w:rPr>
        <w:t>Turk. J. Pediatr. Dis.</w:t>
      </w:r>
      <w:r>
        <w:rPr>
          <w:lang w:val="en-US"/>
        </w:rPr>
        <w:t>, 2013, doi: 10.12956/tjpd.2013.3.11.</w:t>
      </w:r>
    </w:p>
    <w:p>
      <w:pPr>
        <w:pStyle w:val="Normal"/>
        <w:widowControl w:val="false"/>
        <w:spacing w:before="0" w:after="240"/>
        <w:jc w:val="both"/>
        <w:rPr/>
      </w:pPr>
      <w:r>
        <w:rPr>
          <w:lang w:val="en-US"/>
        </w:rPr>
        <w:t>[23]</w:t>
        <w:tab/>
        <w:t xml:space="preserve">‘Global Atlas on Childhood Obesity’, World Obesity Federation. </w:t>
      </w:r>
      <w:r>
        <w:rPr/>
        <w:t>Ημερομηνία πρόσβασης: 18 Νοέμβριος 2023. [Έκδοση σε ψηφιακή μορφή]. Διαθέσιμο στο: https://www.worldobesity.org/membersarea/global-atlas-on-childhood-obesity</w:t>
      </w:r>
    </w:p>
    <w:p>
      <w:pPr>
        <w:pStyle w:val="Normal"/>
        <w:widowControl w:val="false"/>
        <w:spacing w:before="0" w:after="240"/>
        <w:jc w:val="both"/>
        <w:rPr>
          <w:lang w:val="en-US"/>
        </w:rPr>
      </w:pPr>
      <w:r>
        <w:rPr>
          <w:lang w:val="en-US"/>
        </w:rPr>
        <w:t>[24]</w:t>
        <w:tab/>
        <w:t xml:space="preserve">A. Horesh, A. M. Tsur, A. Bardugo, </w:t>
      </w:r>
      <w:r>
        <w:rPr/>
        <w:t>και</w:t>
      </w:r>
      <w:r>
        <w:rPr>
          <w:lang w:val="en-US"/>
        </w:rPr>
        <w:t xml:space="preserve"> G. Twig, ‘Adolescent and Childhood Obesity and Excess Morbidity and Mortality in Young Adulthood-a Systematic Review’, </w:t>
      </w:r>
      <w:r>
        <w:rPr>
          <w:i/>
          <w:iCs/>
          <w:lang w:val="en-US"/>
        </w:rPr>
        <w:t>Curr. Obes. Rep.</w:t>
      </w:r>
      <w:r>
        <w:rPr>
          <w:lang w:val="en-US"/>
        </w:rPr>
        <w:t xml:space="preserve">, </w:t>
      </w:r>
      <w:r>
        <w:rPr/>
        <w:t>τ</w:t>
      </w:r>
      <w:r>
        <w:rPr>
          <w:lang w:val="en-US"/>
        </w:rPr>
        <w:t xml:space="preserve">. 10, </w:t>
      </w:r>
      <w:r>
        <w:rPr/>
        <w:t>τχ</w:t>
      </w:r>
      <w:r>
        <w:rPr>
          <w:lang w:val="en-US"/>
        </w:rPr>
        <w:t xml:space="preserve">. 3, </w:t>
      </w:r>
      <w:r>
        <w:rPr/>
        <w:t>σσ</w:t>
      </w:r>
      <w:r>
        <w:rPr>
          <w:lang w:val="en-US"/>
        </w:rPr>
        <w:t xml:space="preserve">. 301–310, </w:t>
      </w:r>
      <w:r>
        <w:rPr/>
        <w:t>Σεπτεμβρίου</w:t>
      </w:r>
      <w:r>
        <w:rPr>
          <w:lang w:val="en-US"/>
        </w:rPr>
        <w:t xml:space="preserve"> 2021, doi: 10.1007/s13679-021-00439-9.</w:t>
      </w:r>
    </w:p>
    <w:p>
      <w:pPr>
        <w:pStyle w:val="Normal"/>
        <w:widowControl w:val="false"/>
        <w:spacing w:before="0" w:after="240"/>
        <w:jc w:val="both"/>
        <w:rPr>
          <w:lang w:val="en-US"/>
        </w:rPr>
      </w:pPr>
      <w:r>
        <w:rPr>
          <w:lang w:val="en-US"/>
        </w:rPr>
        <w:t>[25]</w:t>
        <w:tab/>
        <w:t xml:space="preserve">J. H, C. Mi, K. Tk, </w:t>
      </w:r>
      <w:r>
        <w:rPr/>
        <w:t>και</w:t>
      </w:r>
      <w:r>
        <w:rPr>
          <w:lang w:val="en-US"/>
        </w:rPr>
        <w:t xml:space="preserve"> J. Am, ‘Addressing psychosocial health in the treatment and care of adolescents with obesity’, </w:t>
      </w:r>
      <w:r>
        <w:rPr>
          <w:i/>
          <w:iCs/>
          <w:lang w:val="en-US"/>
        </w:rPr>
        <w:t>Obes. Silver Spring Md</w:t>
      </w:r>
      <w:r>
        <w:rPr>
          <w:lang w:val="en-US"/>
        </w:rPr>
        <w:t xml:space="preserve">, </w:t>
      </w:r>
      <w:r>
        <w:rPr/>
        <w:t>τ</w:t>
      </w:r>
      <w:r>
        <w:rPr>
          <w:lang w:val="en-US"/>
        </w:rPr>
        <w:t xml:space="preserve">. 29, </w:t>
      </w:r>
      <w:r>
        <w:rPr/>
        <w:t>τχ</w:t>
      </w:r>
      <w:r>
        <w:rPr>
          <w:lang w:val="en-US"/>
        </w:rPr>
        <w:t xml:space="preserve">. 9, </w:t>
      </w:r>
      <w:r>
        <w:rPr/>
        <w:t>Σεπτεμβρίου</w:t>
      </w:r>
      <w:r>
        <w:rPr>
          <w:lang w:val="en-US"/>
        </w:rPr>
        <w:t xml:space="preserve"> 2021, doi: 10.1002/oby.23194.</w:t>
      </w:r>
    </w:p>
    <w:p>
      <w:pPr>
        <w:pStyle w:val="Normal"/>
        <w:widowControl w:val="false"/>
        <w:spacing w:before="0" w:after="240"/>
        <w:jc w:val="both"/>
        <w:rPr>
          <w:lang w:val="en-US"/>
        </w:rPr>
      </w:pPr>
      <w:r>
        <w:rPr>
          <w:lang w:val="en-US"/>
        </w:rPr>
        <w:t>[26]</w:t>
        <w:tab/>
        <w:t xml:space="preserve">H. Jebeile, A. S. Kelly, G. O’Malley, </w:t>
      </w:r>
      <w:r>
        <w:rPr/>
        <w:t>και</w:t>
      </w:r>
      <w:r>
        <w:rPr>
          <w:lang w:val="en-US"/>
        </w:rPr>
        <w:t xml:space="preserve"> L. A. Baur, ‘Obesity in children and adolescents: epidemiology, causes, assessment, and management’, </w:t>
      </w:r>
      <w:r>
        <w:rPr>
          <w:i/>
          <w:iCs/>
          <w:lang w:val="en-US"/>
        </w:rPr>
        <w:t>Lancet Diabetes Endocrinol.</w:t>
      </w:r>
      <w:r>
        <w:rPr>
          <w:lang w:val="en-US"/>
        </w:rPr>
        <w:t xml:space="preserve">, </w:t>
      </w:r>
      <w:r>
        <w:rPr/>
        <w:t>τ</w:t>
      </w:r>
      <w:r>
        <w:rPr>
          <w:lang w:val="en-US"/>
        </w:rPr>
        <w:t xml:space="preserve">. 10, </w:t>
      </w:r>
      <w:r>
        <w:rPr/>
        <w:t>τχ</w:t>
      </w:r>
      <w:r>
        <w:rPr>
          <w:lang w:val="en-US"/>
        </w:rPr>
        <w:t xml:space="preserve">. 5, </w:t>
      </w:r>
      <w:r>
        <w:rPr/>
        <w:t>σσ</w:t>
      </w:r>
      <w:r>
        <w:rPr>
          <w:lang w:val="en-US"/>
        </w:rPr>
        <w:t xml:space="preserve">. 351–365, </w:t>
      </w:r>
      <w:r>
        <w:rPr/>
        <w:t>Μαΐου</w:t>
      </w:r>
      <w:r>
        <w:rPr>
          <w:lang w:val="en-US"/>
        </w:rPr>
        <w:t xml:space="preserve"> 2022, doi: 10.1016/S2213-8587(22)00047-X.</w:t>
      </w:r>
    </w:p>
    <w:p>
      <w:pPr>
        <w:pStyle w:val="Normal"/>
        <w:widowControl w:val="false"/>
        <w:spacing w:before="0" w:after="240"/>
        <w:jc w:val="both"/>
        <w:rPr/>
      </w:pPr>
      <w:r>
        <w:rPr>
          <w:lang w:val="en-US"/>
        </w:rPr>
        <w:t>[27]</w:t>
        <w:tab/>
        <w:t xml:space="preserve">‘WHO child growth standards: growth velocity based on weight, length and head circumference: methods and development’. </w:t>
      </w:r>
      <w:r>
        <w:rPr/>
        <w:t>Ημερομηνία πρόσβασης: 18 Νοέμβριος 2023. [Έκδοση σε ψηφιακή μορφή]. Διαθέσιμο στο: https://www.who.int/publications-detail-redirect/9789241547635</w:t>
      </w:r>
    </w:p>
    <w:p>
      <w:pPr>
        <w:pStyle w:val="Normal"/>
        <w:widowControl w:val="false"/>
        <w:spacing w:before="0" w:after="240"/>
        <w:jc w:val="both"/>
        <w:rPr/>
      </w:pPr>
      <w:r>
        <w:rPr/>
        <w:t>[28]</w:t>
        <w:tab/>
        <w:t>‘Growth Charts - Homepage’. Ημερομηνία πρόσβασης: 18 Νοέμβριος 2023. [Έκδοση σε ψηφιακή μορφή]. Διαθέσιμο στο: https://www.cdc.gov/growthcharts/index.htm</w:t>
      </w:r>
    </w:p>
    <w:p>
      <w:pPr>
        <w:pStyle w:val="Normal"/>
        <w:widowControl w:val="false"/>
        <w:spacing w:before="0" w:after="240"/>
        <w:jc w:val="both"/>
        <w:rPr>
          <w:lang w:val="en-US"/>
        </w:rPr>
      </w:pPr>
      <w:r>
        <w:rPr>
          <w:lang w:val="en-US"/>
        </w:rPr>
        <w:t>[29]</w:t>
        <w:tab/>
        <w:t xml:space="preserve">X. B </w:t>
      </w:r>
      <w:r>
        <w:rPr>
          <w:i/>
          <w:iCs/>
        </w:rPr>
        <w:t>κ</w:t>
      </w:r>
      <w:r>
        <w:rPr>
          <w:i/>
          <w:iCs/>
          <w:lang w:val="en-US"/>
        </w:rPr>
        <w:t>.</w:t>
      </w:r>
      <w:r>
        <w:rPr>
          <w:i/>
          <w:iCs/>
        </w:rPr>
        <w:t>ά</w:t>
      </w:r>
      <w:r>
        <w:rPr>
          <w:i/>
          <w:iCs/>
          <w:lang w:val="en-US"/>
        </w:rPr>
        <w:t>.</w:t>
      </w:r>
      <w:r>
        <w:rPr>
          <w:lang w:val="en-US"/>
        </w:rPr>
        <w:t xml:space="preserve">, ‘International Waist Circumference Percentile Cutoffs for Central Obesity in Children and Adolescents Aged 6 to 18 Years’, </w:t>
      </w:r>
      <w:r>
        <w:rPr>
          <w:i/>
          <w:iCs/>
          <w:lang w:val="en-US"/>
        </w:rPr>
        <w:t>J. Clin. Endocrinol. Metab.</w:t>
      </w:r>
      <w:r>
        <w:rPr>
          <w:lang w:val="en-US"/>
        </w:rPr>
        <w:t xml:space="preserve">, </w:t>
      </w:r>
      <w:r>
        <w:rPr/>
        <w:t>τ</w:t>
      </w:r>
      <w:r>
        <w:rPr>
          <w:lang w:val="en-US"/>
        </w:rPr>
        <w:t xml:space="preserve">. 105, </w:t>
      </w:r>
      <w:r>
        <w:rPr/>
        <w:t>τχ</w:t>
      </w:r>
      <w:r>
        <w:rPr>
          <w:lang w:val="en-US"/>
        </w:rPr>
        <w:t xml:space="preserve">. 4, </w:t>
      </w:r>
      <w:r>
        <w:rPr/>
        <w:t>Ιανουαρίου</w:t>
      </w:r>
      <w:r>
        <w:rPr>
          <w:lang w:val="en-US"/>
        </w:rPr>
        <w:t xml:space="preserve"> 2020, doi: 10.1210/clinem/dgz195.</w:t>
      </w:r>
    </w:p>
    <w:p>
      <w:pPr>
        <w:pStyle w:val="Normal"/>
        <w:widowControl w:val="false"/>
        <w:spacing w:before="0" w:after="240"/>
        <w:jc w:val="both"/>
        <w:rPr>
          <w:lang w:val="en-US"/>
        </w:rPr>
      </w:pPr>
      <w:r>
        <w:rPr>
          <w:lang w:val="en-US"/>
        </w:rPr>
        <w:t>[30]</w:t>
        <w:tab/>
        <w:t xml:space="preserve">I. M, M. N, T. Ji, </w:t>
      </w:r>
      <w:r>
        <w:rPr/>
        <w:t>και</w:t>
      </w:r>
      <w:r>
        <w:rPr>
          <w:lang w:val="en-US"/>
        </w:rPr>
        <w:t xml:space="preserve"> H. T, ‘Population-based waist circumference reference values in Japanese children (0-6 years): comparisons with Dutch, Swedish and Turkish preschool children’, </w:t>
      </w:r>
      <w:r>
        <w:rPr>
          <w:i/>
          <w:iCs/>
          <w:lang w:val="en-US"/>
        </w:rPr>
        <w:t>J. Pediatr. Endocrinol. Metab. JPEM</w:t>
      </w:r>
      <w:r>
        <w:rPr>
          <w:lang w:val="en-US"/>
        </w:rPr>
        <w:t xml:space="preserve">, </w:t>
      </w:r>
      <w:r>
        <w:rPr/>
        <w:t>τ</w:t>
      </w:r>
      <w:r>
        <w:rPr>
          <w:lang w:val="en-US"/>
        </w:rPr>
        <w:t xml:space="preserve">. 34, </w:t>
      </w:r>
      <w:r>
        <w:rPr/>
        <w:t>τχ</w:t>
      </w:r>
      <w:r>
        <w:rPr>
          <w:lang w:val="en-US"/>
        </w:rPr>
        <w:t xml:space="preserve">. 3, </w:t>
      </w:r>
      <w:r>
        <w:rPr/>
        <w:t>Δεκεμβρίου</w:t>
      </w:r>
      <w:r>
        <w:rPr>
          <w:lang w:val="en-US"/>
        </w:rPr>
        <w:t xml:space="preserve"> 2020, doi: 10.1515/jpem-2020-0418.</w:t>
      </w:r>
    </w:p>
    <w:p>
      <w:pPr>
        <w:pStyle w:val="Normal"/>
        <w:widowControl w:val="false"/>
        <w:spacing w:before="0" w:after="240"/>
        <w:jc w:val="both"/>
        <w:rPr/>
      </w:pPr>
      <w:r>
        <w:rPr>
          <w:lang w:val="en-US"/>
        </w:rPr>
        <w:t>[31]</w:t>
        <w:tab/>
        <w:t xml:space="preserve">‘Presentation maps’, World Obesity Federation Global Obesity Observatory. </w:t>
      </w:r>
      <w:r>
        <w:rPr/>
        <w:t>Ημερομηνία πρόσβασης: 18 Νοέμβριος 2023. [Έκδοση σε ψηφιακή μορφή]. Διαθέσιμο στο: https://data.worldobesity.org/maps/?area=trends</w:t>
      </w:r>
    </w:p>
    <w:p>
      <w:pPr>
        <w:pStyle w:val="Normal"/>
        <w:widowControl w:val="false"/>
        <w:spacing w:before="0" w:after="240"/>
        <w:jc w:val="both"/>
        <w:rPr>
          <w:lang w:val="en-US"/>
        </w:rPr>
      </w:pPr>
      <w:r>
        <w:rPr>
          <w:lang w:val="en-US"/>
        </w:rPr>
        <w:t>[32]</w:t>
        <w:tab/>
        <w:t xml:space="preserve">‘Worldwide trends in body-mass index, underweight, overweight, and obesity from 1975 to 2016: a pooled analysis of 2416 population-based measurement studies in 128·9 million children, adolescents, and adults’, </w:t>
      </w:r>
      <w:r>
        <w:rPr>
          <w:i/>
          <w:iCs/>
          <w:lang w:val="en-US"/>
        </w:rPr>
        <w:t>Lancet Lond. Engl.</w:t>
      </w:r>
      <w:r>
        <w:rPr>
          <w:lang w:val="en-US"/>
        </w:rPr>
        <w:t xml:space="preserve">, </w:t>
      </w:r>
      <w:r>
        <w:rPr/>
        <w:t>τ</w:t>
      </w:r>
      <w:r>
        <w:rPr>
          <w:lang w:val="en-US"/>
        </w:rPr>
        <w:t xml:space="preserve">. 390, </w:t>
      </w:r>
      <w:r>
        <w:rPr/>
        <w:t>τχ</w:t>
      </w:r>
      <w:r>
        <w:rPr>
          <w:lang w:val="en-US"/>
        </w:rPr>
        <w:t xml:space="preserve">. 10113, </w:t>
      </w:r>
      <w:r>
        <w:rPr/>
        <w:t>Δεκεμβρίου</w:t>
      </w:r>
      <w:r>
        <w:rPr>
          <w:lang w:val="en-US"/>
        </w:rPr>
        <w:t xml:space="preserve"> 2017, doi: 10.1016/S0140-6736(17)32129-3.</w:t>
      </w:r>
    </w:p>
    <w:p>
      <w:pPr>
        <w:pStyle w:val="Normal"/>
        <w:widowControl w:val="false"/>
        <w:spacing w:before="0" w:after="240"/>
        <w:jc w:val="both"/>
        <w:rPr>
          <w:lang w:val="en-US"/>
        </w:rPr>
      </w:pPr>
      <w:r>
        <w:rPr>
          <w:lang w:val="en-US"/>
        </w:rPr>
        <w:t>[33]</w:t>
        <w:tab/>
        <w:t xml:space="preserve">S. A </w:t>
      </w:r>
      <w:r>
        <w:rPr>
          <w:i/>
          <w:iCs/>
        </w:rPr>
        <w:t>κ</w:t>
      </w:r>
      <w:r>
        <w:rPr>
          <w:i/>
          <w:iCs/>
          <w:lang w:val="en-US"/>
        </w:rPr>
        <w:t>.</w:t>
      </w:r>
      <w:r>
        <w:rPr>
          <w:i/>
          <w:iCs/>
        </w:rPr>
        <w:t>ά</w:t>
      </w:r>
      <w:r>
        <w:rPr>
          <w:i/>
          <w:iCs/>
          <w:lang w:val="en-US"/>
        </w:rPr>
        <w:t>.</w:t>
      </w:r>
      <w:r>
        <w:rPr>
          <w:lang w:val="en-US"/>
        </w:rPr>
        <w:t xml:space="preserve">, ‘Prevalence of Severe Obesity among Primary School Children in 21 European Countries’, </w:t>
      </w:r>
      <w:r>
        <w:rPr>
          <w:i/>
          <w:iCs/>
          <w:lang w:val="en-US"/>
        </w:rPr>
        <w:t>Obes. Facts</w:t>
      </w:r>
      <w:r>
        <w:rPr>
          <w:lang w:val="en-US"/>
        </w:rPr>
        <w:t xml:space="preserve">, </w:t>
      </w:r>
      <w:r>
        <w:rPr/>
        <w:t>τ</w:t>
      </w:r>
      <w:r>
        <w:rPr>
          <w:lang w:val="en-US"/>
        </w:rPr>
        <w:t xml:space="preserve">. 12, </w:t>
      </w:r>
      <w:r>
        <w:rPr/>
        <w:t>τχ</w:t>
      </w:r>
      <w:r>
        <w:rPr>
          <w:lang w:val="en-US"/>
        </w:rPr>
        <w:t>. 2, 2019, doi: 10.1159/000500436.</w:t>
      </w:r>
    </w:p>
    <w:p>
      <w:pPr>
        <w:pStyle w:val="Normal"/>
        <w:widowControl w:val="false"/>
        <w:spacing w:before="0" w:after="240"/>
        <w:jc w:val="both"/>
        <w:rPr>
          <w:lang w:val="en-US"/>
        </w:rPr>
      </w:pPr>
      <w:r>
        <w:rPr>
          <w:lang w:val="en-US"/>
        </w:rPr>
        <w:t>[34]</w:t>
        <w:tab/>
        <w:t xml:space="preserve">O. Cl, F. Cd, H. Cm, C. Md, A. Y, </w:t>
      </w:r>
      <w:r>
        <w:rPr/>
        <w:t>και</w:t>
      </w:r>
      <w:r>
        <w:rPr>
          <w:lang w:val="en-US"/>
        </w:rPr>
        <w:t xml:space="preserve"> F. Ds, ‘Differences in Obesity Prevalence by Demographics and Urbanization in US Children and Adolescents, 2013-2016’, </w:t>
      </w:r>
      <w:r>
        <w:rPr>
          <w:i/>
          <w:iCs/>
          <w:lang w:val="en-US"/>
        </w:rPr>
        <w:t>JAMA</w:t>
      </w:r>
      <w:r>
        <w:rPr>
          <w:lang w:val="en-US"/>
        </w:rPr>
        <w:t xml:space="preserve">, </w:t>
      </w:r>
      <w:r>
        <w:rPr/>
        <w:t>τ</w:t>
      </w:r>
      <w:r>
        <w:rPr>
          <w:lang w:val="en-US"/>
        </w:rPr>
        <w:t xml:space="preserve">. 319, </w:t>
      </w:r>
      <w:r>
        <w:rPr/>
        <w:t>τχ</w:t>
      </w:r>
      <w:r>
        <w:rPr>
          <w:lang w:val="en-US"/>
        </w:rPr>
        <w:t xml:space="preserve">. 23, </w:t>
      </w:r>
      <w:r>
        <w:rPr/>
        <w:t>Ιουνίου</w:t>
      </w:r>
      <w:r>
        <w:rPr>
          <w:lang w:val="en-US"/>
        </w:rPr>
        <w:t xml:space="preserve"> 2018, doi: 10.1001/jama.2018.5158.</w:t>
      </w:r>
    </w:p>
    <w:p>
      <w:pPr>
        <w:pStyle w:val="Normal"/>
        <w:widowControl w:val="false"/>
        <w:spacing w:before="0" w:after="240"/>
        <w:jc w:val="both"/>
        <w:rPr>
          <w:lang w:val="en-US"/>
        </w:rPr>
      </w:pPr>
      <w:r>
        <w:rPr>
          <w:lang w:val="en-US"/>
        </w:rPr>
        <w:t>[35]</w:t>
        <w:tab/>
        <w:t xml:space="preserve">O. Cl </w:t>
      </w:r>
      <w:r>
        <w:rPr>
          <w:i/>
          <w:iCs/>
        </w:rPr>
        <w:t>κ</w:t>
      </w:r>
      <w:r>
        <w:rPr>
          <w:i/>
          <w:iCs/>
          <w:lang w:val="en-US"/>
        </w:rPr>
        <w:t>.</w:t>
      </w:r>
      <w:r>
        <w:rPr>
          <w:i/>
          <w:iCs/>
        </w:rPr>
        <w:t>ά</w:t>
      </w:r>
      <w:r>
        <w:rPr>
          <w:i/>
          <w:iCs/>
          <w:lang w:val="en-US"/>
        </w:rPr>
        <w:t>.</w:t>
      </w:r>
      <w:r>
        <w:rPr>
          <w:lang w:val="en-US"/>
        </w:rPr>
        <w:t xml:space="preserve">, ‘Trends in Obesity Prevalence by Race and Hispanic Origin-1999-2000 to 2017-2018’, </w:t>
      </w:r>
      <w:r>
        <w:rPr>
          <w:i/>
          <w:iCs/>
          <w:lang w:val="en-US"/>
        </w:rPr>
        <w:t>JAMA</w:t>
      </w:r>
      <w:r>
        <w:rPr>
          <w:lang w:val="en-US"/>
        </w:rPr>
        <w:t xml:space="preserve">, </w:t>
      </w:r>
      <w:r>
        <w:rPr/>
        <w:t>τ</w:t>
      </w:r>
      <w:r>
        <w:rPr>
          <w:lang w:val="en-US"/>
        </w:rPr>
        <w:t xml:space="preserve">. 324, </w:t>
      </w:r>
      <w:r>
        <w:rPr/>
        <w:t>τχ</w:t>
      </w:r>
      <w:r>
        <w:rPr>
          <w:lang w:val="en-US"/>
        </w:rPr>
        <w:t xml:space="preserve">. 12, </w:t>
      </w:r>
      <w:r>
        <w:rPr/>
        <w:t>Σεπτεμβρίου</w:t>
      </w:r>
      <w:r>
        <w:rPr>
          <w:lang w:val="en-US"/>
        </w:rPr>
        <w:t xml:space="preserve"> 2020, doi: 10.1001/jama.2020.14590.</w:t>
      </w:r>
    </w:p>
    <w:p>
      <w:pPr>
        <w:pStyle w:val="Normal"/>
        <w:widowControl w:val="false"/>
        <w:spacing w:before="0" w:after="240"/>
        <w:jc w:val="both"/>
        <w:rPr>
          <w:lang w:val="en-US"/>
        </w:rPr>
      </w:pPr>
      <w:r>
        <w:rPr>
          <w:lang w:val="en-US"/>
        </w:rPr>
        <w:t>[36]</w:t>
        <w:tab/>
        <w:t xml:space="preserve">A.-M. Am, I. I, M.-E. P, </w:t>
      </w:r>
      <w:r>
        <w:rPr/>
        <w:t>και</w:t>
      </w:r>
      <w:r>
        <w:rPr>
          <w:lang w:val="en-US"/>
        </w:rPr>
        <w:t xml:space="preserve"> M. La, ‘Consideration of Social Disadvantages for Understanding and Preventing Obesity in Children’, </w:t>
      </w:r>
      <w:r>
        <w:rPr>
          <w:i/>
          <w:iCs/>
          <w:lang w:val="en-US"/>
        </w:rPr>
        <w:t>Front. Public Health</w:t>
      </w:r>
      <w:r>
        <w:rPr>
          <w:lang w:val="en-US"/>
        </w:rPr>
        <w:t xml:space="preserve">, </w:t>
      </w:r>
      <w:r>
        <w:rPr/>
        <w:t>τ</w:t>
      </w:r>
      <w:r>
        <w:rPr>
          <w:lang w:val="en-US"/>
        </w:rPr>
        <w:t xml:space="preserve">. 8, </w:t>
      </w:r>
      <w:r>
        <w:rPr/>
        <w:t>Αυγούστου</w:t>
      </w:r>
      <w:r>
        <w:rPr>
          <w:lang w:val="en-US"/>
        </w:rPr>
        <w:t xml:space="preserve"> 2020, doi: 10.3389/fpubh.2020.00423.</w:t>
      </w:r>
    </w:p>
    <w:p>
      <w:pPr>
        <w:pStyle w:val="Normal"/>
        <w:widowControl w:val="false"/>
        <w:spacing w:before="0" w:after="240"/>
        <w:jc w:val="both"/>
        <w:rPr>
          <w:lang w:val="en-US"/>
        </w:rPr>
      </w:pPr>
      <w:r>
        <w:rPr>
          <w:lang w:val="en-US"/>
        </w:rPr>
        <w:t>[37]</w:t>
        <w:tab/>
        <w:t xml:space="preserve">V. Ce </w:t>
      </w:r>
      <w:r>
        <w:rPr/>
        <w:t>και</w:t>
      </w:r>
      <w:r>
        <w:rPr>
          <w:lang w:val="en-US"/>
        </w:rPr>
        <w:t xml:space="preserve"> C. C, ‘Socioeconomic Status and Childhood Obesity: a Review of Literature from the Past Decade to Inform Intervention Research’, </w:t>
      </w:r>
      <w:r>
        <w:rPr>
          <w:i/>
          <w:iCs/>
          <w:lang w:val="en-US"/>
        </w:rPr>
        <w:t>Curr. Obes. Rep.</w:t>
      </w:r>
      <w:r>
        <w:rPr>
          <w:lang w:val="en-US"/>
        </w:rPr>
        <w:t xml:space="preserve">, </w:t>
      </w:r>
      <w:r>
        <w:rPr/>
        <w:t>τ</w:t>
      </w:r>
      <w:r>
        <w:rPr>
          <w:lang w:val="en-US"/>
        </w:rPr>
        <w:t xml:space="preserve">. 9, </w:t>
      </w:r>
      <w:r>
        <w:rPr/>
        <w:t>τχ</w:t>
      </w:r>
      <w:r>
        <w:rPr>
          <w:lang w:val="en-US"/>
        </w:rPr>
        <w:t xml:space="preserve">. 4, </w:t>
      </w:r>
      <w:r>
        <w:rPr/>
        <w:t>Δεκεμβρίου</w:t>
      </w:r>
      <w:r>
        <w:rPr>
          <w:lang w:val="en-US"/>
        </w:rPr>
        <w:t xml:space="preserve"> 2020, doi: 10.1007/s13679-020-00400-2.</w:t>
      </w:r>
    </w:p>
    <w:p>
      <w:pPr>
        <w:pStyle w:val="Normal"/>
        <w:widowControl w:val="false"/>
        <w:spacing w:before="0" w:after="240"/>
        <w:jc w:val="both"/>
        <w:rPr>
          <w:lang w:val="en-US"/>
        </w:rPr>
      </w:pPr>
      <w:r>
        <w:rPr>
          <w:lang w:val="en-US"/>
        </w:rPr>
        <w:t>[38]</w:t>
        <w:tab/>
        <w:t xml:space="preserve">W. Sj </w:t>
      </w:r>
      <w:r>
        <w:rPr>
          <w:i/>
          <w:iCs/>
        </w:rPr>
        <w:t>κ</w:t>
      </w:r>
      <w:r>
        <w:rPr>
          <w:i/>
          <w:iCs/>
          <w:lang w:val="en-US"/>
        </w:rPr>
        <w:t>.</w:t>
      </w:r>
      <w:r>
        <w:rPr>
          <w:i/>
          <w:iCs/>
        </w:rPr>
        <w:t>ά</w:t>
      </w:r>
      <w:r>
        <w:rPr>
          <w:i/>
          <w:iCs/>
          <w:lang w:val="en-US"/>
        </w:rPr>
        <w:t>.</w:t>
      </w:r>
      <w:r>
        <w:rPr>
          <w:lang w:val="en-US"/>
        </w:rPr>
        <w:t xml:space="preserve">, ‘Changes in Body Mass Index Among Children and Adolescents During the COVID-19 Pandemic’, </w:t>
      </w:r>
      <w:r>
        <w:rPr>
          <w:i/>
          <w:iCs/>
          <w:lang w:val="en-US"/>
        </w:rPr>
        <w:t>JAMA</w:t>
      </w:r>
      <w:r>
        <w:rPr>
          <w:lang w:val="en-US"/>
        </w:rPr>
        <w:t xml:space="preserve">, </w:t>
      </w:r>
      <w:r>
        <w:rPr/>
        <w:t>τ</w:t>
      </w:r>
      <w:r>
        <w:rPr>
          <w:lang w:val="en-US"/>
        </w:rPr>
        <w:t xml:space="preserve">. 326, </w:t>
      </w:r>
      <w:r>
        <w:rPr/>
        <w:t>τχ</w:t>
      </w:r>
      <w:r>
        <w:rPr>
          <w:lang w:val="en-US"/>
        </w:rPr>
        <w:t xml:space="preserve">. 14, </w:t>
      </w:r>
      <w:r>
        <w:rPr/>
        <w:t>Δεκεμβρίου</w:t>
      </w:r>
      <w:r>
        <w:rPr>
          <w:lang w:val="en-US"/>
        </w:rPr>
        <w:t xml:space="preserve"> 2021, doi: 10.1001/jama.2021.15036.</w:t>
      </w:r>
    </w:p>
    <w:p>
      <w:pPr>
        <w:pStyle w:val="Normal"/>
        <w:widowControl w:val="false"/>
        <w:spacing w:before="0" w:after="240"/>
        <w:jc w:val="both"/>
        <w:rPr>
          <w:lang w:val="en-US"/>
        </w:rPr>
      </w:pPr>
      <w:r>
        <w:rPr>
          <w:lang w:val="en-US"/>
        </w:rPr>
        <w:t>[39]</w:t>
        <w:tab/>
        <w:t xml:space="preserve">J. Bp, K. Mk, P. M, B. Z, M. Sl, </w:t>
      </w:r>
      <w:r>
        <w:rPr/>
        <w:t>και</w:t>
      </w:r>
      <w:r>
        <w:rPr>
          <w:lang w:val="en-US"/>
        </w:rPr>
        <w:t xml:space="preserve"> F. Ag, ‘COVID-19 and Changes in Child Obesity’, </w:t>
      </w:r>
      <w:r>
        <w:rPr>
          <w:i/>
          <w:iCs/>
          <w:lang w:val="en-US"/>
        </w:rPr>
        <w:t>Pediatrics</w:t>
      </w:r>
      <w:r>
        <w:rPr>
          <w:lang w:val="en-US"/>
        </w:rPr>
        <w:t xml:space="preserve">, </w:t>
      </w:r>
      <w:r>
        <w:rPr/>
        <w:t>τ</w:t>
      </w:r>
      <w:r>
        <w:rPr>
          <w:lang w:val="en-US"/>
        </w:rPr>
        <w:t xml:space="preserve">. 147, </w:t>
      </w:r>
      <w:r>
        <w:rPr/>
        <w:t>τχ</w:t>
      </w:r>
      <w:r>
        <w:rPr>
          <w:lang w:val="en-US"/>
        </w:rPr>
        <w:t xml:space="preserve">. 5, </w:t>
      </w:r>
      <w:r>
        <w:rPr/>
        <w:t>Δεκεμβρίου</w:t>
      </w:r>
      <w:r>
        <w:rPr>
          <w:lang w:val="en-US"/>
        </w:rPr>
        <w:t xml:space="preserve"> 2021, doi: 10.1542/peds.2021-050123.</w:t>
      </w:r>
    </w:p>
    <w:p>
      <w:pPr>
        <w:pStyle w:val="Normal"/>
        <w:widowControl w:val="false"/>
        <w:spacing w:before="0" w:after="240"/>
        <w:jc w:val="both"/>
        <w:rPr>
          <w:lang w:val="en-US"/>
        </w:rPr>
      </w:pPr>
      <w:r>
        <w:rPr>
          <w:lang w:val="en-US"/>
        </w:rPr>
        <w:t>[40]</w:t>
        <w:tab/>
        <w:t xml:space="preserve">L. Sj </w:t>
      </w:r>
      <w:r>
        <w:rPr>
          <w:i/>
          <w:iCs/>
        </w:rPr>
        <w:t>κ</w:t>
      </w:r>
      <w:r>
        <w:rPr>
          <w:i/>
          <w:iCs/>
          <w:lang w:val="en-US"/>
        </w:rPr>
        <w:t>.</w:t>
      </w:r>
      <w:r>
        <w:rPr>
          <w:i/>
          <w:iCs/>
        </w:rPr>
        <w:t>ά</w:t>
      </w:r>
      <w:r>
        <w:rPr>
          <w:i/>
          <w:iCs/>
          <w:lang w:val="en-US"/>
        </w:rPr>
        <w:t>.</w:t>
      </w:r>
      <w:r>
        <w:rPr>
          <w:lang w:val="en-US"/>
        </w:rPr>
        <w:t xml:space="preserve">, ‘Longitudinal Trends in Body Mass Index Before and During the COVID-19 Pandemic Among Persons Aged 2-19 Years - United States, 2018-2020’, </w:t>
      </w:r>
      <w:r>
        <w:rPr>
          <w:i/>
          <w:iCs/>
          <w:lang w:val="en-US"/>
        </w:rPr>
        <w:t>MMWR Morb. Mortal. Wkly. Rep.</w:t>
      </w:r>
      <w:r>
        <w:rPr>
          <w:lang w:val="en-US"/>
        </w:rPr>
        <w:t xml:space="preserve">, </w:t>
      </w:r>
      <w:r>
        <w:rPr/>
        <w:t>τ</w:t>
      </w:r>
      <w:r>
        <w:rPr>
          <w:lang w:val="en-US"/>
        </w:rPr>
        <w:t xml:space="preserve">. 70, </w:t>
      </w:r>
      <w:r>
        <w:rPr/>
        <w:t>τχ</w:t>
      </w:r>
      <w:r>
        <w:rPr>
          <w:lang w:val="en-US"/>
        </w:rPr>
        <w:t xml:space="preserve">. 37, </w:t>
      </w:r>
      <w:r>
        <w:rPr/>
        <w:t>Σεπτεμβρίου</w:t>
      </w:r>
      <w:r>
        <w:rPr>
          <w:lang w:val="en-US"/>
        </w:rPr>
        <w:t xml:space="preserve"> 2021, doi: 10.15585/mmwr.mm7037a3.</w:t>
      </w:r>
    </w:p>
    <w:p>
      <w:pPr>
        <w:pStyle w:val="Normal"/>
        <w:widowControl w:val="false"/>
        <w:spacing w:before="0" w:after="240"/>
        <w:jc w:val="both"/>
        <w:rPr>
          <w:lang w:val="en-US"/>
        </w:rPr>
      </w:pPr>
      <w:r>
        <w:rPr>
          <w:lang w:val="en-US"/>
        </w:rPr>
        <w:t>[41]</w:t>
        <w:tab/>
        <w:t xml:space="preserve">M. Vogel </w:t>
      </w:r>
      <w:r>
        <w:rPr>
          <w:i/>
          <w:iCs/>
        </w:rPr>
        <w:t>κ</w:t>
      </w:r>
      <w:r>
        <w:rPr>
          <w:i/>
          <w:iCs/>
          <w:lang w:val="en-US"/>
        </w:rPr>
        <w:t>.</w:t>
      </w:r>
      <w:r>
        <w:rPr>
          <w:i/>
          <w:iCs/>
        </w:rPr>
        <w:t>ά</w:t>
      </w:r>
      <w:r>
        <w:rPr>
          <w:i/>
          <w:iCs/>
          <w:lang w:val="en-US"/>
        </w:rPr>
        <w:t>.</w:t>
      </w:r>
      <w:r>
        <w:rPr>
          <w:lang w:val="en-US"/>
        </w:rPr>
        <w:t xml:space="preserve">, ‘Age- and weight group-specific weight gain patterns in children and adolescents during the 15 years before and during the COVID-19 pandemic’, </w:t>
      </w:r>
      <w:r>
        <w:rPr>
          <w:i/>
          <w:iCs/>
          <w:lang w:val="en-US"/>
        </w:rPr>
        <w:t>Int. J. Obes.</w:t>
      </w:r>
      <w:r>
        <w:rPr>
          <w:lang w:val="en-US"/>
        </w:rPr>
        <w:t xml:space="preserve">, </w:t>
      </w:r>
      <w:r>
        <w:rPr/>
        <w:t>τ</w:t>
      </w:r>
      <w:r>
        <w:rPr>
          <w:lang w:val="en-US"/>
        </w:rPr>
        <w:t xml:space="preserve">. 46, </w:t>
      </w:r>
      <w:r>
        <w:rPr/>
        <w:t>τχ</w:t>
      </w:r>
      <w:r>
        <w:rPr>
          <w:lang w:val="en-US"/>
        </w:rPr>
        <w:t xml:space="preserve">. 1, Art. </w:t>
      </w:r>
      <w:r>
        <w:rPr/>
        <w:t>τχ</w:t>
      </w:r>
      <w:r>
        <w:rPr>
          <w:lang w:val="en-US"/>
        </w:rPr>
        <w:t xml:space="preserve">. 1, </w:t>
      </w:r>
      <w:r>
        <w:rPr/>
        <w:t>Ιανουαρίου</w:t>
      </w:r>
      <w:r>
        <w:rPr>
          <w:lang w:val="en-US"/>
        </w:rPr>
        <w:t xml:space="preserve"> 2022, doi: 10.1038/s41366-021-00968-2.</w:t>
      </w:r>
    </w:p>
    <w:p>
      <w:pPr>
        <w:pStyle w:val="Normal"/>
        <w:widowControl w:val="false"/>
        <w:spacing w:before="0" w:after="240"/>
        <w:jc w:val="both"/>
        <w:rPr>
          <w:lang w:val="en-US"/>
        </w:rPr>
      </w:pPr>
      <w:r>
        <w:rPr>
          <w:lang w:val="en-US"/>
        </w:rPr>
        <w:t>[42]</w:t>
        <w:tab/>
        <w:t xml:space="preserve">J. P </w:t>
      </w:r>
      <w:r>
        <w:rPr>
          <w:i/>
          <w:iCs/>
        </w:rPr>
        <w:t>κ</w:t>
      </w:r>
      <w:r>
        <w:rPr>
          <w:i/>
          <w:iCs/>
          <w:lang w:val="en-US"/>
        </w:rPr>
        <w:t>.</w:t>
      </w:r>
      <w:r>
        <w:rPr>
          <w:i/>
          <w:iCs/>
        </w:rPr>
        <w:t>ά</w:t>
      </w:r>
      <w:r>
        <w:rPr>
          <w:i/>
          <w:iCs/>
          <w:lang w:val="en-US"/>
        </w:rPr>
        <w:t>.</w:t>
      </w:r>
      <w:r>
        <w:rPr>
          <w:lang w:val="en-US"/>
        </w:rPr>
        <w:t xml:space="preserve">, ‘Impact of COVID-19 lockdown on activity patterns and weight status among youths in China: the COVID-19 Impact on Lifestyle Change Survey (COINLICS)’, </w:t>
      </w:r>
      <w:r>
        <w:rPr>
          <w:i/>
          <w:iCs/>
          <w:lang w:val="en-US"/>
        </w:rPr>
        <w:t>Int. J. Obes. 2005</w:t>
      </w:r>
      <w:r>
        <w:rPr>
          <w:lang w:val="en-US"/>
        </w:rPr>
        <w:t xml:space="preserve">, </w:t>
      </w:r>
      <w:r>
        <w:rPr/>
        <w:t>τ</w:t>
      </w:r>
      <w:r>
        <w:rPr>
          <w:lang w:val="en-US"/>
        </w:rPr>
        <w:t xml:space="preserve">. 45, </w:t>
      </w:r>
      <w:r>
        <w:rPr/>
        <w:t>τχ</w:t>
      </w:r>
      <w:r>
        <w:rPr>
          <w:lang w:val="en-US"/>
        </w:rPr>
        <w:t xml:space="preserve">. 3, </w:t>
      </w:r>
      <w:r>
        <w:rPr/>
        <w:t>Μαρτίου</w:t>
      </w:r>
      <w:r>
        <w:rPr>
          <w:lang w:val="en-US"/>
        </w:rPr>
        <w:t xml:space="preserve"> 2021, doi: 10.1038/s41366-020-00710-4.</w:t>
      </w:r>
    </w:p>
    <w:p>
      <w:pPr>
        <w:pStyle w:val="Normal"/>
        <w:widowControl w:val="false"/>
        <w:spacing w:before="0" w:after="240"/>
        <w:jc w:val="both"/>
        <w:rPr>
          <w:lang w:val="en-US"/>
        </w:rPr>
      </w:pPr>
      <w:r>
        <w:rPr>
          <w:lang w:val="en-US"/>
        </w:rPr>
        <w:t>[43]</w:t>
        <w:tab/>
        <w:t xml:space="preserve">P. A </w:t>
      </w:r>
      <w:r>
        <w:rPr>
          <w:i/>
          <w:iCs/>
        </w:rPr>
        <w:t>κ</w:t>
      </w:r>
      <w:r>
        <w:rPr>
          <w:i/>
          <w:iCs/>
          <w:lang w:val="en-US"/>
        </w:rPr>
        <w:t>.</w:t>
      </w:r>
      <w:r>
        <w:rPr>
          <w:i/>
          <w:iCs/>
        </w:rPr>
        <w:t>ά</w:t>
      </w:r>
      <w:r>
        <w:rPr>
          <w:i/>
          <w:iCs/>
          <w:lang w:val="en-US"/>
        </w:rPr>
        <w:t>.</w:t>
      </w:r>
      <w:r>
        <w:rPr>
          <w:lang w:val="en-US"/>
        </w:rPr>
        <w:t xml:space="preserve">, ‘Effects of COVID-19 Lockdown on Lifestyle Behaviors in Children with Obesity Living in Verona, Italy: A Longitudinal Study’, </w:t>
      </w:r>
      <w:r>
        <w:rPr>
          <w:i/>
          <w:iCs/>
          <w:lang w:val="en-US"/>
        </w:rPr>
        <w:t>Obes. Silver Spring Md</w:t>
      </w:r>
      <w:r>
        <w:rPr>
          <w:lang w:val="en-US"/>
        </w:rPr>
        <w:t xml:space="preserve">, </w:t>
      </w:r>
      <w:r>
        <w:rPr/>
        <w:t>τ</w:t>
      </w:r>
      <w:r>
        <w:rPr>
          <w:lang w:val="en-US"/>
        </w:rPr>
        <w:t xml:space="preserve">. 28, </w:t>
      </w:r>
      <w:r>
        <w:rPr/>
        <w:t>τχ</w:t>
      </w:r>
      <w:r>
        <w:rPr>
          <w:lang w:val="en-US"/>
        </w:rPr>
        <w:t xml:space="preserve">. 8, </w:t>
      </w:r>
      <w:r>
        <w:rPr/>
        <w:t>Αυγούστου</w:t>
      </w:r>
      <w:r>
        <w:rPr>
          <w:lang w:val="en-US"/>
        </w:rPr>
        <w:t xml:space="preserve"> 2020, doi: 10.1002/oby.22861.</w:t>
      </w:r>
    </w:p>
    <w:p>
      <w:pPr>
        <w:pStyle w:val="Normal"/>
        <w:widowControl w:val="false"/>
        <w:spacing w:before="0" w:after="240"/>
        <w:jc w:val="both"/>
        <w:rPr>
          <w:lang w:val="en-US"/>
        </w:rPr>
      </w:pPr>
      <w:r>
        <w:rPr>
          <w:lang w:val="en-US"/>
        </w:rPr>
        <w:t>[44]</w:t>
        <w:tab/>
        <w:t xml:space="preserve">R. J. F. Loos </w:t>
      </w:r>
      <w:r>
        <w:rPr/>
        <w:t>και</w:t>
      </w:r>
      <w:r>
        <w:rPr>
          <w:lang w:val="en-US"/>
        </w:rPr>
        <w:t xml:space="preserve"> G. S. H. Yeo, ‘The genetics of obesity: from discovery to biology’, </w:t>
      </w:r>
      <w:r>
        <w:rPr>
          <w:i/>
          <w:iCs/>
          <w:lang w:val="en-US"/>
        </w:rPr>
        <w:t>Nat. Rev. Genet.</w:t>
      </w:r>
      <w:r>
        <w:rPr>
          <w:lang w:val="en-US"/>
        </w:rPr>
        <w:t xml:space="preserve">, </w:t>
      </w:r>
      <w:r>
        <w:rPr/>
        <w:t>τ</w:t>
      </w:r>
      <w:r>
        <w:rPr>
          <w:lang w:val="en-US"/>
        </w:rPr>
        <w:t xml:space="preserve">. 23, </w:t>
      </w:r>
      <w:r>
        <w:rPr/>
        <w:t>τχ</w:t>
      </w:r>
      <w:r>
        <w:rPr>
          <w:lang w:val="en-US"/>
        </w:rPr>
        <w:t xml:space="preserve">. 2, </w:t>
      </w:r>
      <w:r>
        <w:rPr/>
        <w:t>σσ</w:t>
      </w:r>
      <w:r>
        <w:rPr>
          <w:lang w:val="en-US"/>
        </w:rPr>
        <w:t xml:space="preserve">. 120–133, </w:t>
      </w:r>
      <w:r>
        <w:rPr/>
        <w:t>Φεβρουαρίου</w:t>
      </w:r>
      <w:r>
        <w:rPr>
          <w:lang w:val="en-US"/>
        </w:rPr>
        <w:t xml:space="preserve"> 2022, doi: 10.1038/s41576-021-00414-z.</w:t>
      </w:r>
    </w:p>
    <w:p>
      <w:pPr>
        <w:pStyle w:val="Normal"/>
        <w:widowControl w:val="false"/>
        <w:spacing w:before="0" w:after="240"/>
        <w:jc w:val="both"/>
        <w:rPr/>
      </w:pPr>
      <w:r>
        <w:rPr>
          <w:lang w:val="en-US"/>
        </w:rPr>
        <w:t>[45]</w:t>
        <w:tab/>
        <w:t xml:space="preserve">‘The Social-Ecological Model: A Framework for Prevention |Violence Prevention|Injury Center|CDC’. </w:t>
      </w:r>
      <w:r>
        <w:rPr/>
        <w:t>Ημερομηνία πρόσβασης: 18 Νοέμβριος 2023. [Έκδοση σε ψηφιακή μορφή]. Διαθέσιμο στο: https://www.cdc.gov/violenceprevention/about/social-ecologicalmodel.html</w:t>
      </w:r>
    </w:p>
    <w:p>
      <w:pPr>
        <w:pStyle w:val="Normal"/>
        <w:widowControl w:val="false"/>
        <w:spacing w:before="0" w:after="240"/>
        <w:jc w:val="both"/>
        <w:rPr/>
      </w:pPr>
      <w:r>
        <w:rPr>
          <w:lang w:val="en-US"/>
        </w:rPr>
        <w:t>[46]</w:t>
        <w:tab/>
        <w:t xml:space="preserve">‘Childhood obesity: five facts about the WHO European Region’. </w:t>
      </w:r>
      <w:r>
        <w:rPr/>
        <w:t>Ημερομηνία πρόσβασης: 18 Νοέμβριος 2023. [Έκδοση σε ψηφιακή μορφή]. Διαθέσιμο στο: https://www.who.int/europe/news/item/03-03-2023-childhood-obesity--five-facts-about-the-who-european-region</w:t>
      </w:r>
    </w:p>
    <w:p>
      <w:pPr>
        <w:pStyle w:val="Normal"/>
        <w:widowControl w:val="false"/>
        <w:spacing w:before="0" w:after="240"/>
        <w:jc w:val="both"/>
        <w:rPr>
          <w:lang w:val="en-US"/>
        </w:rPr>
      </w:pPr>
      <w:r>
        <w:rPr>
          <w:lang w:val="en-US"/>
        </w:rPr>
        <w:t>[47]</w:t>
        <w:tab/>
        <w:t xml:space="preserve">T. V. E. Kral </w:t>
      </w:r>
      <w:r>
        <w:rPr/>
        <w:t>και</w:t>
      </w:r>
      <w:r>
        <w:rPr>
          <w:lang w:val="en-US"/>
        </w:rPr>
        <w:t xml:space="preserve"> E. M. Rauh, ‘Eating Behaviors of Children in the Context of Their Family Environment’, </w:t>
      </w:r>
      <w:r>
        <w:rPr>
          <w:i/>
          <w:iCs/>
          <w:lang w:val="en-US"/>
        </w:rPr>
        <w:t>Physiol. Behav.</w:t>
      </w:r>
      <w:r>
        <w:rPr>
          <w:lang w:val="en-US"/>
        </w:rPr>
        <w:t>, 2010, doi: 10.1016/j.physbeh.2010.04.031.</w:t>
      </w:r>
    </w:p>
    <w:p>
      <w:pPr>
        <w:pStyle w:val="Normal"/>
        <w:widowControl w:val="false"/>
        <w:spacing w:before="0" w:after="240"/>
        <w:jc w:val="both"/>
        <w:rPr>
          <w:lang w:val="en-US"/>
        </w:rPr>
      </w:pPr>
      <w:r>
        <w:rPr>
          <w:lang w:val="en-US"/>
        </w:rPr>
        <w:t>[48]</w:t>
        <w:tab/>
        <w:t xml:space="preserve">B. Xi </w:t>
      </w:r>
      <w:r>
        <w:rPr>
          <w:i/>
          <w:iCs/>
        </w:rPr>
        <w:t>κ</w:t>
      </w:r>
      <w:r>
        <w:rPr>
          <w:i/>
          <w:iCs/>
          <w:lang w:val="en-US"/>
        </w:rPr>
        <w:t>.</w:t>
      </w:r>
      <w:r>
        <w:rPr>
          <w:i/>
          <w:iCs/>
        </w:rPr>
        <w:t>ά</w:t>
      </w:r>
      <w:r>
        <w:rPr>
          <w:i/>
          <w:iCs/>
          <w:lang w:val="en-US"/>
        </w:rPr>
        <w:t>.</w:t>
      </w:r>
      <w:r>
        <w:rPr>
          <w:lang w:val="en-US"/>
        </w:rPr>
        <w:t xml:space="preserve">, ‘The common rs9939609 variant of the fat mass and obesity-associated gene is associated with obesity risk in children and adolescents of Beijing, China’, </w:t>
      </w:r>
      <w:r>
        <w:rPr>
          <w:i/>
          <w:iCs/>
          <w:lang w:val="en-US"/>
        </w:rPr>
        <w:t>BMC Med. Genet.</w:t>
      </w:r>
      <w:r>
        <w:rPr>
          <w:lang w:val="en-US"/>
        </w:rPr>
        <w:t xml:space="preserve">, </w:t>
      </w:r>
      <w:r>
        <w:rPr/>
        <w:t>τ</w:t>
      </w:r>
      <w:r>
        <w:rPr>
          <w:lang w:val="en-US"/>
        </w:rPr>
        <w:t xml:space="preserve">. 11, </w:t>
      </w:r>
      <w:r>
        <w:rPr/>
        <w:t>σ</w:t>
      </w:r>
      <w:r>
        <w:rPr>
          <w:lang w:val="en-US"/>
        </w:rPr>
        <w:t>. 107, 2010, doi: 10.1186/1471-2350-11-107.</w:t>
      </w:r>
    </w:p>
    <w:p>
      <w:pPr>
        <w:pStyle w:val="Normal"/>
        <w:widowControl w:val="false"/>
        <w:spacing w:before="0" w:after="240"/>
        <w:jc w:val="both"/>
        <w:rPr>
          <w:lang w:val="en-US"/>
        </w:rPr>
      </w:pPr>
      <w:r>
        <w:rPr>
          <w:lang w:val="en-US"/>
        </w:rPr>
        <w:t>[49]</w:t>
        <w:tab/>
        <w:t xml:space="preserve">L. C, M. S, </w:t>
      </w:r>
      <w:r>
        <w:rPr/>
        <w:t>και</w:t>
      </w:r>
      <w:r>
        <w:rPr>
          <w:lang w:val="en-US"/>
        </w:rPr>
        <w:t xml:space="preserve"> C. Y, ‘FTO gene variant and risk of overweight and obesity among children and adolescents: a systematic review and meta-analysis’, </w:t>
      </w:r>
      <w:r>
        <w:rPr>
          <w:i/>
          <w:iCs/>
          <w:lang w:val="en-US"/>
        </w:rPr>
        <w:t>PloS One</w:t>
      </w:r>
      <w:r>
        <w:rPr>
          <w:lang w:val="en-US"/>
        </w:rPr>
        <w:t xml:space="preserve">, </w:t>
      </w:r>
      <w:r>
        <w:rPr/>
        <w:t>τ</w:t>
      </w:r>
      <w:r>
        <w:rPr>
          <w:lang w:val="en-US"/>
        </w:rPr>
        <w:t xml:space="preserve">. 8, </w:t>
      </w:r>
      <w:r>
        <w:rPr/>
        <w:t>τχ</w:t>
      </w:r>
      <w:r>
        <w:rPr>
          <w:lang w:val="en-US"/>
        </w:rPr>
        <w:t xml:space="preserve">. 11, </w:t>
      </w:r>
      <w:r>
        <w:rPr/>
        <w:t>Νοεμβρίου</w:t>
      </w:r>
      <w:r>
        <w:rPr>
          <w:lang w:val="en-US"/>
        </w:rPr>
        <w:t xml:space="preserve"> 2013, doi: 10.1371/journal.pone.0082133.</w:t>
      </w:r>
    </w:p>
    <w:p>
      <w:pPr>
        <w:pStyle w:val="Normal"/>
        <w:widowControl w:val="false"/>
        <w:spacing w:before="0" w:after="240"/>
        <w:jc w:val="both"/>
        <w:rPr>
          <w:lang w:val="en-US"/>
        </w:rPr>
      </w:pPr>
      <w:r>
        <w:rPr>
          <w:lang w:val="en-US"/>
        </w:rPr>
        <w:t>[50]</w:t>
        <w:tab/>
        <w:t xml:space="preserve">C. Liu, S. Mou, </w:t>
      </w:r>
      <w:r>
        <w:rPr/>
        <w:t>και</w:t>
      </w:r>
      <w:r>
        <w:rPr>
          <w:lang w:val="en-US"/>
        </w:rPr>
        <w:t xml:space="preserve"> Y. Cai, ‘FTO Gene Variant and Risk of Overweight and Obesity Among Children and Adolescents: A Systematic Review and Meta-Analysis’, </w:t>
      </w:r>
      <w:r>
        <w:rPr>
          <w:i/>
          <w:iCs/>
          <w:lang w:val="en-US"/>
        </w:rPr>
        <w:t>Plos One</w:t>
      </w:r>
      <w:r>
        <w:rPr>
          <w:lang w:val="en-US"/>
        </w:rPr>
        <w:t>, 2013, doi: 10.1371/journal.pone.0082133.</w:t>
      </w:r>
    </w:p>
    <w:p>
      <w:pPr>
        <w:pStyle w:val="Normal"/>
        <w:widowControl w:val="false"/>
        <w:spacing w:before="0" w:after="240"/>
        <w:jc w:val="both"/>
        <w:rPr>
          <w:lang w:val="en-US"/>
        </w:rPr>
      </w:pPr>
      <w:r>
        <w:rPr>
          <w:lang w:val="en-US"/>
        </w:rPr>
        <w:t>[51]</w:t>
        <w:tab/>
        <w:t xml:space="preserve">A. Moleres </w:t>
      </w:r>
      <w:r>
        <w:rPr>
          <w:i/>
          <w:iCs/>
        </w:rPr>
        <w:t>κ</w:t>
      </w:r>
      <w:r>
        <w:rPr>
          <w:i/>
          <w:iCs/>
          <w:lang w:val="en-US"/>
        </w:rPr>
        <w:t>.</w:t>
      </w:r>
      <w:r>
        <w:rPr>
          <w:i/>
          <w:iCs/>
        </w:rPr>
        <w:t>ά</w:t>
      </w:r>
      <w:r>
        <w:rPr>
          <w:i/>
          <w:iCs/>
          <w:lang w:val="en-US"/>
        </w:rPr>
        <w:t>.</w:t>
      </w:r>
      <w:r>
        <w:rPr>
          <w:lang w:val="en-US"/>
        </w:rPr>
        <w:t xml:space="preserve">, ‘Dietary Fatty Acid Distribution Modifies Obesity Risk Linked to the Rs9939609 Polymorphism of the Fat Mass and Obesity-Associated Gene in a Spanish Case–control Study of Children’, </w:t>
      </w:r>
      <w:r>
        <w:rPr>
          <w:i/>
          <w:iCs/>
          <w:lang w:val="en-US"/>
        </w:rPr>
        <w:t>Br. J. Nutr.</w:t>
      </w:r>
      <w:r>
        <w:rPr>
          <w:lang w:val="en-US"/>
        </w:rPr>
        <w:t>, 2011, doi: 10.1017/s0007114511003424.</w:t>
      </w:r>
    </w:p>
    <w:p>
      <w:pPr>
        <w:pStyle w:val="Normal"/>
        <w:widowControl w:val="false"/>
        <w:spacing w:before="0" w:after="240"/>
        <w:jc w:val="both"/>
        <w:rPr>
          <w:lang w:val="en-US"/>
        </w:rPr>
      </w:pPr>
      <w:r>
        <w:rPr>
          <w:lang w:val="en-US"/>
        </w:rPr>
        <w:t>[52]</w:t>
        <w:tab/>
        <w:t xml:space="preserve">R. Liu </w:t>
      </w:r>
      <w:r>
        <w:rPr>
          <w:i/>
          <w:iCs/>
        </w:rPr>
        <w:t>κ</w:t>
      </w:r>
      <w:r>
        <w:rPr>
          <w:i/>
          <w:iCs/>
          <w:lang w:val="en-US"/>
        </w:rPr>
        <w:t>.</w:t>
      </w:r>
      <w:r>
        <w:rPr>
          <w:i/>
          <w:iCs/>
        </w:rPr>
        <w:t>ά</w:t>
      </w:r>
      <w:r>
        <w:rPr>
          <w:i/>
          <w:iCs/>
          <w:lang w:val="en-US"/>
        </w:rPr>
        <w:t>.</w:t>
      </w:r>
      <w:r>
        <w:rPr>
          <w:lang w:val="en-US"/>
        </w:rPr>
        <w:t xml:space="preserve">, ‘Genomic epidemiology of SARS-CoV-2 in the UAE reveals novel virus mutation, patterns of co-infection and tissue specific host immune response’, </w:t>
      </w:r>
      <w:r>
        <w:rPr>
          <w:i/>
          <w:iCs/>
          <w:lang w:val="en-US"/>
        </w:rPr>
        <w:t>Sci. Rep.</w:t>
      </w:r>
      <w:r>
        <w:rPr>
          <w:lang w:val="en-US"/>
        </w:rPr>
        <w:t xml:space="preserve">, </w:t>
      </w:r>
      <w:r>
        <w:rPr/>
        <w:t>τ</w:t>
      </w:r>
      <w:r>
        <w:rPr>
          <w:lang w:val="en-US"/>
        </w:rPr>
        <w:t xml:space="preserve">. 11, </w:t>
      </w:r>
      <w:r>
        <w:rPr/>
        <w:t>τχ</w:t>
      </w:r>
      <w:r>
        <w:rPr>
          <w:lang w:val="en-US"/>
        </w:rPr>
        <w:t xml:space="preserve">. 1, Art. </w:t>
      </w:r>
      <w:r>
        <w:rPr/>
        <w:t>τχ</w:t>
      </w:r>
      <w:r>
        <w:rPr>
          <w:lang w:val="en-US"/>
        </w:rPr>
        <w:t xml:space="preserve">. 1, </w:t>
      </w:r>
      <w:r>
        <w:rPr/>
        <w:t>Ιουλίου</w:t>
      </w:r>
      <w:r>
        <w:rPr>
          <w:lang w:val="en-US"/>
        </w:rPr>
        <w:t xml:space="preserve"> 2021, doi: 10.1038/s41598-021-92851-3.</w:t>
      </w:r>
    </w:p>
    <w:p>
      <w:pPr>
        <w:pStyle w:val="Normal"/>
        <w:widowControl w:val="false"/>
        <w:spacing w:before="0" w:after="240"/>
        <w:jc w:val="both"/>
        <w:rPr>
          <w:lang w:val="en-US"/>
        </w:rPr>
      </w:pPr>
      <w:r>
        <w:rPr>
          <w:lang w:val="en-US"/>
        </w:rPr>
        <w:t>[53]</w:t>
        <w:tab/>
        <w:t xml:space="preserve">K.-S. Kang, ‘Nutritional Counseling for Obese Children With Obesity-Related Metabolic Abnormalities in Korea’, </w:t>
      </w:r>
      <w:r>
        <w:rPr>
          <w:i/>
          <w:iCs/>
          <w:lang w:val="en-US"/>
        </w:rPr>
        <w:t>Pediatr. Gastroenterol. Hepatol. Nutr.</w:t>
      </w:r>
      <w:r>
        <w:rPr>
          <w:lang w:val="en-US"/>
        </w:rPr>
        <w:t>, 2017, doi: 10.5223/pghn.2017.20.2.71.</w:t>
      </w:r>
    </w:p>
    <w:p>
      <w:pPr>
        <w:pStyle w:val="Normal"/>
        <w:widowControl w:val="false"/>
        <w:spacing w:before="0" w:after="240"/>
        <w:jc w:val="both"/>
        <w:rPr>
          <w:lang w:val="en-US"/>
        </w:rPr>
      </w:pPr>
      <w:r>
        <w:rPr>
          <w:lang w:val="en-US"/>
        </w:rPr>
        <w:t>[54]</w:t>
        <w:tab/>
        <w:t xml:space="preserve">N. Panera, C. Mandato, A. Crudele, S. Bertrando, P. Vajro, </w:t>
      </w:r>
      <w:r>
        <w:rPr/>
        <w:t>και</w:t>
      </w:r>
      <w:r>
        <w:rPr>
          <w:lang w:val="en-US"/>
        </w:rPr>
        <w:t xml:space="preserve"> A. Alisi, ‘Genetics, epigenetics and transgenerational transmission of obesity in children’, </w:t>
      </w:r>
      <w:r>
        <w:rPr>
          <w:i/>
          <w:iCs/>
          <w:lang w:val="en-US"/>
        </w:rPr>
        <w:t>Front. Endocrinol.</w:t>
      </w:r>
      <w:r>
        <w:rPr>
          <w:lang w:val="en-US"/>
        </w:rPr>
        <w:t xml:space="preserve">, </w:t>
      </w:r>
      <w:r>
        <w:rPr/>
        <w:t>τ</w:t>
      </w:r>
      <w:r>
        <w:rPr>
          <w:lang w:val="en-US"/>
        </w:rPr>
        <w:t xml:space="preserve">. 13, </w:t>
      </w:r>
      <w:r>
        <w:rPr/>
        <w:t>σ</w:t>
      </w:r>
      <w:r>
        <w:rPr>
          <w:lang w:val="en-US"/>
        </w:rPr>
        <w:t xml:space="preserve">. 1006008, </w:t>
      </w:r>
      <w:r>
        <w:rPr/>
        <w:t>Νοεμβρίου</w:t>
      </w:r>
      <w:r>
        <w:rPr>
          <w:lang w:val="en-US"/>
        </w:rPr>
        <w:t xml:space="preserve"> 2022, doi: 10.3389/fendo.2022.1006008.</w:t>
      </w:r>
    </w:p>
    <w:p>
      <w:pPr>
        <w:pStyle w:val="Normal"/>
        <w:widowControl w:val="false"/>
        <w:spacing w:before="0" w:after="240"/>
        <w:jc w:val="both"/>
        <w:rPr>
          <w:lang w:val="en-US"/>
        </w:rPr>
      </w:pPr>
      <w:r>
        <w:rPr>
          <w:lang w:val="en-US"/>
        </w:rPr>
        <w:t>[55]</w:t>
        <w:tab/>
        <w:t xml:space="preserve">‘Parental Obesity and Risk of Autism Spectrum Disorder’, </w:t>
      </w:r>
      <w:r>
        <w:rPr>
          <w:i/>
          <w:iCs/>
          <w:lang w:val="en-US"/>
        </w:rPr>
        <w:t>Pediatrics</w:t>
      </w:r>
      <w:r>
        <w:rPr>
          <w:lang w:val="en-US"/>
        </w:rPr>
        <w:t>, 2014, doi: 10.1542/peds.2013-3664d.</w:t>
      </w:r>
    </w:p>
    <w:p>
      <w:pPr>
        <w:pStyle w:val="Normal"/>
        <w:widowControl w:val="false"/>
        <w:spacing w:before="0" w:after="240"/>
        <w:jc w:val="both"/>
        <w:rPr>
          <w:lang w:val="en-US"/>
        </w:rPr>
      </w:pPr>
      <w:r>
        <w:rPr>
          <w:lang w:val="en-US"/>
        </w:rPr>
        <w:t>[56]</w:t>
        <w:tab/>
        <w:t xml:space="preserve">N. Tinanoff </w:t>
      </w:r>
      <w:r>
        <w:rPr/>
        <w:t>και</w:t>
      </w:r>
      <w:r>
        <w:rPr>
          <w:lang w:val="en-US"/>
        </w:rPr>
        <w:t xml:space="preserve"> K. Holt, ‘Introduction to Proceedings of Healthy Futures: Engaging the Oral Health Community in Childhood Obesity Prevention National Conference’, </w:t>
      </w:r>
      <w:r>
        <w:rPr>
          <w:i/>
          <w:iCs/>
          <w:lang w:val="en-US"/>
        </w:rPr>
        <w:t>J. Public Health Dent.</w:t>
      </w:r>
      <w:r>
        <w:rPr>
          <w:lang w:val="en-US"/>
        </w:rPr>
        <w:t>, 2017, doi: 10.1111/jphd.12218.</w:t>
      </w:r>
    </w:p>
    <w:p>
      <w:pPr>
        <w:pStyle w:val="Normal"/>
        <w:widowControl w:val="false"/>
        <w:spacing w:before="0" w:after="240"/>
        <w:jc w:val="both"/>
        <w:rPr>
          <w:lang w:val="en-US"/>
        </w:rPr>
      </w:pPr>
      <w:r>
        <w:rPr>
          <w:lang w:val="en-US"/>
        </w:rPr>
        <w:t>[57]</w:t>
        <w:tab/>
        <w:t xml:space="preserve">B. Leppert </w:t>
      </w:r>
      <w:r>
        <w:rPr>
          <w:i/>
          <w:iCs/>
        </w:rPr>
        <w:t>κ</w:t>
      </w:r>
      <w:r>
        <w:rPr>
          <w:i/>
          <w:iCs/>
          <w:lang w:val="en-US"/>
        </w:rPr>
        <w:t>.</w:t>
      </w:r>
      <w:r>
        <w:rPr>
          <w:i/>
          <w:iCs/>
        </w:rPr>
        <w:t>ά</w:t>
      </w:r>
      <w:r>
        <w:rPr>
          <w:i/>
          <w:iCs/>
          <w:lang w:val="en-US"/>
        </w:rPr>
        <w:t>.</w:t>
      </w:r>
      <w:r>
        <w:rPr>
          <w:lang w:val="en-US"/>
        </w:rPr>
        <w:t>, ‘ADHD Genetic Liability and Physical Health Outcomes - A Two-Sample Mendelian Randomization Study’, 2019, doi: 10.1101/630467.</w:t>
      </w:r>
    </w:p>
    <w:p>
      <w:pPr>
        <w:pStyle w:val="Normal"/>
        <w:widowControl w:val="false"/>
        <w:spacing w:before="0" w:after="240"/>
        <w:jc w:val="both"/>
        <w:rPr>
          <w:lang w:val="en-US"/>
        </w:rPr>
      </w:pPr>
      <w:r>
        <w:rPr>
          <w:lang w:val="en-US"/>
        </w:rPr>
        <w:t>[58]</w:t>
        <w:tab/>
        <w:t xml:space="preserve">L. Lingard, ‘Joining a conversation: the problem/gap/hook heuristic’, </w:t>
      </w:r>
      <w:r>
        <w:rPr>
          <w:i/>
          <w:iCs/>
          <w:lang w:val="en-US"/>
        </w:rPr>
        <w:t>Perspect. Med. Educ.</w:t>
      </w:r>
      <w:r>
        <w:rPr>
          <w:lang w:val="en-US"/>
        </w:rPr>
        <w:t xml:space="preserve">, </w:t>
      </w:r>
      <w:r>
        <w:rPr/>
        <w:t>τ</w:t>
      </w:r>
      <w:r>
        <w:rPr>
          <w:lang w:val="en-US"/>
        </w:rPr>
        <w:t xml:space="preserve">. 4, </w:t>
      </w:r>
      <w:r>
        <w:rPr/>
        <w:t>τχ</w:t>
      </w:r>
      <w:r>
        <w:rPr>
          <w:lang w:val="en-US"/>
        </w:rPr>
        <w:t xml:space="preserve">. 5, </w:t>
      </w:r>
      <w:r>
        <w:rPr/>
        <w:t>σσ</w:t>
      </w:r>
      <w:r>
        <w:rPr>
          <w:lang w:val="en-US"/>
        </w:rPr>
        <w:t xml:space="preserve">. 252–253, </w:t>
      </w:r>
      <w:r>
        <w:rPr/>
        <w:t>Σεπτεμβρίου</w:t>
      </w:r>
      <w:r>
        <w:rPr>
          <w:lang w:val="en-US"/>
        </w:rPr>
        <w:t xml:space="preserve"> 2015, doi: 10.1007/S40037-015-0211-Y.</w:t>
      </w:r>
    </w:p>
    <w:p>
      <w:pPr>
        <w:pStyle w:val="Normal"/>
        <w:widowControl w:val="false"/>
        <w:spacing w:before="0" w:after="240"/>
        <w:jc w:val="both"/>
        <w:rPr>
          <w:lang w:val="en-US"/>
        </w:rPr>
      </w:pPr>
      <w:r>
        <w:rPr>
          <w:lang w:val="en-US"/>
        </w:rPr>
        <w:t>[59]</w:t>
        <w:tab/>
        <w:t xml:space="preserve">L. Poston </w:t>
      </w:r>
      <w:r>
        <w:rPr/>
        <w:t>και</w:t>
      </w:r>
      <w:r>
        <w:rPr>
          <w:lang w:val="en-US"/>
        </w:rPr>
        <w:t xml:space="preserve"> E. L. Boyer, ‘Scholarship Reconsidered: Priorities of the Professoriate’, </w:t>
      </w:r>
      <w:r>
        <w:rPr>
          <w:i/>
          <w:iCs/>
          <w:lang w:val="en-US"/>
        </w:rPr>
        <w:t>Academe</w:t>
      </w:r>
      <w:r>
        <w:rPr>
          <w:lang w:val="en-US"/>
        </w:rPr>
        <w:t xml:space="preserve">, </w:t>
      </w:r>
      <w:r>
        <w:rPr/>
        <w:t>τ</w:t>
      </w:r>
      <w:r>
        <w:rPr>
          <w:lang w:val="en-US"/>
        </w:rPr>
        <w:t xml:space="preserve">. 78, </w:t>
      </w:r>
      <w:r>
        <w:rPr/>
        <w:t>τχ</w:t>
      </w:r>
      <w:r>
        <w:rPr>
          <w:lang w:val="en-US"/>
        </w:rPr>
        <w:t xml:space="preserve">. 4, </w:t>
      </w:r>
      <w:r>
        <w:rPr/>
        <w:t>σ</w:t>
      </w:r>
      <w:r>
        <w:rPr>
          <w:lang w:val="en-US"/>
        </w:rPr>
        <w:t>. 43, 1992, doi: 10.2307/40250362.</w:t>
      </w:r>
    </w:p>
    <w:p>
      <w:pPr>
        <w:pStyle w:val="Normal"/>
        <w:widowControl w:val="false"/>
        <w:spacing w:before="0" w:after="240"/>
        <w:jc w:val="both"/>
        <w:rPr>
          <w:lang w:val="en-US"/>
        </w:rPr>
      </w:pPr>
      <w:r>
        <w:rPr>
          <w:lang w:val="en-US"/>
        </w:rPr>
        <w:t>[60]</w:t>
        <w:tab/>
        <w:t xml:space="preserve">S. Cuda </w:t>
      </w:r>
      <w:r>
        <w:rPr>
          <w:i/>
          <w:iCs/>
        </w:rPr>
        <w:t>κ</w:t>
      </w:r>
      <w:r>
        <w:rPr>
          <w:i/>
          <w:iCs/>
          <w:lang w:val="en-US"/>
        </w:rPr>
        <w:t>.</w:t>
      </w:r>
      <w:r>
        <w:rPr>
          <w:i/>
          <w:iCs/>
        </w:rPr>
        <w:t>ά</w:t>
      </w:r>
      <w:r>
        <w:rPr>
          <w:i/>
          <w:iCs/>
          <w:lang w:val="en-US"/>
        </w:rPr>
        <w:t>.</w:t>
      </w:r>
      <w:r>
        <w:rPr>
          <w:lang w:val="en-US"/>
        </w:rPr>
        <w:t xml:space="preserve">, ‘Social consequences and genetics for the child with overweight and obesity: An obesity medicine association (OMA) clinical practice statement 2022’, </w:t>
      </w:r>
      <w:r>
        <w:rPr>
          <w:i/>
          <w:iCs/>
          <w:lang w:val="en-US"/>
        </w:rPr>
        <w:t>Obes. Pillars</w:t>
      </w:r>
      <w:r>
        <w:rPr>
          <w:lang w:val="en-US"/>
        </w:rPr>
        <w:t xml:space="preserve">, </w:t>
      </w:r>
      <w:r>
        <w:rPr/>
        <w:t>τ</w:t>
      </w:r>
      <w:r>
        <w:rPr>
          <w:lang w:val="en-US"/>
        </w:rPr>
        <w:t xml:space="preserve">. 3, </w:t>
      </w:r>
      <w:r>
        <w:rPr/>
        <w:t>σ</w:t>
      </w:r>
      <w:r>
        <w:rPr>
          <w:lang w:val="en-US"/>
        </w:rPr>
        <w:t xml:space="preserve">. 100032, </w:t>
      </w:r>
      <w:r>
        <w:rPr/>
        <w:t>Σεπτεμβρίου</w:t>
      </w:r>
      <w:r>
        <w:rPr>
          <w:lang w:val="en-US"/>
        </w:rPr>
        <w:t xml:space="preserve"> 2022, doi: 10.1016/j.obpill.2022.100032.</w:t>
      </w:r>
    </w:p>
    <w:p>
      <w:pPr>
        <w:pStyle w:val="Normal"/>
        <w:widowControl w:val="false"/>
        <w:spacing w:before="0" w:after="240"/>
        <w:jc w:val="both"/>
        <w:rPr>
          <w:lang w:val="en-US"/>
        </w:rPr>
      </w:pPr>
      <w:r>
        <w:rPr>
          <w:lang w:val="en-US"/>
        </w:rPr>
        <w:t>[61]</w:t>
        <w:tab/>
        <w:t xml:space="preserve">A. Crinò, D. Fintini, S. Bocchini, </w:t>
      </w:r>
      <w:r>
        <w:rPr/>
        <w:t>και</w:t>
      </w:r>
      <w:r>
        <w:rPr>
          <w:lang w:val="en-US"/>
        </w:rPr>
        <w:t xml:space="preserve"> G. Grugni, ‘Obesity management in Prader&amp;ndash;Willi syndrome: current perspectives’, </w:t>
      </w:r>
      <w:r>
        <w:rPr>
          <w:i/>
          <w:iCs/>
          <w:lang w:val="en-US"/>
        </w:rPr>
        <w:t>Diabetes Metab. Syndr. Obes.</w:t>
      </w:r>
      <w:r>
        <w:rPr>
          <w:lang w:val="en-US"/>
        </w:rPr>
        <w:t xml:space="preserve">, </w:t>
      </w:r>
      <w:r>
        <w:rPr/>
        <w:t>τ</w:t>
      </w:r>
      <w:r>
        <w:rPr>
          <w:lang w:val="en-US"/>
        </w:rPr>
        <w:t xml:space="preserve">. 11, </w:t>
      </w:r>
      <w:r>
        <w:rPr/>
        <w:t>σσ</w:t>
      </w:r>
      <w:r>
        <w:rPr>
          <w:lang w:val="en-US"/>
        </w:rPr>
        <w:t xml:space="preserve">. 579–593, </w:t>
      </w:r>
      <w:r>
        <w:rPr/>
        <w:t>Οκτωβρίου</w:t>
      </w:r>
      <w:r>
        <w:rPr>
          <w:lang w:val="en-US"/>
        </w:rPr>
        <w:t xml:space="preserve"> 2018, doi: 10.2147/DMSO.S141352.</w:t>
      </w:r>
    </w:p>
    <w:p>
      <w:pPr>
        <w:pStyle w:val="Normal"/>
        <w:widowControl w:val="false"/>
        <w:spacing w:before="0" w:after="240"/>
        <w:jc w:val="both"/>
        <w:rPr>
          <w:lang w:val="en-US"/>
        </w:rPr>
      </w:pPr>
      <w:r>
        <w:rPr>
          <w:lang w:val="en-US"/>
        </w:rPr>
        <w:t>[62]</w:t>
        <w:tab/>
        <w:t xml:space="preserve">J. Bohonowych, J. Miller, S. E. McCandless, </w:t>
      </w:r>
      <w:r>
        <w:rPr/>
        <w:t>και</w:t>
      </w:r>
      <w:r>
        <w:rPr>
          <w:lang w:val="en-US"/>
        </w:rPr>
        <w:t xml:space="preserve"> T. V. Strong, ‘The Global Prader–Willi Syndrome Registry: Development, Launch, and Early Demographics’, </w:t>
      </w:r>
      <w:r>
        <w:rPr>
          <w:i/>
          <w:iCs/>
          <w:lang w:val="en-US"/>
        </w:rPr>
        <w:t>Genes</w:t>
      </w:r>
      <w:r>
        <w:rPr>
          <w:lang w:val="en-US"/>
        </w:rPr>
        <w:t xml:space="preserve">, </w:t>
      </w:r>
      <w:r>
        <w:rPr/>
        <w:t>τ</w:t>
      </w:r>
      <w:r>
        <w:rPr>
          <w:lang w:val="en-US"/>
        </w:rPr>
        <w:t xml:space="preserve">. 10, </w:t>
      </w:r>
      <w:r>
        <w:rPr/>
        <w:t>τχ</w:t>
      </w:r>
      <w:r>
        <w:rPr>
          <w:lang w:val="en-US"/>
        </w:rPr>
        <w:t xml:space="preserve">. 9, Art. </w:t>
      </w:r>
      <w:r>
        <w:rPr/>
        <w:t>τχ</w:t>
      </w:r>
      <w:r>
        <w:rPr>
          <w:lang w:val="en-US"/>
        </w:rPr>
        <w:t xml:space="preserve">. 9, </w:t>
      </w:r>
      <w:r>
        <w:rPr/>
        <w:t>Σεπτεμβρίου</w:t>
      </w:r>
      <w:r>
        <w:rPr>
          <w:lang w:val="en-US"/>
        </w:rPr>
        <w:t xml:space="preserve"> 2019, doi: 10.3390/genes10090713.</w:t>
      </w:r>
    </w:p>
    <w:p>
      <w:pPr>
        <w:pStyle w:val="Normal"/>
        <w:widowControl w:val="false"/>
        <w:spacing w:before="0" w:after="240"/>
        <w:jc w:val="both"/>
        <w:rPr/>
      </w:pPr>
      <w:r>
        <w:rPr>
          <w:lang w:val="en-US"/>
        </w:rPr>
        <w:t>[63]</w:t>
        <w:tab/>
      </w:r>
      <w:r>
        <w:rPr>
          <w:i/>
          <w:iCs/>
          <w:lang w:val="en-US"/>
        </w:rPr>
        <w:t>Handbook of Clinical Pediatric Endocrinology</w:t>
      </w:r>
      <w:r>
        <w:rPr>
          <w:lang w:val="en-US"/>
        </w:rPr>
        <w:t xml:space="preserve">. </w:t>
      </w:r>
      <w:r>
        <w:rPr/>
        <w:t>Ημερομηνία πρόσβασης: 18 Νοέμβριος 2023. [Έκδοση σε ψηφιακή μορφή]. Διαθέσιμο στο: https://books.google.com/books/about/Handbook_of_Clinical_Pediatric_Endocrino.html?hl=el&amp;id=G7dvgevvLVEC</w:t>
      </w:r>
    </w:p>
    <w:p>
      <w:pPr>
        <w:pStyle w:val="Normal"/>
        <w:widowControl w:val="false"/>
        <w:spacing w:before="0" w:after="240"/>
        <w:jc w:val="both"/>
        <w:rPr>
          <w:lang w:val="en-US"/>
        </w:rPr>
      </w:pPr>
      <w:r>
        <w:rPr>
          <w:lang w:val="en-US"/>
        </w:rPr>
        <w:t>[64]</w:t>
        <w:tab/>
        <w:t xml:space="preserve">G. Muscogiuri </w:t>
      </w:r>
      <w:r>
        <w:rPr>
          <w:i/>
          <w:iCs/>
        </w:rPr>
        <w:t>κ</w:t>
      </w:r>
      <w:r>
        <w:rPr>
          <w:i/>
          <w:iCs/>
          <w:lang w:val="en-US"/>
        </w:rPr>
        <w:t>.</w:t>
      </w:r>
      <w:r>
        <w:rPr>
          <w:i/>
          <w:iCs/>
        </w:rPr>
        <w:t>ά</w:t>
      </w:r>
      <w:r>
        <w:rPr>
          <w:i/>
          <w:iCs/>
          <w:lang w:val="en-US"/>
        </w:rPr>
        <w:t>.</w:t>
      </w:r>
      <w:r>
        <w:rPr>
          <w:lang w:val="en-US"/>
        </w:rPr>
        <w:t xml:space="preserve">, ‘Obesity in Prader–Willi syndrome: physiopathological mechanisms, nutritional and pharmacological approaches’, </w:t>
      </w:r>
      <w:r>
        <w:rPr>
          <w:i/>
          <w:iCs/>
          <w:lang w:val="en-US"/>
        </w:rPr>
        <w:t>J. Endocrinol. Invest.</w:t>
      </w:r>
      <w:r>
        <w:rPr>
          <w:lang w:val="en-US"/>
        </w:rPr>
        <w:t xml:space="preserve">, </w:t>
      </w:r>
      <w:r>
        <w:rPr/>
        <w:t>τ</w:t>
      </w:r>
      <w:r>
        <w:rPr>
          <w:lang w:val="en-US"/>
        </w:rPr>
        <w:t xml:space="preserve">. 44, </w:t>
      </w:r>
      <w:r>
        <w:rPr/>
        <w:t>τχ</w:t>
      </w:r>
      <w:r>
        <w:rPr>
          <w:lang w:val="en-US"/>
        </w:rPr>
        <w:t xml:space="preserve">. 10, </w:t>
      </w:r>
      <w:r>
        <w:rPr/>
        <w:t>σσ</w:t>
      </w:r>
      <w:r>
        <w:rPr>
          <w:lang w:val="en-US"/>
        </w:rPr>
        <w:t xml:space="preserve">. 2057–2070, </w:t>
      </w:r>
      <w:r>
        <w:rPr/>
        <w:t>Οκτωβρίου</w:t>
      </w:r>
      <w:r>
        <w:rPr>
          <w:lang w:val="en-US"/>
        </w:rPr>
        <w:t xml:space="preserve"> 2021, doi: 10.1007/s40618-021-01574-9.</w:t>
      </w:r>
    </w:p>
    <w:p>
      <w:pPr>
        <w:pStyle w:val="Normal"/>
        <w:widowControl w:val="false"/>
        <w:spacing w:before="0" w:after="240"/>
        <w:jc w:val="both"/>
        <w:rPr>
          <w:lang w:val="en-US"/>
        </w:rPr>
      </w:pPr>
      <w:r>
        <w:rPr>
          <w:lang w:val="en-US"/>
        </w:rPr>
        <w:t>[65]</w:t>
        <w:tab/>
        <w:t xml:space="preserve">T. Q </w:t>
      </w:r>
      <w:r>
        <w:rPr>
          <w:i/>
          <w:iCs/>
        </w:rPr>
        <w:t>κ</w:t>
      </w:r>
      <w:r>
        <w:rPr>
          <w:i/>
          <w:iCs/>
          <w:lang w:val="en-US"/>
        </w:rPr>
        <w:t>.</w:t>
      </w:r>
      <w:r>
        <w:rPr>
          <w:i/>
          <w:iCs/>
        </w:rPr>
        <w:t>ά</w:t>
      </w:r>
      <w:r>
        <w:rPr>
          <w:i/>
          <w:iCs/>
          <w:lang w:val="en-US"/>
        </w:rPr>
        <w:t>.</w:t>
      </w:r>
      <w:r>
        <w:rPr>
          <w:lang w:val="en-US"/>
        </w:rPr>
        <w:t xml:space="preserve">, ‘Current and emerging therapies for managing hyperphagia and obesity in Prader-Willi syndrome: A narrative review’, </w:t>
      </w:r>
      <w:r>
        <w:rPr>
          <w:i/>
          <w:iCs/>
          <w:lang w:val="en-US"/>
        </w:rPr>
        <w:t>Obes. Rev. Off. J. Int. Assoc. Study Obes.</w:t>
      </w:r>
      <w:r>
        <w:rPr>
          <w:lang w:val="en-US"/>
        </w:rPr>
        <w:t xml:space="preserve">, </w:t>
      </w:r>
      <w:r>
        <w:rPr/>
        <w:t>τ</w:t>
      </w:r>
      <w:r>
        <w:rPr>
          <w:lang w:val="en-US"/>
        </w:rPr>
        <w:t xml:space="preserve">. 21, </w:t>
      </w:r>
      <w:r>
        <w:rPr/>
        <w:t>τχ</w:t>
      </w:r>
      <w:r>
        <w:rPr>
          <w:lang w:val="en-US"/>
        </w:rPr>
        <w:t xml:space="preserve">. 5, </w:t>
      </w:r>
      <w:r>
        <w:rPr/>
        <w:t>Δεκεμβρίου</w:t>
      </w:r>
      <w:r>
        <w:rPr>
          <w:lang w:val="en-US"/>
        </w:rPr>
        <w:t xml:space="preserve"> 2020, doi: 10.1111/obr.12992.</w:t>
      </w:r>
    </w:p>
    <w:p>
      <w:pPr>
        <w:pStyle w:val="Normal"/>
        <w:widowControl w:val="false"/>
        <w:spacing w:before="0" w:after="240"/>
        <w:jc w:val="both"/>
        <w:rPr>
          <w:lang w:val="en-US"/>
        </w:rPr>
      </w:pPr>
      <w:r>
        <w:rPr>
          <w:lang w:val="en-US"/>
        </w:rPr>
        <w:t>[66]</w:t>
        <w:tab/>
        <w:t xml:space="preserve">P. Jsa </w:t>
      </w:r>
      <w:r>
        <w:rPr>
          <w:i/>
          <w:iCs/>
        </w:rPr>
        <w:t>κ</w:t>
      </w:r>
      <w:r>
        <w:rPr>
          <w:i/>
          <w:iCs/>
          <w:lang w:val="en-US"/>
        </w:rPr>
        <w:t>.</w:t>
      </w:r>
      <w:r>
        <w:rPr>
          <w:i/>
          <w:iCs/>
        </w:rPr>
        <w:t>ά</w:t>
      </w:r>
      <w:r>
        <w:rPr>
          <w:i/>
          <w:iCs/>
          <w:lang w:val="en-US"/>
        </w:rPr>
        <w:t>.</w:t>
      </w:r>
      <w:r>
        <w:rPr>
          <w:lang w:val="en-US"/>
        </w:rPr>
        <w:t xml:space="preserve">, ‘ASMBS pediatric metabolic and bariatric surgery guidelines, 2018’, </w:t>
      </w:r>
      <w:r>
        <w:rPr>
          <w:i/>
          <w:iCs/>
          <w:lang w:val="en-US"/>
        </w:rPr>
        <w:t>Surg. Obes. Relat. Dis. Off. J. Am. Soc. Bariatr. Surg.</w:t>
      </w:r>
      <w:r>
        <w:rPr>
          <w:lang w:val="en-US"/>
        </w:rPr>
        <w:t xml:space="preserve">, </w:t>
      </w:r>
      <w:r>
        <w:rPr/>
        <w:t>τ</w:t>
      </w:r>
      <w:r>
        <w:rPr>
          <w:lang w:val="en-US"/>
        </w:rPr>
        <w:t xml:space="preserve">. 14, </w:t>
      </w:r>
      <w:r>
        <w:rPr/>
        <w:t>τχ</w:t>
      </w:r>
      <w:r>
        <w:rPr>
          <w:lang w:val="en-US"/>
        </w:rPr>
        <w:t xml:space="preserve">. 7, </w:t>
      </w:r>
      <w:r>
        <w:rPr/>
        <w:t>Ιουλίου</w:t>
      </w:r>
      <w:r>
        <w:rPr>
          <w:lang w:val="en-US"/>
        </w:rPr>
        <w:t xml:space="preserve"> 2018, doi: 10.1016/j.soard.2018.03.019.</w:t>
      </w:r>
    </w:p>
    <w:p>
      <w:pPr>
        <w:pStyle w:val="Normal"/>
        <w:widowControl w:val="false"/>
        <w:spacing w:before="0" w:after="240"/>
        <w:jc w:val="both"/>
        <w:rPr>
          <w:lang w:val="en-US"/>
        </w:rPr>
      </w:pPr>
      <w:r>
        <w:rPr>
          <w:lang w:val="en-US"/>
        </w:rPr>
        <w:t>[67]</w:t>
        <w:tab/>
        <w:t xml:space="preserve">W. K. Chung, ‘An Overview of Mongenic and Syndromic Obesities in Humans’, </w:t>
      </w:r>
      <w:r>
        <w:rPr>
          <w:i/>
          <w:iCs/>
          <w:lang w:val="en-US"/>
        </w:rPr>
        <w:t>Pediatr. Blood Cancer</w:t>
      </w:r>
      <w:r>
        <w:rPr>
          <w:lang w:val="en-US"/>
        </w:rPr>
        <w:t xml:space="preserve">, </w:t>
      </w:r>
      <w:r>
        <w:rPr/>
        <w:t>τ</w:t>
      </w:r>
      <w:r>
        <w:rPr>
          <w:lang w:val="en-US"/>
        </w:rPr>
        <w:t xml:space="preserve">. 58, </w:t>
      </w:r>
      <w:r>
        <w:rPr/>
        <w:t>τχ</w:t>
      </w:r>
      <w:r>
        <w:rPr>
          <w:lang w:val="en-US"/>
        </w:rPr>
        <w:t xml:space="preserve">. 1, </w:t>
      </w:r>
      <w:r>
        <w:rPr/>
        <w:t>σ</w:t>
      </w:r>
      <w:r>
        <w:rPr>
          <w:lang w:val="en-US"/>
        </w:rPr>
        <w:t xml:space="preserve">. 122, </w:t>
      </w:r>
      <w:r>
        <w:rPr/>
        <w:t>Ιανουαρίου</w:t>
      </w:r>
      <w:r>
        <w:rPr>
          <w:lang w:val="en-US"/>
        </w:rPr>
        <w:t xml:space="preserve"> 2012, doi: 10.1002/pbc.23372.</w:t>
      </w:r>
    </w:p>
    <w:p>
      <w:pPr>
        <w:pStyle w:val="Normal"/>
        <w:widowControl w:val="false"/>
        <w:spacing w:before="0" w:after="240"/>
        <w:jc w:val="both"/>
        <w:rPr>
          <w:lang w:val="en-US"/>
        </w:rPr>
      </w:pPr>
      <w:r>
        <w:rPr>
          <w:lang w:val="en-US"/>
        </w:rPr>
        <w:t>[68]</w:t>
        <w:tab/>
        <w:t xml:space="preserve">E. Forsythe, J. Kenny, C. Bacchelli, </w:t>
      </w:r>
      <w:r>
        <w:rPr/>
        <w:t>και</w:t>
      </w:r>
      <w:r>
        <w:rPr>
          <w:lang w:val="en-US"/>
        </w:rPr>
        <w:t xml:space="preserve"> P. L. Beales, ‘Managing Bardet–Biedl Syndrome—Now and in the Future’, </w:t>
      </w:r>
      <w:r>
        <w:rPr>
          <w:i/>
          <w:iCs/>
          <w:lang w:val="en-US"/>
        </w:rPr>
        <w:t>Front. Pediatr.</w:t>
      </w:r>
      <w:r>
        <w:rPr>
          <w:lang w:val="en-US"/>
        </w:rPr>
        <w:t xml:space="preserve">, </w:t>
      </w:r>
      <w:r>
        <w:rPr/>
        <w:t>τ</w:t>
      </w:r>
      <w:r>
        <w:rPr>
          <w:lang w:val="en-US"/>
        </w:rPr>
        <w:t xml:space="preserve">. 6, </w:t>
      </w:r>
      <w:r>
        <w:rPr/>
        <w:t>σ</w:t>
      </w:r>
      <w:r>
        <w:rPr>
          <w:lang w:val="en-US"/>
        </w:rPr>
        <w:t xml:space="preserve">. 341380, </w:t>
      </w:r>
      <w:r>
        <w:rPr/>
        <w:t>Φεβρουαρίου</w:t>
      </w:r>
      <w:r>
        <w:rPr>
          <w:lang w:val="en-US"/>
        </w:rPr>
        <w:t xml:space="preserve"> 2018, doi: 10.3389/fped.2018.00023.</w:t>
      </w:r>
    </w:p>
    <w:p>
      <w:pPr>
        <w:pStyle w:val="Normal"/>
        <w:widowControl w:val="false"/>
        <w:spacing w:before="0" w:after="240"/>
        <w:jc w:val="both"/>
        <w:rPr>
          <w:lang w:val="en-US"/>
        </w:rPr>
      </w:pPr>
      <w:r>
        <w:rPr>
          <w:lang w:val="en-US"/>
        </w:rPr>
        <w:t>[69]</w:t>
        <w:tab/>
        <w:t xml:space="preserve">H. Rm, G. G, H. Jc, Y. Ja, Y. G, </w:t>
      </w:r>
      <w:r>
        <w:rPr/>
        <w:t>και</w:t>
      </w:r>
      <w:r>
        <w:rPr>
          <w:lang w:val="en-US"/>
        </w:rPr>
        <w:t xml:space="preserve"> S. Mw, ‘The efficacy and safety of setmelanotide in individuals with Bardet-Biedl syndrome or Alström syndrome: Phase 3 trial design’, </w:t>
      </w:r>
      <w:r>
        <w:rPr>
          <w:i/>
          <w:iCs/>
          <w:lang w:val="en-US"/>
        </w:rPr>
        <w:t>Contemp. Clin. Trials Commun.</w:t>
      </w:r>
      <w:r>
        <w:rPr>
          <w:lang w:val="en-US"/>
        </w:rPr>
        <w:t xml:space="preserve">, </w:t>
      </w:r>
      <w:r>
        <w:rPr/>
        <w:t>τ</w:t>
      </w:r>
      <w:r>
        <w:rPr>
          <w:lang w:val="en-US"/>
        </w:rPr>
        <w:t xml:space="preserve">. 22, </w:t>
      </w:r>
      <w:r>
        <w:rPr/>
        <w:t>Μαρτίου</w:t>
      </w:r>
      <w:r>
        <w:rPr>
          <w:lang w:val="en-US"/>
        </w:rPr>
        <w:t xml:space="preserve"> 2021, doi: 10.1016/j.conctc.2021.100780.</w:t>
      </w:r>
    </w:p>
    <w:p>
      <w:pPr>
        <w:pStyle w:val="Normal"/>
        <w:widowControl w:val="false"/>
        <w:spacing w:before="0" w:after="240"/>
        <w:jc w:val="both"/>
        <w:rPr/>
      </w:pPr>
      <w:r>
        <w:rPr>
          <w:lang w:val="en-US"/>
        </w:rPr>
        <w:t>[70]</w:t>
        <w:tab/>
      </w:r>
      <w:r>
        <w:rPr>
          <w:i/>
          <w:iCs/>
          <w:lang w:val="en-US"/>
        </w:rPr>
        <w:t>Smith’s Recognizable Patterns of Human Malformation - E-Book</w:t>
      </w:r>
      <w:r>
        <w:rPr>
          <w:lang w:val="en-US"/>
        </w:rPr>
        <w:t xml:space="preserve">. </w:t>
      </w:r>
      <w:r>
        <w:rPr/>
        <w:t>Ημερομηνία πρόσβασης: 18 Νοέμβριος 2023. [Έκδοση σε ψηφιακή μορφή]. Διαθέσιμο στο: https://books.google.com/books/about/Smith_s_Recognizable_Patterns_of_Human_M.html?hl=el&amp;id=5wEhEAAAQBAJ</w:t>
      </w:r>
    </w:p>
    <w:p>
      <w:pPr>
        <w:pStyle w:val="Normal"/>
        <w:widowControl w:val="false"/>
        <w:spacing w:before="0" w:after="240"/>
        <w:jc w:val="both"/>
        <w:rPr>
          <w:lang w:val="en-US"/>
        </w:rPr>
      </w:pPr>
      <w:r>
        <w:rPr>
          <w:lang w:val="en-US"/>
        </w:rPr>
        <w:t>[71]</w:t>
        <w:tab/>
        <w:t xml:space="preserve">S. H. Littleton, R. I. Berkowitz, </w:t>
      </w:r>
      <w:r>
        <w:rPr/>
        <w:t>και</w:t>
      </w:r>
      <w:r>
        <w:rPr>
          <w:lang w:val="en-US"/>
        </w:rPr>
        <w:t xml:space="preserve"> S. F. A. Grant, ‘Genetic Determinants of Childhood Obesity’, </w:t>
      </w:r>
      <w:r>
        <w:rPr>
          <w:i/>
          <w:iCs/>
          <w:lang w:val="en-US"/>
        </w:rPr>
        <w:t>Mol. Diagn. Ther.</w:t>
      </w:r>
      <w:r>
        <w:rPr>
          <w:lang w:val="en-US"/>
        </w:rPr>
        <w:t xml:space="preserve">, </w:t>
      </w:r>
      <w:r>
        <w:rPr/>
        <w:t>τ</w:t>
      </w:r>
      <w:r>
        <w:rPr>
          <w:lang w:val="en-US"/>
        </w:rPr>
        <w:t xml:space="preserve">. 24, </w:t>
      </w:r>
      <w:r>
        <w:rPr/>
        <w:t>τχ</w:t>
      </w:r>
      <w:r>
        <w:rPr>
          <w:lang w:val="en-US"/>
        </w:rPr>
        <w:t xml:space="preserve">. 6, </w:t>
      </w:r>
      <w:r>
        <w:rPr/>
        <w:t>σσ</w:t>
      </w:r>
      <w:r>
        <w:rPr>
          <w:lang w:val="en-US"/>
        </w:rPr>
        <w:t xml:space="preserve">. 653–663, </w:t>
      </w:r>
      <w:r>
        <w:rPr/>
        <w:t>Δεκεμβρίου</w:t>
      </w:r>
      <w:r>
        <w:rPr>
          <w:lang w:val="en-US"/>
        </w:rPr>
        <w:t xml:space="preserve"> 2020, doi: 10.1007/s40291-020-00496-1.</w:t>
      </w:r>
    </w:p>
    <w:p>
      <w:pPr>
        <w:pStyle w:val="Normal"/>
        <w:widowControl w:val="false"/>
        <w:spacing w:before="0" w:after="240"/>
        <w:jc w:val="both"/>
        <w:rPr>
          <w:lang w:val="en-US"/>
        </w:rPr>
      </w:pPr>
      <w:r>
        <w:rPr>
          <w:lang w:val="en-US"/>
        </w:rPr>
        <w:t>[72]</w:t>
        <w:tab/>
        <w:t xml:space="preserve">M. G. Butler </w:t>
      </w:r>
      <w:r>
        <w:rPr>
          <w:i/>
          <w:iCs/>
        </w:rPr>
        <w:t>κ</w:t>
      </w:r>
      <w:r>
        <w:rPr>
          <w:i/>
          <w:iCs/>
          <w:lang w:val="en-US"/>
        </w:rPr>
        <w:t>.</w:t>
      </w:r>
      <w:r>
        <w:rPr>
          <w:i/>
          <w:iCs/>
        </w:rPr>
        <w:t>ά</w:t>
      </w:r>
      <w:r>
        <w:rPr>
          <w:i/>
          <w:iCs/>
          <w:lang w:val="en-US"/>
        </w:rPr>
        <w:t>.</w:t>
      </w:r>
      <w:r>
        <w:rPr>
          <w:lang w:val="en-US"/>
        </w:rPr>
        <w:t xml:space="preserve">, ‘Prader–Willi syndrome and early‐onset morbid obesity NIH rare disease consortium: A review of natural history study’, </w:t>
      </w:r>
      <w:r>
        <w:rPr>
          <w:i/>
          <w:iCs/>
          <w:lang w:val="en-US"/>
        </w:rPr>
        <w:t>Am. J. Med. Genet. A.</w:t>
      </w:r>
      <w:r>
        <w:rPr>
          <w:lang w:val="en-US"/>
        </w:rPr>
        <w:t xml:space="preserve">, </w:t>
      </w:r>
      <w:r>
        <w:rPr/>
        <w:t>τ</w:t>
      </w:r>
      <w:r>
        <w:rPr>
          <w:lang w:val="en-US"/>
        </w:rPr>
        <w:t xml:space="preserve">. 176, </w:t>
      </w:r>
      <w:r>
        <w:rPr/>
        <w:t>τχ</w:t>
      </w:r>
      <w:r>
        <w:rPr>
          <w:lang w:val="en-US"/>
        </w:rPr>
        <w:t xml:space="preserve">. 2, </w:t>
      </w:r>
      <w:r>
        <w:rPr/>
        <w:t>σσ</w:t>
      </w:r>
      <w:r>
        <w:rPr>
          <w:lang w:val="en-US"/>
        </w:rPr>
        <w:t xml:space="preserve">. 368–375, </w:t>
      </w:r>
      <w:r>
        <w:rPr/>
        <w:t>Φεβρουαρίου</w:t>
      </w:r>
      <w:r>
        <w:rPr>
          <w:lang w:val="en-US"/>
        </w:rPr>
        <w:t xml:space="preserve"> 2018, doi: 10.1002/ajmg.a.38582.</w:t>
      </w:r>
    </w:p>
    <w:p>
      <w:pPr>
        <w:pStyle w:val="Normal"/>
        <w:widowControl w:val="false"/>
        <w:spacing w:before="0" w:after="240"/>
        <w:jc w:val="both"/>
        <w:rPr>
          <w:lang w:val="en-US"/>
        </w:rPr>
      </w:pPr>
      <w:r>
        <w:rPr>
          <w:lang w:val="en-US"/>
        </w:rPr>
        <w:t>[73]</w:t>
        <w:tab/>
        <w:t xml:space="preserve">S. B. Cassidy, S. Schwartz, J. L. Miller, </w:t>
      </w:r>
      <w:r>
        <w:rPr/>
        <w:t>και</w:t>
      </w:r>
      <w:r>
        <w:rPr>
          <w:lang w:val="en-US"/>
        </w:rPr>
        <w:t xml:space="preserve"> D. J. Driscoll, ‘Prader-Willi syndrome’, </w:t>
      </w:r>
      <w:r>
        <w:rPr>
          <w:i/>
          <w:iCs/>
          <w:lang w:val="en-US"/>
        </w:rPr>
        <w:t>Genet. Med.</w:t>
      </w:r>
      <w:r>
        <w:rPr>
          <w:lang w:val="en-US"/>
        </w:rPr>
        <w:t xml:space="preserve">, </w:t>
      </w:r>
      <w:r>
        <w:rPr/>
        <w:t>τ</w:t>
      </w:r>
      <w:r>
        <w:rPr>
          <w:lang w:val="en-US"/>
        </w:rPr>
        <w:t xml:space="preserve">. 14, </w:t>
      </w:r>
      <w:r>
        <w:rPr/>
        <w:t>τχ</w:t>
      </w:r>
      <w:r>
        <w:rPr>
          <w:lang w:val="en-US"/>
        </w:rPr>
        <w:t xml:space="preserve">. 1, </w:t>
      </w:r>
      <w:r>
        <w:rPr/>
        <w:t>σσ</w:t>
      </w:r>
      <w:r>
        <w:rPr>
          <w:lang w:val="en-US"/>
        </w:rPr>
        <w:t xml:space="preserve">. 10–26, </w:t>
      </w:r>
      <w:r>
        <w:rPr/>
        <w:t>Ιανουαρίου</w:t>
      </w:r>
      <w:r>
        <w:rPr>
          <w:lang w:val="en-US"/>
        </w:rPr>
        <w:t xml:space="preserve"> 2012, doi: 10.1038/gim.0b013e31822bead0.</w:t>
      </w:r>
    </w:p>
    <w:p>
      <w:pPr>
        <w:pStyle w:val="Normal"/>
        <w:widowControl w:val="false"/>
        <w:spacing w:before="0" w:after="240"/>
        <w:jc w:val="both"/>
        <w:rPr>
          <w:lang w:val="en-US"/>
        </w:rPr>
      </w:pPr>
      <w:r>
        <w:rPr>
          <w:lang w:val="en-US"/>
        </w:rPr>
        <w:t>[74]</w:t>
        <w:tab/>
        <w:t xml:space="preserve">E. N. Suspitsin </w:t>
      </w:r>
      <w:r>
        <w:rPr/>
        <w:t>και</w:t>
      </w:r>
      <w:r>
        <w:rPr>
          <w:lang w:val="en-US"/>
        </w:rPr>
        <w:t xml:space="preserve"> E. N. Imyanitov, ‘Bardet-Biedl Syndrome’, </w:t>
      </w:r>
      <w:r>
        <w:rPr>
          <w:i/>
          <w:iCs/>
          <w:lang w:val="en-US"/>
        </w:rPr>
        <w:t>Mol. Syndromol.</w:t>
      </w:r>
      <w:r>
        <w:rPr>
          <w:lang w:val="en-US"/>
        </w:rPr>
        <w:t xml:space="preserve">, </w:t>
      </w:r>
      <w:r>
        <w:rPr/>
        <w:t>τ</w:t>
      </w:r>
      <w:r>
        <w:rPr>
          <w:lang w:val="en-US"/>
        </w:rPr>
        <w:t xml:space="preserve">. 7, </w:t>
      </w:r>
      <w:r>
        <w:rPr/>
        <w:t>τχ</w:t>
      </w:r>
      <w:r>
        <w:rPr>
          <w:lang w:val="en-US"/>
        </w:rPr>
        <w:t xml:space="preserve">. 2, </w:t>
      </w:r>
      <w:r>
        <w:rPr/>
        <w:t>σσ</w:t>
      </w:r>
      <w:r>
        <w:rPr>
          <w:lang w:val="en-US"/>
        </w:rPr>
        <w:t>. 62–71, 2016, doi: 10.1159/000445491.</w:t>
      </w:r>
    </w:p>
    <w:p>
      <w:pPr>
        <w:pStyle w:val="Normal"/>
        <w:widowControl w:val="false"/>
        <w:spacing w:before="0" w:after="240"/>
        <w:jc w:val="both"/>
        <w:rPr>
          <w:lang w:val="en-US"/>
        </w:rPr>
      </w:pPr>
      <w:r>
        <w:rPr>
          <w:lang w:val="en-US"/>
        </w:rPr>
        <w:t>[75]</w:t>
        <w:tab/>
        <w:t xml:space="preserve">E. Geets, M. E. C. Meuwissen, </w:t>
      </w:r>
      <w:r>
        <w:rPr/>
        <w:t>και</w:t>
      </w:r>
      <w:r>
        <w:rPr>
          <w:lang w:val="en-US"/>
        </w:rPr>
        <w:t xml:space="preserve"> W. Van Hul, ‘Clinical, molecular genetics and therapeutic aspects of syndromic obesity’, </w:t>
      </w:r>
      <w:r>
        <w:rPr>
          <w:i/>
          <w:iCs/>
          <w:lang w:val="en-US"/>
        </w:rPr>
        <w:t>Clin. Genet.</w:t>
      </w:r>
      <w:r>
        <w:rPr>
          <w:lang w:val="en-US"/>
        </w:rPr>
        <w:t xml:space="preserve">, </w:t>
      </w:r>
      <w:r>
        <w:rPr/>
        <w:t>τ</w:t>
      </w:r>
      <w:r>
        <w:rPr>
          <w:lang w:val="en-US"/>
        </w:rPr>
        <w:t xml:space="preserve">. 95, </w:t>
      </w:r>
      <w:r>
        <w:rPr/>
        <w:t>τχ</w:t>
      </w:r>
      <w:r>
        <w:rPr>
          <w:lang w:val="en-US"/>
        </w:rPr>
        <w:t xml:space="preserve">. 1, </w:t>
      </w:r>
      <w:r>
        <w:rPr/>
        <w:t>σσ</w:t>
      </w:r>
      <w:r>
        <w:rPr>
          <w:lang w:val="en-US"/>
        </w:rPr>
        <w:t xml:space="preserve">. 23–40, </w:t>
      </w:r>
      <w:r>
        <w:rPr/>
        <w:t>Ιανουαρίου</w:t>
      </w:r>
      <w:r>
        <w:rPr>
          <w:lang w:val="en-US"/>
        </w:rPr>
        <w:t xml:space="preserve"> 2019, doi: 10.1111/cge.13367.</w:t>
      </w:r>
    </w:p>
    <w:p>
      <w:pPr>
        <w:pStyle w:val="Normal"/>
        <w:widowControl w:val="false"/>
        <w:spacing w:before="0" w:after="240"/>
        <w:jc w:val="both"/>
        <w:rPr>
          <w:lang w:val="en-US"/>
        </w:rPr>
      </w:pPr>
      <w:r>
        <w:rPr>
          <w:lang w:val="en-US"/>
        </w:rPr>
        <w:t>[76]</w:t>
        <w:tab/>
        <w:t xml:space="preserve">D. Valverde, M. Alvarez-Satta, </w:t>
      </w:r>
      <w:r>
        <w:rPr/>
        <w:t>και</w:t>
      </w:r>
      <w:r>
        <w:rPr>
          <w:lang w:val="en-US"/>
        </w:rPr>
        <w:t xml:space="preserve"> S. Castro-Sánchez, ‘Alstr&amp;ouml;m syndrome: current perspectives’, </w:t>
      </w:r>
      <w:r>
        <w:rPr>
          <w:i/>
          <w:iCs/>
          <w:lang w:val="en-US"/>
        </w:rPr>
        <w:t>Appl. Clin. Genet.</w:t>
      </w:r>
      <w:r>
        <w:rPr>
          <w:lang w:val="en-US"/>
        </w:rPr>
        <w:t xml:space="preserve">, </w:t>
      </w:r>
      <w:r>
        <w:rPr/>
        <w:t>σ</w:t>
      </w:r>
      <w:r>
        <w:rPr>
          <w:lang w:val="en-US"/>
        </w:rPr>
        <w:t xml:space="preserve">. 171, </w:t>
      </w:r>
      <w:r>
        <w:rPr/>
        <w:t>Ιουλίου</w:t>
      </w:r>
      <w:r>
        <w:rPr>
          <w:lang w:val="en-US"/>
        </w:rPr>
        <w:t xml:space="preserve"> 2015, doi: 10.2147/TACG.S56612.</w:t>
      </w:r>
    </w:p>
    <w:p>
      <w:pPr>
        <w:pStyle w:val="Normal"/>
        <w:widowControl w:val="false"/>
        <w:spacing w:before="0" w:after="240"/>
        <w:jc w:val="both"/>
        <w:rPr>
          <w:lang w:val="en-US"/>
        </w:rPr>
      </w:pPr>
      <w:r>
        <w:rPr>
          <w:lang w:val="en-US"/>
        </w:rPr>
        <w:t>[77]</w:t>
        <w:tab/>
        <w:t xml:space="preserve">J. D. Marshall </w:t>
      </w:r>
      <w:r>
        <w:rPr>
          <w:i/>
          <w:iCs/>
        </w:rPr>
        <w:t>κ</w:t>
      </w:r>
      <w:r>
        <w:rPr>
          <w:i/>
          <w:iCs/>
          <w:lang w:val="en-US"/>
        </w:rPr>
        <w:t>.</w:t>
      </w:r>
      <w:r>
        <w:rPr>
          <w:i/>
          <w:iCs/>
        </w:rPr>
        <w:t>ά</w:t>
      </w:r>
      <w:r>
        <w:rPr>
          <w:i/>
          <w:iCs/>
          <w:lang w:val="en-US"/>
        </w:rPr>
        <w:t>.</w:t>
      </w:r>
      <w:r>
        <w:rPr>
          <w:lang w:val="en-US"/>
        </w:rPr>
        <w:t xml:space="preserve">, ‘Alström Syndrome: Mutation Spectrum of </w:t>
      </w:r>
      <w:r>
        <w:rPr>
          <w:i/>
          <w:iCs/>
          <w:lang w:val="en-US"/>
        </w:rPr>
        <w:t>ALMS1</w:t>
      </w:r>
      <w:r>
        <w:rPr>
          <w:lang w:val="en-US"/>
        </w:rPr>
        <w:t xml:space="preserve">’, </w:t>
      </w:r>
      <w:r>
        <w:rPr>
          <w:i/>
          <w:iCs/>
          <w:lang w:val="en-US"/>
        </w:rPr>
        <w:t>Hum. Mutat.</w:t>
      </w:r>
      <w:r>
        <w:rPr>
          <w:lang w:val="en-US"/>
        </w:rPr>
        <w:t xml:space="preserve">, </w:t>
      </w:r>
      <w:r>
        <w:rPr/>
        <w:t>τ</w:t>
      </w:r>
      <w:r>
        <w:rPr>
          <w:lang w:val="en-US"/>
        </w:rPr>
        <w:t xml:space="preserve">. 36, </w:t>
      </w:r>
      <w:r>
        <w:rPr/>
        <w:t>τχ</w:t>
      </w:r>
      <w:r>
        <w:rPr>
          <w:lang w:val="en-US"/>
        </w:rPr>
        <w:t xml:space="preserve">. 7, </w:t>
      </w:r>
      <w:r>
        <w:rPr/>
        <w:t>σσ</w:t>
      </w:r>
      <w:r>
        <w:rPr>
          <w:lang w:val="en-US"/>
        </w:rPr>
        <w:t xml:space="preserve">. 660–668, </w:t>
      </w:r>
      <w:r>
        <w:rPr/>
        <w:t>Ιουλίου</w:t>
      </w:r>
      <w:r>
        <w:rPr>
          <w:lang w:val="en-US"/>
        </w:rPr>
        <w:t xml:space="preserve"> 2015, doi: 10.1002/humu.22796.</w:t>
      </w:r>
    </w:p>
    <w:p>
      <w:pPr>
        <w:pStyle w:val="Normal"/>
        <w:widowControl w:val="false"/>
        <w:spacing w:before="0" w:after="240"/>
        <w:jc w:val="both"/>
        <w:rPr>
          <w:lang w:val="en-US"/>
        </w:rPr>
      </w:pPr>
      <w:r>
        <w:rPr>
          <w:lang w:val="en-US"/>
        </w:rPr>
        <w:t>[78]</w:t>
        <w:tab/>
        <w:t xml:space="preserve">I. Eneli </w:t>
      </w:r>
      <w:r>
        <w:rPr>
          <w:i/>
          <w:iCs/>
        </w:rPr>
        <w:t>κ</w:t>
      </w:r>
      <w:r>
        <w:rPr>
          <w:i/>
          <w:iCs/>
          <w:lang w:val="en-US"/>
        </w:rPr>
        <w:t>.</w:t>
      </w:r>
      <w:r>
        <w:rPr>
          <w:i/>
          <w:iCs/>
        </w:rPr>
        <w:t>ά</w:t>
      </w:r>
      <w:r>
        <w:rPr>
          <w:i/>
          <w:iCs/>
          <w:lang w:val="en-US"/>
        </w:rPr>
        <w:t>.</w:t>
      </w:r>
      <w:r>
        <w:rPr>
          <w:lang w:val="en-US"/>
        </w:rPr>
        <w:t xml:space="preserve">, ‘Tracing the effect of the melanocortin-4 receptor pathway in obesity: study design and methodology of the TEMPO registry’, </w:t>
      </w:r>
      <w:r>
        <w:rPr>
          <w:i/>
          <w:iCs/>
          <w:lang w:val="en-US"/>
        </w:rPr>
        <w:t>Appl. Clin. Genet.</w:t>
      </w:r>
      <w:r>
        <w:rPr>
          <w:lang w:val="en-US"/>
        </w:rPr>
        <w:t xml:space="preserve">, </w:t>
      </w:r>
      <w:r>
        <w:rPr/>
        <w:t>τ</w:t>
      </w:r>
      <w:r>
        <w:rPr>
          <w:lang w:val="en-US"/>
        </w:rPr>
        <w:t xml:space="preserve">. 12, </w:t>
      </w:r>
      <w:r>
        <w:rPr/>
        <w:t>σ</w:t>
      </w:r>
      <w:r>
        <w:rPr>
          <w:lang w:val="en-US"/>
        </w:rPr>
        <w:t>. 87, 2019, doi: 10.2147/TACG.S199092.</w:t>
      </w:r>
    </w:p>
    <w:p>
      <w:pPr>
        <w:pStyle w:val="Normal"/>
        <w:widowControl w:val="false"/>
        <w:spacing w:before="0" w:after="240"/>
        <w:jc w:val="both"/>
        <w:rPr>
          <w:lang w:val="en-US"/>
        </w:rPr>
      </w:pPr>
      <w:r>
        <w:rPr>
          <w:lang w:val="en-US"/>
        </w:rPr>
        <w:t>[79]</w:t>
        <w:tab/>
        <w:t xml:space="preserve">I. S. Farooqi, ‘Recent advances: Recent advances in the genetics of severe childhood obesity’, </w:t>
      </w:r>
      <w:r>
        <w:rPr>
          <w:i/>
          <w:iCs/>
          <w:lang w:val="en-US"/>
        </w:rPr>
        <w:t>Arch. Dis. Child.</w:t>
      </w:r>
      <w:r>
        <w:rPr>
          <w:lang w:val="en-US"/>
        </w:rPr>
        <w:t xml:space="preserve">, </w:t>
      </w:r>
      <w:r>
        <w:rPr/>
        <w:t>τ</w:t>
      </w:r>
      <w:r>
        <w:rPr>
          <w:lang w:val="en-US"/>
        </w:rPr>
        <w:t xml:space="preserve">. 83, </w:t>
      </w:r>
      <w:r>
        <w:rPr/>
        <w:t>τχ</w:t>
      </w:r>
      <w:r>
        <w:rPr>
          <w:lang w:val="en-US"/>
        </w:rPr>
        <w:t xml:space="preserve">. 1, </w:t>
      </w:r>
      <w:r>
        <w:rPr/>
        <w:t>σσ</w:t>
      </w:r>
      <w:r>
        <w:rPr>
          <w:lang w:val="en-US"/>
        </w:rPr>
        <w:t xml:space="preserve">. 31–34, </w:t>
      </w:r>
      <w:r>
        <w:rPr/>
        <w:t>Ιουλίου</w:t>
      </w:r>
      <w:r>
        <w:rPr>
          <w:lang w:val="en-US"/>
        </w:rPr>
        <w:t xml:space="preserve"> 2000, doi: 10.1136/adc.83.1.31.</w:t>
      </w:r>
    </w:p>
    <w:p>
      <w:pPr>
        <w:pStyle w:val="Normal"/>
        <w:widowControl w:val="false"/>
        <w:spacing w:before="0" w:after="240"/>
        <w:jc w:val="both"/>
        <w:rPr>
          <w:lang w:val="en-US"/>
        </w:rPr>
      </w:pPr>
      <w:r>
        <w:rPr>
          <w:lang w:val="en-US"/>
        </w:rPr>
        <w:t>[80]</w:t>
        <w:tab/>
        <w:t xml:space="preserve">L. Kleinendorst </w:t>
      </w:r>
      <w:r>
        <w:rPr>
          <w:i/>
          <w:iCs/>
        </w:rPr>
        <w:t>κ</w:t>
      </w:r>
      <w:r>
        <w:rPr>
          <w:i/>
          <w:iCs/>
          <w:lang w:val="en-US"/>
        </w:rPr>
        <w:t>.</w:t>
      </w:r>
      <w:r>
        <w:rPr>
          <w:i/>
          <w:iCs/>
        </w:rPr>
        <w:t>ά</w:t>
      </w:r>
      <w:r>
        <w:rPr>
          <w:i/>
          <w:iCs/>
          <w:lang w:val="en-US"/>
        </w:rPr>
        <w:t>.</w:t>
      </w:r>
      <w:r>
        <w:rPr>
          <w:lang w:val="en-US"/>
        </w:rPr>
        <w:t xml:space="preserve">, ‘Genetic obesity: next-generation sequencing results of 1230 patients with obesity’, </w:t>
      </w:r>
      <w:r>
        <w:rPr>
          <w:i/>
          <w:iCs/>
          <w:lang w:val="en-US"/>
        </w:rPr>
        <w:t>J. Med. Genet.</w:t>
      </w:r>
      <w:r>
        <w:rPr>
          <w:lang w:val="en-US"/>
        </w:rPr>
        <w:t xml:space="preserve">, </w:t>
      </w:r>
      <w:r>
        <w:rPr/>
        <w:t>τ</w:t>
      </w:r>
      <w:r>
        <w:rPr>
          <w:lang w:val="en-US"/>
        </w:rPr>
        <w:t xml:space="preserve">. 55, </w:t>
      </w:r>
      <w:r>
        <w:rPr/>
        <w:t>τχ</w:t>
      </w:r>
      <w:r>
        <w:rPr>
          <w:lang w:val="en-US"/>
        </w:rPr>
        <w:t xml:space="preserve">. 9, </w:t>
      </w:r>
      <w:r>
        <w:rPr/>
        <w:t>σσ</w:t>
      </w:r>
      <w:r>
        <w:rPr>
          <w:lang w:val="en-US"/>
        </w:rPr>
        <w:t xml:space="preserve">. 578–586, </w:t>
      </w:r>
      <w:r>
        <w:rPr/>
        <w:t>Σεπτεμβρίου</w:t>
      </w:r>
      <w:r>
        <w:rPr>
          <w:lang w:val="en-US"/>
        </w:rPr>
        <w:t xml:space="preserve"> 2018, doi: 10.1136/jmedgenet-2018-105315.</w:t>
      </w:r>
    </w:p>
    <w:p>
      <w:pPr>
        <w:pStyle w:val="Normal"/>
        <w:widowControl w:val="false"/>
        <w:spacing w:before="0" w:after="240"/>
        <w:jc w:val="both"/>
        <w:rPr>
          <w:lang w:val="en-US"/>
        </w:rPr>
      </w:pPr>
      <w:r>
        <w:rPr>
          <w:lang w:val="en-US"/>
        </w:rPr>
        <w:t>[81]</w:t>
        <w:tab/>
        <w:t xml:space="preserve">Y. B. Sohn, ‘Genetic obesity: an update with emerging therapeutic approaches’, </w:t>
      </w:r>
      <w:r>
        <w:rPr>
          <w:i/>
          <w:iCs/>
          <w:lang w:val="en-US"/>
        </w:rPr>
        <w:t>Ann. Pediatr. Endocrinol. Metab.</w:t>
      </w:r>
      <w:r>
        <w:rPr>
          <w:lang w:val="en-US"/>
        </w:rPr>
        <w:t xml:space="preserve">, </w:t>
      </w:r>
      <w:r>
        <w:rPr/>
        <w:t>τ</w:t>
      </w:r>
      <w:r>
        <w:rPr>
          <w:lang w:val="en-US"/>
        </w:rPr>
        <w:t xml:space="preserve">. 27, </w:t>
      </w:r>
      <w:r>
        <w:rPr/>
        <w:t>τχ</w:t>
      </w:r>
      <w:r>
        <w:rPr>
          <w:lang w:val="en-US"/>
        </w:rPr>
        <w:t xml:space="preserve">. 3, </w:t>
      </w:r>
      <w:r>
        <w:rPr/>
        <w:t>σσ</w:t>
      </w:r>
      <w:r>
        <w:rPr>
          <w:lang w:val="en-US"/>
        </w:rPr>
        <w:t xml:space="preserve">. 169–175, </w:t>
      </w:r>
      <w:r>
        <w:rPr/>
        <w:t>Σεπτεμβρίου</w:t>
      </w:r>
      <w:r>
        <w:rPr>
          <w:lang w:val="en-US"/>
        </w:rPr>
        <w:t xml:space="preserve"> 2022, doi: 10.6065/apem.2244188.094.</w:t>
      </w:r>
    </w:p>
    <w:p>
      <w:pPr>
        <w:pStyle w:val="Normal"/>
        <w:widowControl w:val="false"/>
        <w:spacing w:before="0" w:after="240"/>
        <w:jc w:val="both"/>
        <w:rPr>
          <w:lang w:val="en-US"/>
        </w:rPr>
      </w:pPr>
      <w:r>
        <w:rPr>
          <w:lang w:val="en-US"/>
        </w:rPr>
        <w:t>[82]</w:t>
        <w:tab/>
        <w:t xml:space="preserve">R. Sa </w:t>
      </w:r>
      <w:r>
        <w:rPr/>
        <w:t>και</w:t>
      </w:r>
      <w:r>
        <w:rPr>
          <w:lang w:val="en-US"/>
        </w:rPr>
        <w:t xml:space="preserve"> V. C, ‘Lessons from extreme human obesity: monogenic disorders’, </w:t>
      </w:r>
      <w:r>
        <w:rPr>
          <w:i/>
          <w:iCs/>
          <w:lang w:val="en-US"/>
        </w:rPr>
        <w:t>Endocrinol. Metab. Clin. North Am.</w:t>
      </w:r>
      <w:r>
        <w:rPr>
          <w:lang w:val="en-US"/>
        </w:rPr>
        <w:t xml:space="preserve">, </w:t>
      </w:r>
      <w:r>
        <w:rPr/>
        <w:t>τ</w:t>
      </w:r>
      <w:r>
        <w:rPr>
          <w:lang w:val="en-US"/>
        </w:rPr>
        <w:t xml:space="preserve">. 37, </w:t>
      </w:r>
      <w:r>
        <w:rPr/>
        <w:t>τχ</w:t>
      </w:r>
      <w:r>
        <w:rPr>
          <w:lang w:val="en-US"/>
        </w:rPr>
        <w:t xml:space="preserve">. 3, </w:t>
      </w:r>
      <w:r>
        <w:rPr/>
        <w:t>Σεπτεμβρίου</w:t>
      </w:r>
      <w:r>
        <w:rPr>
          <w:lang w:val="en-US"/>
        </w:rPr>
        <w:t xml:space="preserve"> 2008, doi: 10.1016/j.ecl.2008.07.003.</w:t>
      </w:r>
    </w:p>
    <w:p>
      <w:pPr>
        <w:pStyle w:val="Normal"/>
        <w:widowControl w:val="false"/>
        <w:spacing w:before="0" w:after="240"/>
        <w:jc w:val="both"/>
        <w:rPr>
          <w:lang w:val="en-US"/>
        </w:rPr>
      </w:pPr>
      <w:r>
        <w:rPr>
          <w:lang w:val="en-US"/>
        </w:rPr>
        <w:t>[83]</w:t>
        <w:tab/>
        <w:t xml:space="preserve">J. Zhao </w:t>
      </w:r>
      <w:r>
        <w:rPr/>
        <w:t>και</w:t>
      </w:r>
      <w:r>
        <w:rPr>
          <w:lang w:val="en-US"/>
        </w:rPr>
        <w:t xml:space="preserve"> S. F. A. Grant, ‘Genetics of Childhood Obesity’, </w:t>
      </w:r>
      <w:r>
        <w:rPr>
          <w:i/>
          <w:iCs/>
          <w:lang w:val="en-US"/>
        </w:rPr>
        <w:t>J. Obes.</w:t>
      </w:r>
      <w:r>
        <w:rPr>
          <w:lang w:val="en-US"/>
        </w:rPr>
        <w:t xml:space="preserve">, </w:t>
      </w:r>
      <w:r>
        <w:rPr/>
        <w:t>τ</w:t>
      </w:r>
      <w:r>
        <w:rPr>
          <w:lang w:val="en-US"/>
        </w:rPr>
        <w:t xml:space="preserve">. 2011, </w:t>
      </w:r>
      <w:r>
        <w:rPr/>
        <w:t>σσ</w:t>
      </w:r>
      <w:r>
        <w:rPr>
          <w:lang w:val="en-US"/>
        </w:rPr>
        <w:t>. 1–9, 2011, doi: 10.1155/2011/845148.</w:t>
      </w:r>
    </w:p>
    <w:p>
      <w:pPr>
        <w:pStyle w:val="Normal"/>
        <w:widowControl w:val="false"/>
        <w:spacing w:before="0" w:after="240"/>
        <w:jc w:val="both"/>
        <w:rPr>
          <w:lang w:val="en-US"/>
        </w:rPr>
      </w:pPr>
      <w:r>
        <w:rPr>
          <w:lang w:val="en-US"/>
        </w:rPr>
        <w:t>[84]</w:t>
        <w:tab/>
        <w:t xml:space="preserve">S.-J. C </w:t>
      </w:r>
      <w:r>
        <w:rPr>
          <w:i/>
          <w:iCs/>
        </w:rPr>
        <w:t>κ</w:t>
      </w:r>
      <w:r>
        <w:rPr>
          <w:i/>
          <w:iCs/>
          <w:lang w:val="en-US"/>
        </w:rPr>
        <w:t>.</w:t>
      </w:r>
      <w:r>
        <w:rPr>
          <w:i/>
          <w:iCs/>
        </w:rPr>
        <w:t>ά</w:t>
      </w:r>
      <w:r>
        <w:rPr>
          <w:i/>
          <w:iCs/>
          <w:lang w:val="en-US"/>
        </w:rPr>
        <w:t>.</w:t>
      </w:r>
      <w:r>
        <w:rPr>
          <w:lang w:val="en-US"/>
        </w:rPr>
        <w:t xml:space="preserve">, ‘Heterozygous rare genetic variants in non-syndromic early-onset obesity’, </w:t>
      </w:r>
      <w:r>
        <w:rPr>
          <w:i/>
          <w:iCs/>
          <w:lang w:val="en-US"/>
        </w:rPr>
        <w:t>Int. J. Obes. 2005</w:t>
      </w:r>
      <w:r>
        <w:rPr>
          <w:lang w:val="en-US"/>
        </w:rPr>
        <w:t xml:space="preserve">, </w:t>
      </w:r>
      <w:r>
        <w:rPr/>
        <w:t>τ</w:t>
      </w:r>
      <w:r>
        <w:rPr>
          <w:lang w:val="en-US"/>
        </w:rPr>
        <w:t xml:space="preserve">. 44, </w:t>
      </w:r>
      <w:r>
        <w:rPr/>
        <w:t>τχ</w:t>
      </w:r>
      <w:r>
        <w:rPr>
          <w:lang w:val="en-US"/>
        </w:rPr>
        <w:t xml:space="preserve">. 4, </w:t>
      </w:r>
      <w:r>
        <w:rPr/>
        <w:t>Απριλίου</w:t>
      </w:r>
      <w:r>
        <w:rPr>
          <w:lang w:val="en-US"/>
        </w:rPr>
        <w:t xml:space="preserve"> 2020, doi: 10.1038/s41366-019-0357-5.</w:t>
      </w:r>
    </w:p>
    <w:p>
      <w:pPr>
        <w:pStyle w:val="Normal"/>
        <w:widowControl w:val="false"/>
        <w:spacing w:before="0" w:after="240"/>
        <w:jc w:val="both"/>
        <w:rPr>
          <w:lang w:val="en-US"/>
        </w:rPr>
      </w:pPr>
      <w:r>
        <w:rPr>
          <w:lang w:val="en-US"/>
        </w:rPr>
        <w:t>[85]</w:t>
        <w:tab/>
        <w:t xml:space="preserve">F. Is </w:t>
      </w:r>
      <w:r>
        <w:rPr/>
        <w:t>και</w:t>
      </w:r>
      <w:r>
        <w:rPr>
          <w:lang w:val="en-US"/>
        </w:rPr>
        <w:t xml:space="preserve"> O. S, ‘Mutations in ligands and receptors of the leptin-melanocortin pathway that lead to obesity’, </w:t>
      </w:r>
      <w:r>
        <w:rPr>
          <w:i/>
          <w:iCs/>
          <w:lang w:val="en-US"/>
        </w:rPr>
        <w:t>Nat. Clin. Pract. Endocrinol. Metab.</w:t>
      </w:r>
      <w:r>
        <w:rPr>
          <w:lang w:val="en-US"/>
        </w:rPr>
        <w:t xml:space="preserve">, </w:t>
      </w:r>
      <w:r>
        <w:rPr/>
        <w:t>τ</w:t>
      </w:r>
      <w:r>
        <w:rPr>
          <w:lang w:val="en-US"/>
        </w:rPr>
        <w:t xml:space="preserve">. 4, </w:t>
      </w:r>
      <w:r>
        <w:rPr/>
        <w:t>τχ</w:t>
      </w:r>
      <w:r>
        <w:rPr>
          <w:lang w:val="en-US"/>
        </w:rPr>
        <w:t xml:space="preserve">. 10, </w:t>
      </w:r>
      <w:r>
        <w:rPr/>
        <w:t>Οκτωβρίου</w:t>
      </w:r>
      <w:r>
        <w:rPr>
          <w:lang w:val="en-US"/>
        </w:rPr>
        <w:t xml:space="preserve"> 2008, doi: 10.1038/ncpendmet0966.</w:t>
      </w:r>
    </w:p>
    <w:p>
      <w:pPr>
        <w:pStyle w:val="Normal"/>
        <w:widowControl w:val="false"/>
        <w:spacing w:before="0" w:after="240"/>
        <w:jc w:val="both"/>
        <w:rPr>
          <w:lang w:val="en-US"/>
        </w:rPr>
      </w:pPr>
      <w:r>
        <w:rPr>
          <w:lang w:val="en-US"/>
        </w:rPr>
        <w:t>[86]</w:t>
        <w:tab/>
        <w:t xml:space="preserve">S. Dm </w:t>
      </w:r>
      <w:r>
        <w:rPr>
          <w:i/>
          <w:iCs/>
        </w:rPr>
        <w:t>κ</w:t>
      </w:r>
      <w:r>
        <w:rPr>
          <w:i/>
          <w:iCs/>
          <w:lang w:val="en-US"/>
        </w:rPr>
        <w:t>.</w:t>
      </w:r>
      <w:r>
        <w:rPr>
          <w:i/>
          <w:iCs/>
        </w:rPr>
        <w:t>ά</w:t>
      </w:r>
      <w:r>
        <w:rPr>
          <w:i/>
          <w:iCs/>
          <w:lang w:val="en-US"/>
        </w:rPr>
        <w:t>.</w:t>
      </w:r>
      <w:r>
        <w:rPr>
          <w:lang w:val="en-US"/>
        </w:rPr>
        <w:t xml:space="preserve">, ‘Pediatric Obesity-Assessment, Treatment, and Prevention: An Endocrine Society Clinical Practice Guideline’, </w:t>
      </w:r>
      <w:r>
        <w:rPr>
          <w:i/>
          <w:iCs/>
          <w:lang w:val="en-US"/>
        </w:rPr>
        <w:t>J. Clin. Endocrinol. Metab.</w:t>
      </w:r>
      <w:r>
        <w:rPr>
          <w:lang w:val="en-US"/>
        </w:rPr>
        <w:t xml:space="preserve">, </w:t>
      </w:r>
      <w:r>
        <w:rPr/>
        <w:t>τ</w:t>
      </w:r>
      <w:r>
        <w:rPr>
          <w:lang w:val="en-US"/>
        </w:rPr>
        <w:t xml:space="preserve">. 102, </w:t>
      </w:r>
      <w:r>
        <w:rPr/>
        <w:t>τχ</w:t>
      </w:r>
      <w:r>
        <w:rPr>
          <w:lang w:val="en-US"/>
        </w:rPr>
        <w:t xml:space="preserve">. 3, </w:t>
      </w:r>
      <w:r>
        <w:rPr/>
        <w:t>Ιανουαρίου</w:t>
      </w:r>
      <w:r>
        <w:rPr>
          <w:lang w:val="en-US"/>
        </w:rPr>
        <w:t xml:space="preserve"> 2017, doi: 10.1210/jc.2016-2573.</w:t>
      </w:r>
    </w:p>
    <w:p>
      <w:pPr>
        <w:pStyle w:val="Normal"/>
        <w:widowControl w:val="false"/>
        <w:spacing w:before="0" w:after="240"/>
        <w:jc w:val="both"/>
        <w:rPr>
          <w:lang w:val="en-US"/>
        </w:rPr>
      </w:pPr>
      <w:r>
        <w:rPr>
          <w:lang w:val="en-US"/>
        </w:rPr>
        <w:t>[87]</w:t>
        <w:tab/>
        <w:t xml:space="preserve">M. A, ‘Setmelanotide: First Approval’, </w:t>
      </w:r>
      <w:r>
        <w:rPr>
          <w:i/>
          <w:iCs/>
          <w:lang w:val="en-US"/>
        </w:rPr>
        <w:t>Drugs</w:t>
      </w:r>
      <w:r>
        <w:rPr>
          <w:lang w:val="en-US"/>
        </w:rPr>
        <w:t xml:space="preserve">, </w:t>
      </w:r>
      <w:r>
        <w:rPr/>
        <w:t>τ</w:t>
      </w:r>
      <w:r>
        <w:rPr>
          <w:lang w:val="en-US"/>
        </w:rPr>
        <w:t xml:space="preserve">. 81, </w:t>
      </w:r>
      <w:r>
        <w:rPr/>
        <w:t>τχ</w:t>
      </w:r>
      <w:r>
        <w:rPr>
          <w:lang w:val="en-US"/>
        </w:rPr>
        <w:t xml:space="preserve">. 3, </w:t>
      </w:r>
      <w:r>
        <w:rPr/>
        <w:t>Φεβρουαρίου</w:t>
      </w:r>
      <w:r>
        <w:rPr>
          <w:lang w:val="en-US"/>
        </w:rPr>
        <w:t xml:space="preserve"> 2021, doi: 10.1007/s40265-021-01470-9.</w:t>
      </w:r>
    </w:p>
    <w:p>
      <w:pPr>
        <w:pStyle w:val="Normal"/>
        <w:widowControl w:val="false"/>
        <w:spacing w:before="0" w:after="240"/>
        <w:jc w:val="both"/>
        <w:rPr>
          <w:lang w:val="en-US"/>
        </w:rPr>
      </w:pPr>
      <w:r>
        <w:rPr>
          <w:lang w:val="en-US"/>
        </w:rPr>
        <w:t>[88]</w:t>
        <w:tab/>
        <w:t xml:space="preserve">C. K </w:t>
      </w:r>
      <w:r>
        <w:rPr>
          <w:i/>
          <w:iCs/>
        </w:rPr>
        <w:t>κ</w:t>
      </w:r>
      <w:r>
        <w:rPr>
          <w:i/>
          <w:iCs/>
          <w:lang w:val="en-US"/>
        </w:rPr>
        <w:t>.</w:t>
      </w:r>
      <w:r>
        <w:rPr>
          <w:i/>
          <w:iCs/>
        </w:rPr>
        <w:t>ά</w:t>
      </w:r>
      <w:r>
        <w:rPr>
          <w:i/>
          <w:iCs/>
          <w:lang w:val="en-US"/>
        </w:rPr>
        <w:t>.</w:t>
      </w:r>
      <w:r>
        <w:rPr>
          <w:lang w:val="en-US"/>
        </w:rPr>
        <w:t xml:space="preserve">, ‘Efficacy and safety of setmelanotide, an MC4R agonist, in individuals with severe obesity due to LEPR or POMC deficiency: single-arm, open-label, multicentre, phase 3 trials’, </w:t>
      </w:r>
      <w:r>
        <w:rPr>
          <w:i/>
          <w:iCs/>
          <w:lang w:val="en-US"/>
        </w:rPr>
        <w:t>Lancet Diabetes Endocrinol.</w:t>
      </w:r>
      <w:r>
        <w:rPr>
          <w:lang w:val="en-US"/>
        </w:rPr>
        <w:t xml:space="preserve">, </w:t>
      </w:r>
      <w:r>
        <w:rPr/>
        <w:t>τ</w:t>
      </w:r>
      <w:r>
        <w:rPr>
          <w:lang w:val="en-US"/>
        </w:rPr>
        <w:t xml:space="preserve">. 8, </w:t>
      </w:r>
      <w:r>
        <w:rPr/>
        <w:t>τχ</w:t>
      </w:r>
      <w:r>
        <w:rPr>
          <w:lang w:val="en-US"/>
        </w:rPr>
        <w:t xml:space="preserve">. 12, </w:t>
      </w:r>
      <w:r>
        <w:rPr/>
        <w:t>Δεκεμβρίου</w:t>
      </w:r>
      <w:r>
        <w:rPr>
          <w:lang w:val="en-US"/>
        </w:rPr>
        <w:t xml:space="preserve"> 2020, doi: 10.1016/S2213-8587(20)30364-8.</w:t>
      </w:r>
    </w:p>
    <w:p>
      <w:pPr>
        <w:pStyle w:val="Normal"/>
        <w:widowControl w:val="false"/>
        <w:spacing w:before="0" w:after="240"/>
        <w:jc w:val="both"/>
        <w:rPr>
          <w:lang w:val="en-US"/>
        </w:rPr>
      </w:pPr>
      <w:r>
        <w:rPr>
          <w:lang w:val="en-US"/>
        </w:rPr>
        <w:t>[89]</w:t>
        <w:tab/>
        <w:t xml:space="preserve">S. E </w:t>
      </w:r>
      <w:r>
        <w:rPr>
          <w:i/>
          <w:iCs/>
        </w:rPr>
        <w:t>κ</w:t>
      </w:r>
      <w:r>
        <w:rPr>
          <w:i/>
          <w:iCs/>
          <w:lang w:val="en-US"/>
        </w:rPr>
        <w:t>.</w:t>
      </w:r>
      <w:r>
        <w:rPr>
          <w:i/>
          <w:iCs/>
        </w:rPr>
        <w:t>ά</w:t>
      </w:r>
      <w:r>
        <w:rPr>
          <w:i/>
          <w:iCs/>
          <w:lang w:val="en-US"/>
        </w:rPr>
        <w:t>.</w:t>
      </w:r>
      <w:r>
        <w:rPr>
          <w:lang w:val="en-US"/>
        </w:rPr>
        <w:t xml:space="preserve">, ‘Obesity due to melanocortin 4 receptor (MC4R) deficiency is associated with delayed gastric emptying’, </w:t>
      </w:r>
      <w:r>
        <w:rPr>
          <w:i/>
          <w:iCs/>
          <w:lang w:val="en-US"/>
        </w:rPr>
        <w:t>Clin. Endocrinol. (Oxf.)</w:t>
      </w:r>
      <w:r>
        <w:rPr>
          <w:lang w:val="en-US"/>
        </w:rPr>
        <w:t xml:space="preserve">, </w:t>
      </w:r>
      <w:r>
        <w:rPr/>
        <w:t>τ</w:t>
      </w:r>
      <w:r>
        <w:rPr>
          <w:lang w:val="en-US"/>
        </w:rPr>
        <w:t xml:space="preserve">. 96, </w:t>
      </w:r>
      <w:r>
        <w:rPr/>
        <w:t>τχ</w:t>
      </w:r>
      <w:r>
        <w:rPr>
          <w:lang w:val="en-US"/>
        </w:rPr>
        <w:t xml:space="preserve">. 2, </w:t>
      </w:r>
      <w:r>
        <w:rPr/>
        <w:t>Φεβρουαρίου</w:t>
      </w:r>
      <w:r>
        <w:rPr>
          <w:lang w:val="en-US"/>
        </w:rPr>
        <w:t xml:space="preserve"> 2022, doi: 10.1111/cen.14615.</w:t>
      </w:r>
    </w:p>
    <w:p>
      <w:pPr>
        <w:pStyle w:val="Normal"/>
        <w:widowControl w:val="false"/>
        <w:spacing w:before="0" w:after="240"/>
        <w:jc w:val="both"/>
        <w:rPr>
          <w:lang w:val="en-US"/>
        </w:rPr>
      </w:pPr>
      <w:r>
        <w:rPr>
          <w:lang w:val="en-US"/>
        </w:rPr>
        <w:t>[90]</w:t>
        <w:tab/>
        <w:t xml:space="preserve">M. K, P. L, </w:t>
      </w:r>
      <w:r>
        <w:rPr/>
        <w:t>και</w:t>
      </w:r>
      <w:r>
        <w:rPr>
          <w:lang w:val="en-US"/>
        </w:rPr>
        <w:t xml:space="preserve"> B. Pg, ‘Screening for hormonal, monogenic, and syndromic disorders in obese infants and children’, </w:t>
      </w:r>
      <w:r>
        <w:rPr>
          <w:i/>
          <w:iCs/>
          <w:lang w:val="en-US"/>
        </w:rPr>
        <w:t>Pediatr. Ann.</w:t>
      </w:r>
      <w:r>
        <w:rPr>
          <w:lang w:val="en-US"/>
        </w:rPr>
        <w:t xml:space="preserve">, </w:t>
      </w:r>
      <w:r>
        <w:rPr/>
        <w:t>τ</w:t>
      </w:r>
      <w:r>
        <w:rPr>
          <w:lang w:val="en-US"/>
        </w:rPr>
        <w:t xml:space="preserve">. 43, </w:t>
      </w:r>
      <w:r>
        <w:rPr/>
        <w:t>τχ</w:t>
      </w:r>
      <w:r>
        <w:rPr>
          <w:lang w:val="en-US"/>
        </w:rPr>
        <w:t xml:space="preserve">. 9, </w:t>
      </w:r>
      <w:r>
        <w:rPr/>
        <w:t>Σεπτεμβρίου</w:t>
      </w:r>
      <w:r>
        <w:rPr>
          <w:lang w:val="en-US"/>
        </w:rPr>
        <w:t xml:space="preserve"> 2014, doi: 10.3928/00904481-20140825-08.</w:t>
      </w:r>
    </w:p>
    <w:p>
      <w:pPr>
        <w:pStyle w:val="Normal"/>
        <w:widowControl w:val="false"/>
        <w:spacing w:before="0" w:after="240"/>
        <w:jc w:val="both"/>
        <w:rPr>
          <w:lang w:val="en-US"/>
        </w:rPr>
      </w:pPr>
      <w:r>
        <w:rPr>
          <w:lang w:val="en-US"/>
        </w:rPr>
        <w:t>[91]</w:t>
        <w:tab/>
        <w:t xml:space="preserve">F. Is </w:t>
      </w:r>
      <w:r>
        <w:rPr>
          <w:i/>
          <w:iCs/>
        </w:rPr>
        <w:t>κ</w:t>
      </w:r>
      <w:r>
        <w:rPr>
          <w:i/>
          <w:iCs/>
          <w:lang w:val="en-US"/>
        </w:rPr>
        <w:t>.</w:t>
      </w:r>
      <w:r>
        <w:rPr>
          <w:i/>
          <w:iCs/>
        </w:rPr>
        <w:t>ά</w:t>
      </w:r>
      <w:r>
        <w:rPr>
          <w:i/>
          <w:iCs/>
          <w:lang w:val="en-US"/>
        </w:rPr>
        <w:t>.</w:t>
      </w:r>
      <w:r>
        <w:rPr>
          <w:lang w:val="en-US"/>
        </w:rPr>
        <w:t xml:space="preserve">, ‘Clinical and molecular genetic spectrum of congenital deficiency of the leptin receptor’, </w:t>
      </w:r>
      <w:r>
        <w:rPr>
          <w:i/>
          <w:iCs/>
          <w:lang w:val="en-US"/>
        </w:rPr>
        <w:t>N. Engl. J. Med.</w:t>
      </w:r>
      <w:r>
        <w:rPr>
          <w:lang w:val="en-US"/>
        </w:rPr>
        <w:t xml:space="preserve">, </w:t>
      </w:r>
      <w:r>
        <w:rPr/>
        <w:t>τ</w:t>
      </w:r>
      <w:r>
        <w:rPr>
          <w:lang w:val="en-US"/>
        </w:rPr>
        <w:t xml:space="preserve">. 356, </w:t>
      </w:r>
      <w:r>
        <w:rPr/>
        <w:t>τχ</w:t>
      </w:r>
      <w:r>
        <w:rPr>
          <w:lang w:val="en-US"/>
        </w:rPr>
        <w:t xml:space="preserve">. 3, </w:t>
      </w:r>
      <w:r>
        <w:rPr/>
        <w:t>Ιανουαρίου</w:t>
      </w:r>
      <w:r>
        <w:rPr>
          <w:lang w:val="en-US"/>
        </w:rPr>
        <w:t xml:space="preserve"> 2007, doi: 10.1056/NEJMoa063988.</w:t>
      </w:r>
    </w:p>
    <w:p>
      <w:pPr>
        <w:pStyle w:val="Normal"/>
        <w:widowControl w:val="false"/>
        <w:spacing w:before="0" w:after="240"/>
        <w:jc w:val="both"/>
        <w:rPr>
          <w:lang w:val="en-US"/>
        </w:rPr>
      </w:pPr>
      <w:r>
        <w:rPr>
          <w:lang w:val="en-US"/>
        </w:rPr>
        <w:t>[92]</w:t>
        <w:tab/>
        <w:t xml:space="preserve">R. M, B. Db, B. E, H. D, </w:t>
      </w:r>
      <w:r>
        <w:rPr/>
        <w:t>και</w:t>
      </w:r>
      <w:r>
        <w:rPr>
          <w:lang w:val="en-US"/>
        </w:rPr>
        <w:t xml:space="preserve"> O. M, ‘Obesity, food selectivity, and physical activity in individuals with fragile X syndrome’, </w:t>
      </w:r>
      <w:r>
        <w:rPr>
          <w:i/>
          <w:iCs/>
          <w:lang w:val="en-US"/>
        </w:rPr>
        <w:t>Am. J. Intellect. Dev. Disabil.</w:t>
      </w:r>
      <w:r>
        <w:rPr>
          <w:lang w:val="en-US"/>
        </w:rPr>
        <w:t xml:space="preserve">, </w:t>
      </w:r>
      <w:r>
        <w:rPr/>
        <w:t>τ</w:t>
      </w:r>
      <w:r>
        <w:rPr>
          <w:lang w:val="en-US"/>
        </w:rPr>
        <w:t xml:space="preserve">. 115, </w:t>
      </w:r>
      <w:r>
        <w:rPr/>
        <w:t>τχ</w:t>
      </w:r>
      <w:r>
        <w:rPr>
          <w:lang w:val="en-US"/>
        </w:rPr>
        <w:t xml:space="preserve">. 6, </w:t>
      </w:r>
      <w:r>
        <w:rPr/>
        <w:t>Νοεμβρίου</w:t>
      </w:r>
      <w:r>
        <w:rPr>
          <w:lang w:val="en-US"/>
        </w:rPr>
        <w:t xml:space="preserve"> 2010, doi: 10.1352/1944-7558-115.6.482.</w:t>
      </w:r>
    </w:p>
    <w:p>
      <w:pPr>
        <w:pStyle w:val="Normal"/>
        <w:widowControl w:val="false"/>
        <w:spacing w:before="0" w:after="240"/>
        <w:jc w:val="both"/>
        <w:rPr>
          <w:lang w:val="en-US"/>
        </w:rPr>
      </w:pPr>
      <w:r>
        <w:rPr>
          <w:lang w:val="en-US"/>
        </w:rPr>
        <w:t>[93]</w:t>
        <w:tab/>
        <w:t xml:space="preserve">P. D, S.-A. Mj, D. Jb, P. La, </w:t>
      </w:r>
      <w:r>
        <w:rPr/>
        <w:t>και</w:t>
      </w:r>
      <w:r>
        <w:rPr>
          <w:lang w:val="en-US"/>
        </w:rPr>
        <w:t xml:space="preserve"> H. Rj, ‘New Targeted Treatments for Fragile X Syndrome’, </w:t>
      </w:r>
      <w:r>
        <w:rPr>
          <w:i/>
          <w:iCs/>
          <w:lang w:val="en-US"/>
        </w:rPr>
        <w:t>Curr. Pediatr. Rev.</w:t>
      </w:r>
      <w:r>
        <w:rPr>
          <w:lang w:val="en-US"/>
        </w:rPr>
        <w:t xml:space="preserve">, </w:t>
      </w:r>
      <w:r>
        <w:rPr/>
        <w:t>τ</w:t>
      </w:r>
      <w:r>
        <w:rPr>
          <w:lang w:val="en-US"/>
        </w:rPr>
        <w:t xml:space="preserve">. 15, </w:t>
      </w:r>
      <w:r>
        <w:rPr/>
        <w:t>τχ</w:t>
      </w:r>
      <w:r>
        <w:rPr>
          <w:lang w:val="en-US"/>
        </w:rPr>
        <w:t>. 4, 2019, doi: 10.2174/1573396315666190625110748.</w:t>
      </w:r>
    </w:p>
    <w:p>
      <w:pPr>
        <w:pStyle w:val="Normal"/>
        <w:widowControl w:val="false"/>
        <w:spacing w:before="0" w:after="240"/>
        <w:jc w:val="both"/>
        <w:rPr>
          <w:lang w:val="en-US"/>
        </w:rPr>
      </w:pPr>
      <w:r>
        <w:rPr>
          <w:lang w:val="en-US"/>
        </w:rPr>
        <w:t>[94]</w:t>
        <w:tab/>
        <w:t xml:space="preserve">L. A. Lotta </w:t>
      </w:r>
      <w:r>
        <w:rPr>
          <w:i/>
          <w:iCs/>
        </w:rPr>
        <w:t>κ</w:t>
      </w:r>
      <w:r>
        <w:rPr>
          <w:i/>
          <w:iCs/>
          <w:lang w:val="en-US"/>
        </w:rPr>
        <w:t>.</w:t>
      </w:r>
      <w:r>
        <w:rPr>
          <w:i/>
          <w:iCs/>
        </w:rPr>
        <w:t>ά</w:t>
      </w:r>
      <w:r>
        <w:rPr>
          <w:i/>
          <w:iCs/>
          <w:lang w:val="en-US"/>
        </w:rPr>
        <w:t>.</w:t>
      </w:r>
      <w:r>
        <w:rPr>
          <w:lang w:val="en-US"/>
        </w:rPr>
        <w:t xml:space="preserve">, ‘Human Gain-of-Function MC4R Variants Show Signaling Bias and Protect against Obesity’, </w:t>
      </w:r>
      <w:r>
        <w:rPr>
          <w:i/>
          <w:iCs/>
          <w:lang w:val="en-US"/>
        </w:rPr>
        <w:t>Cell</w:t>
      </w:r>
      <w:r>
        <w:rPr>
          <w:lang w:val="en-US"/>
        </w:rPr>
        <w:t xml:space="preserve">, </w:t>
      </w:r>
      <w:r>
        <w:rPr/>
        <w:t>τ</w:t>
      </w:r>
      <w:r>
        <w:rPr>
          <w:lang w:val="en-US"/>
        </w:rPr>
        <w:t xml:space="preserve">. 177, </w:t>
      </w:r>
      <w:r>
        <w:rPr/>
        <w:t>τχ</w:t>
      </w:r>
      <w:r>
        <w:rPr>
          <w:lang w:val="en-US"/>
        </w:rPr>
        <w:t xml:space="preserve">. 3, </w:t>
      </w:r>
      <w:r>
        <w:rPr/>
        <w:t>σσ</w:t>
      </w:r>
      <w:r>
        <w:rPr>
          <w:lang w:val="en-US"/>
        </w:rPr>
        <w:t xml:space="preserve">. 597-607.e9, </w:t>
      </w:r>
      <w:r>
        <w:rPr/>
        <w:t>Απριλίου</w:t>
      </w:r>
      <w:r>
        <w:rPr>
          <w:lang w:val="en-US"/>
        </w:rPr>
        <w:t xml:space="preserve"> 2019, doi: 10.1016/j.cell.2019.03.044.</w:t>
      </w:r>
    </w:p>
    <w:p>
      <w:pPr>
        <w:pStyle w:val="Normal"/>
        <w:widowControl w:val="false"/>
        <w:spacing w:before="0" w:after="240"/>
        <w:jc w:val="both"/>
        <w:rPr>
          <w:lang w:val="en-US"/>
        </w:rPr>
      </w:pPr>
      <w:r>
        <w:rPr>
          <w:lang w:val="en-US"/>
        </w:rPr>
        <w:t>[95]</w:t>
        <w:tab/>
        <w:t xml:space="preserve">M. K. Crocker </w:t>
      </w:r>
      <w:r>
        <w:rPr/>
        <w:t>και</w:t>
      </w:r>
      <w:r>
        <w:rPr>
          <w:lang w:val="en-US"/>
        </w:rPr>
        <w:t xml:space="preserve"> J. A. Yanovski, ‘Pediatric Obesity: Etiology and Treatment’, </w:t>
      </w:r>
      <w:r>
        <w:rPr>
          <w:i/>
          <w:iCs/>
          <w:lang w:val="en-US"/>
        </w:rPr>
        <w:t>Endocrinol. Metab. Clin. North Am.</w:t>
      </w:r>
      <w:r>
        <w:rPr>
          <w:lang w:val="en-US"/>
        </w:rPr>
        <w:t xml:space="preserve">, </w:t>
      </w:r>
      <w:r>
        <w:rPr/>
        <w:t>τ</w:t>
      </w:r>
      <w:r>
        <w:rPr>
          <w:lang w:val="en-US"/>
        </w:rPr>
        <w:t xml:space="preserve">. 38, </w:t>
      </w:r>
      <w:r>
        <w:rPr/>
        <w:t>τχ</w:t>
      </w:r>
      <w:r>
        <w:rPr>
          <w:lang w:val="en-US"/>
        </w:rPr>
        <w:t xml:space="preserve">. 3, </w:t>
      </w:r>
      <w:r>
        <w:rPr/>
        <w:t>σσ</w:t>
      </w:r>
      <w:r>
        <w:rPr>
          <w:lang w:val="en-US"/>
        </w:rPr>
        <w:t xml:space="preserve">. 525–548, </w:t>
      </w:r>
      <w:r>
        <w:rPr/>
        <w:t>Σεπτεμβρίου</w:t>
      </w:r>
      <w:r>
        <w:rPr>
          <w:lang w:val="en-US"/>
        </w:rPr>
        <w:t xml:space="preserve"> 2009, doi: 10.1016/j.ecl.2009.06.007.</w:t>
      </w:r>
    </w:p>
    <w:p>
      <w:pPr>
        <w:pStyle w:val="Normal"/>
        <w:widowControl w:val="false"/>
        <w:spacing w:before="0" w:after="240"/>
        <w:jc w:val="both"/>
        <w:rPr>
          <w:lang w:val="en-US"/>
        </w:rPr>
      </w:pPr>
      <w:r>
        <w:rPr>
          <w:lang w:val="en-US"/>
        </w:rPr>
        <w:t>[96]</w:t>
        <w:tab/>
        <w:t xml:space="preserve">I. H. Koves </w:t>
      </w:r>
      <w:r>
        <w:rPr/>
        <w:t>και</w:t>
      </w:r>
      <w:r>
        <w:rPr>
          <w:lang w:val="en-US"/>
        </w:rPr>
        <w:t xml:space="preserve"> C. Roth, ‘Genetic and Syndromic Causes of Obesity and its Management’, </w:t>
      </w:r>
      <w:r>
        <w:rPr>
          <w:i/>
          <w:iCs/>
          <w:lang w:val="en-US"/>
        </w:rPr>
        <w:t>Indian J. Pediatr.</w:t>
      </w:r>
      <w:r>
        <w:rPr>
          <w:lang w:val="en-US"/>
        </w:rPr>
        <w:t xml:space="preserve">, </w:t>
      </w:r>
      <w:r>
        <w:rPr/>
        <w:t>τ</w:t>
      </w:r>
      <w:r>
        <w:rPr>
          <w:lang w:val="en-US"/>
        </w:rPr>
        <w:t xml:space="preserve">. 85, </w:t>
      </w:r>
      <w:r>
        <w:rPr/>
        <w:t>τχ</w:t>
      </w:r>
      <w:r>
        <w:rPr>
          <w:lang w:val="en-US"/>
        </w:rPr>
        <w:t xml:space="preserve">. 6, </w:t>
      </w:r>
      <w:r>
        <w:rPr/>
        <w:t>σσ</w:t>
      </w:r>
      <w:r>
        <w:rPr>
          <w:lang w:val="en-US"/>
        </w:rPr>
        <w:t xml:space="preserve">. 478–485, </w:t>
      </w:r>
      <w:r>
        <w:rPr/>
        <w:t>Ιουνίου</w:t>
      </w:r>
      <w:r>
        <w:rPr>
          <w:lang w:val="en-US"/>
        </w:rPr>
        <w:t xml:space="preserve"> 2018, doi: 10.1007/s12098-017-2502-2.</w:t>
      </w:r>
    </w:p>
    <w:p>
      <w:pPr>
        <w:pStyle w:val="Normal"/>
        <w:widowControl w:val="false"/>
        <w:spacing w:before="0" w:after="240"/>
        <w:jc w:val="both"/>
        <w:rPr>
          <w:lang w:val="en-US"/>
        </w:rPr>
      </w:pPr>
      <w:r>
        <w:rPr>
          <w:lang w:val="en-US"/>
        </w:rPr>
        <w:t>[97]</w:t>
        <w:tab/>
        <w:t xml:space="preserve">K. T. Nead </w:t>
      </w:r>
      <w:r>
        <w:rPr>
          <w:i/>
          <w:iCs/>
        </w:rPr>
        <w:t>κ</w:t>
      </w:r>
      <w:r>
        <w:rPr>
          <w:i/>
          <w:iCs/>
          <w:lang w:val="en-US"/>
        </w:rPr>
        <w:t>.</w:t>
      </w:r>
      <w:r>
        <w:rPr>
          <w:i/>
          <w:iCs/>
        </w:rPr>
        <w:t>ά</w:t>
      </w:r>
      <w:r>
        <w:rPr>
          <w:i/>
          <w:iCs/>
          <w:lang w:val="en-US"/>
        </w:rPr>
        <w:t>.</w:t>
      </w:r>
      <w:r>
        <w:rPr>
          <w:lang w:val="en-US"/>
        </w:rPr>
        <w:t xml:space="preserve">, ‘Contribution of common non-synonymous variants in PCSK1 to body mass index variation and risk of obesity: a systematic review and meta-analysis with evidence from up to 331 175 individuals’, </w:t>
      </w:r>
      <w:r>
        <w:rPr>
          <w:i/>
          <w:iCs/>
          <w:lang w:val="en-US"/>
        </w:rPr>
        <w:t>Hum. Mol. Genet.</w:t>
      </w:r>
      <w:r>
        <w:rPr>
          <w:lang w:val="en-US"/>
        </w:rPr>
        <w:t xml:space="preserve">, </w:t>
      </w:r>
      <w:r>
        <w:rPr/>
        <w:t>τ</w:t>
      </w:r>
      <w:r>
        <w:rPr>
          <w:lang w:val="en-US"/>
        </w:rPr>
        <w:t xml:space="preserve">. 24, </w:t>
      </w:r>
      <w:r>
        <w:rPr/>
        <w:t>τχ</w:t>
      </w:r>
      <w:r>
        <w:rPr>
          <w:lang w:val="en-US"/>
        </w:rPr>
        <w:t xml:space="preserve">. 12, </w:t>
      </w:r>
      <w:r>
        <w:rPr/>
        <w:t>σσ</w:t>
      </w:r>
      <w:r>
        <w:rPr>
          <w:lang w:val="en-US"/>
        </w:rPr>
        <w:t xml:space="preserve">. 3582–3594, </w:t>
      </w:r>
      <w:r>
        <w:rPr/>
        <w:t>Ιουνίου</w:t>
      </w:r>
      <w:r>
        <w:rPr>
          <w:lang w:val="en-US"/>
        </w:rPr>
        <w:t xml:space="preserve"> 2015, doi: 10.1093/hmg/ddv097.</w:t>
      </w:r>
    </w:p>
    <w:p>
      <w:pPr>
        <w:pStyle w:val="Normal"/>
        <w:widowControl w:val="false"/>
        <w:spacing w:before="0" w:after="240"/>
        <w:jc w:val="both"/>
        <w:rPr>
          <w:lang w:val="en-US"/>
        </w:rPr>
      </w:pPr>
      <w:r>
        <w:rPr>
          <w:lang w:val="en-US"/>
        </w:rPr>
        <w:t>[98]</w:t>
        <w:tab/>
        <w:t xml:space="preserve">C. N, P. M, W. Rw, M. A, </w:t>
      </w:r>
      <w:r>
        <w:rPr/>
        <w:t>και</w:t>
      </w:r>
      <w:r>
        <w:rPr>
          <w:lang w:val="en-US"/>
        </w:rPr>
        <w:t xml:space="preserve"> L. Rjf, ‘The role of polygenic susceptibility to obesity among carriers of pathogenic mutations in MC4R in the UK Biobank population’, </w:t>
      </w:r>
      <w:r>
        <w:rPr>
          <w:i/>
          <w:iCs/>
          <w:lang w:val="en-US"/>
        </w:rPr>
        <w:t>PLoS Med.</w:t>
      </w:r>
      <w:r>
        <w:rPr>
          <w:lang w:val="en-US"/>
        </w:rPr>
        <w:t xml:space="preserve">, </w:t>
      </w:r>
      <w:r>
        <w:rPr/>
        <w:t>τ</w:t>
      </w:r>
      <w:r>
        <w:rPr>
          <w:lang w:val="en-US"/>
        </w:rPr>
        <w:t xml:space="preserve">. 17, </w:t>
      </w:r>
      <w:r>
        <w:rPr/>
        <w:t>τχ</w:t>
      </w:r>
      <w:r>
        <w:rPr>
          <w:lang w:val="en-US"/>
        </w:rPr>
        <w:t xml:space="preserve">. 7, </w:t>
      </w:r>
      <w:r>
        <w:rPr/>
        <w:t>Ιουλίου</w:t>
      </w:r>
      <w:r>
        <w:rPr>
          <w:lang w:val="en-US"/>
        </w:rPr>
        <w:t xml:space="preserve"> 2020, doi: 10.1371/journal.pmed.1003196.</w:t>
      </w:r>
    </w:p>
    <w:p>
      <w:pPr>
        <w:pStyle w:val="Normal"/>
        <w:widowControl w:val="false"/>
        <w:spacing w:before="0" w:after="240"/>
        <w:jc w:val="both"/>
        <w:rPr>
          <w:lang w:val="en-US"/>
        </w:rPr>
      </w:pPr>
      <w:r>
        <w:rPr>
          <w:lang w:val="en-US"/>
        </w:rPr>
        <w:t>[99]</w:t>
        <w:tab/>
        <w:t xml:space="preserve"> van der K. Aa </w:t>
      </w:r>
      <w:r>
        <w:rPr>
          <w:i/>
          <w:iCs/>
        </w:rPr>
        <w:t>κ</w:t>
      </w:r>
      <w:r>
        <w:rPr>
          <w:i/>
          <w:iCs/>
          <w:lang w:val="en-US"/>
        </w:rPr>
        <w:t>.</w:t>
      </w:r>
      <w:r>
        <w:rPr>
          <w:i/>
          <w:iCs/>
        </w:rPr>
        <w:t>ά</w:t>
      </w:r>
      <w:r>
        <w:rPr>
          <w:i/>
          <w:iCs/>
          <w:lang w:val="en-US"/>
        </w:rPr>
        <w:t>.</w:t>
      </w:r>
      <w:r>
        <w:rPr>
          <w:lang w:val="en-US"/>
        </w:rPr>
        <w:t xml:space="preserve">, ‘Human Semaphorin 3 Variants Link Melanocortin Circuit Development and Energy Balance’, </w:t>
      </w:r>
      <w:r>
        <w:rPr>
          <w:i/>
          <w:iCs/>
          <w:lang w:val="en-US"/>
        </w:rPr>
        <w:t>Cell</w:t>
      </w:r>
      <w:r>
        <w:rPr>
          <w:lang w:val="en-US"/>
        </w:rPr>
        <w:t xml:space="preserve">, </w:t>
      </w:r>
      <w:r>
        <w:rPr/>
        <w:t>τ</w:t>
      </w:r>
      <w:r>
        <w:rPr>
          <w:lang w:val="en-US"/>
        </w:rPr>
        <w:t xml:space="preserve">. 176, </w:t>
      </w:r>
      <w:r>
        <w:rPr/>
        <w:t>τχ</w:t>
      </w:r>
      <w:r>
        <w:rPr>
          <w:lang w:val="en-US"/>
        </w:rPr>
        <w:t xml:space="preserve">. 4, </w:t>
      </w:r>
      <w:r>
        <w:rPr/>
        <w:t>Ιουλίου</w:t>
      </w:r>
      <w:r>
        <w:rPr>
          <w:lang w:val="en-US"/>
        </w:rPr>
        <w:t xml:space="preserve"> 2019, doi: 10.1016/j.cell.2018.12.009.</w:t>
      </w:r>
    </w:p>
    <w:p>
      <w:pPr>
        <w:pStyle w:val="Normal"/>
        <w:widowControl w:val="false"/>
        <w:spacing w:before="0" w:after="240"/>
        <w:jc w:val="both"/>
        <w:rPr>
          <w:lang w:val="en-US"/>
        </w:rPr>
      </w:pPr>
      <w:r>
        <w:rPr>
          <w:lang w:val="en-US"/>
        </w:rPr>
        <w:t>[100]</w:t>
        <w:tab/>
        <w:t xml:space="preserve">Y. L </w:t>
      </w:r>
      <w:r>
        <w:rPr>
          <w:i/>
          <w:iCs/>
        </w:rPr>
        <w:t>κ</w:t>
      </w:r>
      <w:r>
        <w:rPr>
          <w:i/>
          <w:iCs/>
          <w:lang w:val="en-US"/>
        </w:rPr>
        <w:t>.</w:t>
      </w:r>
      <w:r>
        <w:rPr>
          <w:i/>
          <w:iCs/>
        </w:rPr>
        <w:t>ά</w:t>
      </w:r>
      <w:r>
        <w:rPr>
          <w:i/>
          <w:iCs/>
          <w:lang w:val="en-US"/>
        </w:rPr>
        <w:t>.</w:t>
      </w:r>
      <w:r>
        <w:rPr>
          <w:lang w:val="en-US"/>
        </w:rPr>
        <w:t xml:space="preserve">, ‘Meta-analysis of genome-wide association studies for height and body mass index in </w:t>
      </w:r>
      <w:r>
        <w:rPr>
          <w:rFonts w:cs="Cambria Math" w:ascii="Cambria Math" w:hAnsi="Cambria Math"/>
          <w:lang w:val="en-US"/>
        </w:rPr>
        <w:t>∼</w:t>
      </w:r>
      <w:r>
        <w:rPr>
          <w:lang w:val="en-US"/>
        </w:rPr>
        <w:t xml:space="preserve">700000 individuals of European ancestry’, </w:t>
      </w:r>
      <w:r>
        <w:rPr>
          <w:i/>
          <w:iCs/>
          <w:lang w:val="en-US"/>
        </w:rPr>
        <w:t>Hum. Mol. Genet.</w:t>
      </w:r>
      <w:r>
        <w:rPr>
          <w:lang w:val="en-US"/>
        </w:rPr>
        <w:t xml:space="preserve">, </w:t>
      </w:r>
      <w:r>
        <w:rPr/>
        <w:t>τ</w:t>
      </w:r>
      <w:r>
        <w:rPr>
          <w:lang w:val="en-US"/>
        </w:rPr>
        <w:t xml:space="preserve">. 27, </w:t>
      </w:r>
      <w:r>
        <w:rPr/>
        <w:t>τχ</w:t>
      </w:r>
      <w:r>
        <w:rPr>
          <w:lang w:val="en-US"/>
        </w:rPr>
        <w:t xml:space="preserve">. 20, </w:t>
      </w:r>
      <w:r>
        <w:rPr/>
        <w:t>Οκτωβρίου</w:t>
      </w:r>
      <w:r>
        <w:rPr>
          <w:lang w:val="en-US"/>
        </w:rPr>
        <w:t xml:space="preserve"> 2018, doi: 10.1093/hmg/ddy271.</w:t>
      </w:r>
    </w:p>
    <w:p>
      <w:pPr>
        <w:pStyle w:val="Normal"/>
        <w:widowControl w:val="false"/>
        <w:spacing w:before="0" w:after="240"/>
        <w:jc w:val="both"/>
        <w:rPr>
          <w:lang w:val="en-US"/>
        </w:rPr>
      </w:pPr>
      <w:r>
        <w:rPr>
          <w:lang w:val="en-US"/>
        </w:rPr>
        <w:t>[101]</w:t>
        <w:tab/>
        <w:t xml:space="preserve">F. Tm </w:t>
      </w:r>
      <w:r>
        <w:rPr>
          <w:i/>
          <w:iCs/>
        </w:rPr>
        <w:t>κ</w:t>
      </w:r>
      <w:r>
        <w:rPr>
          <w:i/>
          <w:iCs/>
          <w:lang w:val="en-US"/>
        </w:rPr>
        <w:t>.</w:t>
      </w:r>
      <w:r>
        <w:rPr>
          <w:i/>
          <w:iCs/>
        </w:rPr>
        <w:t>ά</w:t>
      </w:r>
      <w:r>
        <w:rPr>
          <w:i/>
          <w:iCs/>
          <w:lang w:val="en-US"/>
        </w:rPr>
        <w:t>.</w:t>
      </w:r>
      <w:r>
        <w:rPr>
          <w:lang w:val="en-US"/>
        </w:rPr>
        <w:t xml:space="preserve">, ‘A common variant in the FTO gene is associated with body mass index and predisposes to childhood and adult obesity’, </w:t>
      </w:r>
      <w:r>
        <w:rPr>
          <w:i/>
          <w:iCs/>
          <w:lang w:val="en-US"/>
        </w:rPr>
        <w:t>Science</w:t>
      </w:r>
      <w:r>
        <w:rPr>
          <w:lang w:val="en-US"/>
        </w:rPr>
        <w:t xml:space="preserve">, </w:t>
      </w:r>
      <w:r>
        <w:rPr/>
        <w:t>τ</w:t>
      </w:r>
      <w:r>
        <w:rPr>
          <w:lang w:val="en-US"/>
        </w:rPr>
        <w:t xml:space="preserve">. 316, </w:t>
      </w:r>
      <w:r>
        <w:rPr/>
        <w:t>τχ</w:t>
      </w:r>
      <w:r>
        <w:rPr>
          <w:lang w:val="en-US"/>
        </w:rPr>
        <w:t xml:space="preserve">. 5826, </w:t>
      </w:r>
      <w:r>
        <w:rPr/>
        <w:t>Νοεμβρίου</w:t>
      </w:r>
      <w:r>
        <w:rPr>
          <w:lang w:val="en-US"/>
        </w:rPr>
        <w:t xml:space="preserve"> 2007, doi: 10.1126/science.1141634.</w:t>
      </w:r>
    </w:p>
    <w:p>
      <w:pPr>
        <w:pStyle w:val="Normal"/>
        <w:widowControl w:val="false"/>
        <w:spacing w:before="0" w:after="240"/>
        <w:jc w:val="both"/>
        <w:rPr>
          <w:lang w:val="en-US"/>
        </w:rPr>
      </w:pPr>
      <w:r>
        <w:rPr>
          <w:lang w:val="en-US"/>
        </w:rPr>
        <w:t>[102]</w:t>
        <w:tab/>
        <w:t xml:space="preserve">S. A </w:t>
      </w:r>
      <w:r>
        <w:rPr>
          <w:i/>
          <w:iCs/>
        </w:rPr>
        <w:t>κ</w:t>
      </w:r>
      <w:r>
        <w:rPr>
          <w:i/>
          <w:iCs/>
          <w:lang w:val="en-US"/>
        </w:rPr>
        <w:t>.</w:t>
      </w:r>
      <w:r>
        <w:rPr>
          <w:i/>
          <w:iCs/>
        </w:rPr>
        <w:t>ά</w:t>
      </w:r>
      <w:r>
        <w:rPr>
          <w:i/>
          <w:iCs/>
          <w:lang w:val="en-US"/>
        </w:rPr>
        <w:t>.</w:t>
      </w:r>
      <w:r>
        <w:rPr>
          <w:lang w:val="en-US"/>
        </w:rPr>
        <w:t xml:space="preserve">, ‘Genome-wide association scan shows genetic variants in the FTO gene are associated with obesity-related traits’, </w:t>
      </w:r>
      <w:r>
        <w:rPr>
          <w:i/>
          <w:iCs/>
          <w:lang w:val="en-US"/>
        </w:rPr>
        <w:t>PLoS Genet.</w:t>
      </w:r>
      <w:r>
        <w:rPr>
          <w:lang w:val="en-US"/>
        </w:rPr>
        <w:t xml:space="preserve">, </w:t>
      </w:r>
      <w:r>
        <w:rPr/>
        <w:t>τ</w:t>
      </w:r>
      <w:r>
        <w:rPr>
          <w:lang w:val="en-US"/>
        </w:rPr>
        <w:t xml:space="preserve">. 3, </w:t>
      </w:r>
      <w:r>
        <w:rPr/>
        <w:t>τχ</w:t>
      </w:r>
      <w:r>
        <w:rPr>
          <w:lang w:val="en-US"/>
        </w:rPr>
        <w:t xml:space="preserve">. 7, </w:t>
      </w:r>
      <w:r>
        <w:rPr/>
        <w:t>Ιουλίου</w:t>
      </w:r>
      <w:r>
        <w:rPr>
          <w:lang w:val="en-US"/>
        </w:rPr>
        <w:t xml:space="preserve"> 2007, doi: 10.1371/journal.pgen.0030115.</w:t>
      </w:r>
    </w:p>
    <w:p>
      <w:pPr>
        <w:pStyle w:val="Normal"/>
        <w:widowControl w:val="false"/>
        <w:spacing w:before="0" w:after="240"/>
        <w:jc w:val="both"/>
        <w:rPr>
          <w:lang w:val="en-US"/>
        </w:rPr>
      </w:pPr>
      <w:r>
        <w:rPr>
          <w:lang w:val="en-US"/>
        </w:rPr>
        <w:t>[103]</w:t>
        <w:tab/>
        <w:t xml:space="preserve">C. Je, T. R, W. P, H. Mm, </w:t>
      </w:r>
      <w:r>
        <w:rPr/>
        <w:t>και</w:t>
      </w:r>
      <w:r>
        <w:rPr>
          <w:lang w:val="en-US"/>
        </w:rPr>
        <w:t xml:space="preserve"> P. Cn, ‘An obesity-associated FTO gene variant and increased energy intake in children’, </w:t>
      </w:r>
      <w:r>
        <w:rPr>
          <w:i/>
          <w:iCs/>
          <w:lang w:val="en-US"/>
        </w:rPr>
        <w:t>N. Engl. J. Med.</w:t>
      </w:r>
      <w:r>
        <w:rPr>
          <w:lang w:val="en-US"/>
        </w:rPr>
        <w:t xml:space="preserve">, </w:t>
      </w:r>
      <w:r>
        <w:rPr/>
        <w:t>τ</w:t>
      </w:r>
      <w:r>
        <w:rPr>
          <w:lang w:val="en-US"/>
        </w:rPr>
        <w:t xml:space="preserve">. 359, </w:t>
      </w:r>
      <w:r>
        <w:rPr/>
        <w:t>τχ</w:t>
      </w:r>
      <w:r>
        <w:rPr>
          <w:lang w:val="en-US"/>
        </w:rPr>
        <w:t xml:space="preserve">. 24, </w:t>
      </w:r>
      <w:r>
        <w:rPr/>
        <w:t>Νοεμβρίου</w:t>
      </w:r>
      <w:r>
        <w:rPr>
          <w:lang w:val="en-US"/>
        </w:rPr>
        <w:t xml:space="preserve"> 2008, doi: 10.1056/NEJMoa0803839.</w:t>
      </w:r>
    </w:p>
    <w:p>
      <w:pPr>
        <w:pStyle w:val="Normal"/>
        <w:widowControl w:val="false"/>
        <w:spacing w:before="0" w:after="240"/>
        <w:jc w:val="both"/>
        <w:rPr>
          <w:lang w:val="en-US"/>
        </w:rPr>
      </w:pPr>
      <w:r>
        <w:rPr>
          <w:lang w:val="en-US"/>
        </w:rPr>
        <w:t>[104]</w:t>
        <w:tab/>
        <w:t xml:space="preserve">F. Rutters, A. G. Nieuwenhuizen, F. Bouwman, E. Mariman, </w:t>
      </w:r>
      <w:r>
        <w:rPr/>
        <w:t>και</w:t>
      </w:r>
      <w:r>
        <w:rPr>
          <w:lang w:val="en-US"/>
        </w:rPr>
        <w:t xml:space="preserve"> M. S. Westerterp-Plantenga, ‘Associations between a single nucleotide polymorphism of the FTO Gene (rs9939609) and obesity-related characteristics over time during puberty in a Dutch children cohort’, </w:t>
      </w:r>
      <w:r>
        <w:rPr>
          <w:i/>
          <w:iCs/>
          <w:lang w:val="en-US"/>
        </w:rPr>
        <w:t>J. Clin. Endocrinol. Metab.</w:t>
      </w:r>
      <w:r>
        <w:rPr>
          <w:lang w:val="en-US"/>
        </w:rPr>
        <w:t xml:space="preserve">, </w:t>
      </w:r>
      <w:r>
        <w:rPr/>
        <w:t>τ</w:t>
      </w:r>
      <w:r>
        <w:rPr>
          <w:lang w:val="en-US"/>
        </w:rPr>
        <w:t xml:space="preserve">. 96, </w:t>
      </w:r>
      <w:r>
        <w:rPr/>
        <w:t>τχ</w:t>
      </w:r>
      <w:r>
        <w:rPr>
          <w:lang w:val="en-US"/>
        </w:rPr>
        <w:t xml:space="preserve">. 6, </w:t>
      </w:r>
      <w:r>
        <w:rPr/>
        <w:t>σσ</w:t>
      </w:r>
      <w:r>
        <w:rPr>
          <w:lang w:val="en-US"/>
        </w:rPr>
        <w:t xml:space="preserve">. E939-942, </w:t>
      </w:r>
      <w:r>
        <w:rPr/>
        <w:t>Ιουνίου</w:t>
      </w:r>
      <w:r>
        <w:rPr>
          <w:lang w:val="en-US"/>
        </w:rPr>
        <w:t xml:space="preserve"> 2011, doi: 10.1210/jc.2010-2413.</w:t>
      </w:r>
    </w:p>
    <w:p>
      <w:pPr>
        <w:pStyle w:val="Normal"/>
        <w:widowControl w:val="false"/>
        <w:spacing w:before="0" w:after="240"/>
        <w:jc w:val="both"/>
        <w:rPr>
          <w:lang w:val="en-US"/>
        </w:rPr>
      </w:pPr>
      <w:r>
        <w:rPr>
          <w:lang w:val="en-US"/>
        </w:rPr>
        <w:t>[105]</w:t>
        <w:tab/>
        <w:t xml:space="preserve">W. J, C. S, H. Cm, F. Is, O. S, </w:t>
      </w:r>
      <w:r>
        <w:rPr/>
        <w:t>και</w:t>
      </w:r>
      <w:r>
        <w:rPr>
          <w:lang w:val="en-US"/>
        </w:rPr>
        <w:t xml:space="preserve"> P. R, ‘Obesity associated genetic variation in FTO is associated with diminished satiety’, </w:t>
      </w:r>
      <w:r>
        <w:rPr>
          <w:i/>
          <w:iCs/>
          <w:lang w:val="en-US"/>
        </w:rPr>
        <w:t>J. Clin. Endocrinol. Metab.</w:t>
      </w:r>
      <w:r>
        <w:rPr>
          <w:lang w:val="en-US"/>
        </w:rPr>
        <w:t xml:space="preserve">, </w:t>
      </w:r>
      <w:r>
        <w:rPr/>
        <w:t>τ</w:t>
      </w:r>
      <w:r>
        <w:rPr>
          <w:lang w:val="en-US"/>
        </w:rPr>
        <w:t xml:space="preserve">. 93, </w:t>
      </w:r>
      <w:r>
        <w:rPr/>
        <w:t>τχ</w:t>
      </w:r>
      <w:r>
        <w:rPr>
          <w:lang w:val="en-US"/>
        </w:rPr>
        <w:t xml:space="preserve">. 9, </w:t>
      </w:r>
      <w:r>
        <w:rPr/>
        <w:t>Σεπτεμβρίου</w:t>
      </w:r>
      <w:r>
        <w:rPr>
          <w:lang w:val="en-US"/>
        </w:rPr>
        <w:t xml:space="preserve"> 2008, doi: 10.1210/jc.2008-0472.</w:t>
      </w:r>
    </w:p>
    <w:p>
      <w:pPr>
        <w:pStyle w:val="Normal"/>
        <w:widowControl w:val="false"/>
        <w:spacing w:before="0" w:after="240"/>
        <w:jc w:val="both"/>
        <w:rPr>
          <w:lang w:val="en-US"/>
        </w:rPr>
      </w:pPr>
      <w:r>
        <w:rPr>
          <w:lang w:val="en-US"/>
        </w:rPr>
        <w:t>[106]</w:t>
        <w:tab/>
        <w:t xml:space="preserve">M. H, R. W, A. G, W. D, M. R, </w:t>
      </w:r>
      <w:r>
        <w:rPr/>
        <w:t>και</w:t>
      </w:r>
      <w:r>
        <w:rPr>
          <w:lang w:val="en-US"/>
        </w:rPr>
        <w:t xml:space="preserve"> H. R, ‘Rs9939609 variant of the fat mass and obesity-associated gene and trunk obesity in adolescents’, </w:t>
      </w:r>
      <w:r>
        <w:rPr>
          <w:i/>
          <w:iCs/>
          <w:lang w:val="en-US"/>
        </w:rPr>
        <w:t>J. Obes.</w:t>
      </w:r>
      <w:r>
        <w:rPr>
          <w:lang w:val="en-US"/>
        </w:rPr>
        <w:t xml:space="preserve">, </w:t>
      </w:r>
      <w:r>
        <w:rPr/>
        <w:t>τ</w:t>
      </w:r>
      <w:r>
        <w:rPr>
          <w:lang w:val="en-US"/>
        </w:rPr>
        <w:t>. 2011, 2011, doi: 10.1155/2011/186368.</w:t>
      </w:r>
    </w:p>
    <w:p>
      <w:pPr>
        <w:pStyle w:val="Normal"/>
        <w:widowControl w:val="false"/>
        <w:spacing w:before="0" w:after="240"/>
        <w:jc w:val="both"/>
        <w:rPr>
          <w:lang w:val="en-US"/>
        </w:rPr>
      </w:pPr>
      <w:r>
        <w:rPr>
          <w:lang w:val="en-US"/>
        </w:rPr>
        <w:t>[107]</w:t>
        <w:tab/>
        <w:t xml:space="preserve">T. Pf, M. Ja, R. Cp, K. Ei, F. M, </w:t>
      </w:r>
      <w:r>
        <w:rPr/>
        <w:t>και</w:t>
      </w:r>
      <w:r>
        <w:rPr>
          <w:lang w:val="en-US"/>
        </w:rPr>
        <w:t xml:space="preserve"> R. de M. V. A, ‘Influence of FTO (Fat mass and obesity) gene and parental obesity on Brazilian children and adolescents adiposity’, </w:t>
      </w:r>
      <w:r>
        <w:rPr>
          <w:i/>
          <w:iCs/>
          <w:lang w:val="en-US"/>
        </w:rPr>
        <w:t>J. Pediatr. Endocrinol. Metab. JPEM</w:t>
      </w:r>
      <w:r>
        <w:rPr>
          <w:lang w:val="en-US"/>
        </w:rPr>
        <w:t xml:space="preserve">, </w:t>
      </w:r>
      <w:r>
        <w:rPr/>
        <w:t>Ιουλίου</w:t>
      </w:r>
      <w:r>
        <w:rPr>
          <w:lang w:val="en-US"/>
        </w:rPr>
        <w:t xml:space="preserve"> 2020, doi: 10.1515/jpem-2019-0594.</w:t>
      </w:r>
    </w:p>
    <w:p>
      <w:pPr>
        <w:pStyle w:val="Normal"/>
        <w:widowControl w:val="false"/>
        <w:spacing w:before="0" w:after="240"/>
        <w:jc w:val="both"/>
        <w:rPr>
          <w:lang w:val="en-US"/>
        </w:rPr>
      </w:pPr>
      <w:r>
        <w:rPr>
          <w:lang w:val="en-US"/>
        </w:rPr>
        <w:t>[108]</w:t>
        <w:tab/>
        <w:t xml:space="preserve">R. Ém </w:t>
      </w:r>
      <w:r>
        <w:rPr>
          <w:i/>
          <w:iCs/>
        </w:rPr>
        <w:t>κ</w:t>
      </w:r>
      <w:r>
        <w:rPr>
          <w:i/>
          <w:iCs/>
          <w:lang w:val="en-US"/>
        </w:rPr>
        <w:t>.</w:t>
      </w:r>
      <w:r>
        <w:rPr>
          <w:i/>
          <w:iCs/>
        </w:rPr>
        <w:t>ά</w:t>
      </w:r>
      <w:r>
        <w:rPr>
          <w:i/>
          <w:iCs/>
          <w:lang w:val="en-US"/>
        </w:rPr>
        <w:t>.</w:t>
      </w:r>
      <w:r>
        <w:rPr>
          <w:lang w:val="en-US"/>
        </w:rPr>
        <w:t xml:space="preserve">, ‘FTO gene polymorphism and longitudinal changes in nutritional/obesity status in children and adolescents: Schoolchildren’s health cohort study’, </w:t>
      </w:r>
      <w:r>
        <w:rPr>
          <w:i/>
          <w:iCs/>
          <w:lang w:val="en-US"/>
        </w:rPr>
        <w:t>Eur. J. Pediatr.</w:t>
      </w:r>
      <w:r>
        <w:rPr>
          <w:lang w:val="en-US"/>
        </w:rPr>
        <w:t xml:space="preserve">, </w:t>
      </w:r>
      <w:r>
        <w:rPr/>
        <w:t>τ</w:t>
      </w:r>
      <w:r>
        <w:rPr>
          <w:lang w:val="en-US"/>
        </w:rPr>
        <w:t xml:space="preserve">. 180, </w:t>
      </w:r>
      <w:r>
        <w:rPr/>
        <w:t>τχ</w:t>
      </w:r>
      <w:r>
        <w:rPr>
          <w:lang w:val="en-US"/>
        </w:rPr>
        <w:t xml:space="preserve">. 11, </w:t>
      </w:r>
      <w:r>
        <w:rPr/>
        <w:t>Νοεμβρίου</w:t>
      </w:r>
      <w:r>
        <w:rPr>
          <w:lang w:val="en-US"/>
        </w:rPr>
        <w:t xml:space="preserve"> 2021, doi: 10.1007/s00431-021-04120-0.</w:t>
      </w:r>
    </w:p>
    <w:p>
      <w:pPr>
        <w:pStyle w:val="Normal"/>
        <w:widowControl w:val="false"/>
        <w:spacing w:before="0" w:after="240"/>
        <w:jc w:val="both"/>
        <w:rPr>
          <w:lang w:val="en-US"/>
        </w:rPr>
      </w:pPr>
      <w:r>
        <w:rPr>
          <w:lang w:val="en-US"/>
        </w:rPr>
        <w:t>[109]</w:t>
        <w:tab/>
        <w:t xml:space="preserve">P. P. A </w:t>
      </w:r>
      <w:r>
        <w:rPr>
          <w:i/>
          <w:iCs/>
        </w:rPr>
        <w:t>κ</w:t>
      </w:r>
      <w:r>
        <w:rPr>
          <w:i/>
          <w:iCs/>
          <w:lang w:val="en-US"/>
        </w:rPr>
        <w:t>.</w:t>
      </w:r>
      <w:r>
        <w:rPr>
          <w:i/>
          <w:iCs/>
        </w:rPr>
        <w:t>ά</w:t>
      </w:r>
      <w:r>
        <w:rPr>
          <w:i/>
          <w:iCs/>
          <w:lang w:val="en-US"/>
        </w:rPr>
        <w:t>.</w:t>
      </w:r>
      <w:r>
        <w:rPr>
          <w:lang w:val="en-US"/>
        </w:rPr>
        <w:t xml:space="preserve">, ‘Lack of association between genetic polymorphism of FTO, AKT1 and AKTIP in childhood overweight and obesity’, </w:t>
      </w:r>
      <w:r>
        <w:rPr>
          <w:i/>
          <w:iCs/>
          <w:lang w:val="en-US"/>
        </w:rPr>
        <w:t>J. Pediatr. (Rio J.)</w:t>
      </w:r>
      <w:r>
        <w:rPr>
          <w:lang w:val="en-US"/>
        </w:rPr>
        <w:t xml:space="preserve">, </w:t>
      </w:r>
      <w:r>
        <w:rPr/>
        <w:t>τ</w:t>
      </w:r>
      <w:r>
        <w:rPr>
          <w:lang w:val="en-US"/>
        </w:rPr>
        <w:t xml:space="preserve">. 92, </w:t>
      </w:r>
      <w:r>
        <w:rPr/>
        <w:t>τχ</w:t>
      </w:r>
      <w:r>
        <w:rPr>
          <w:lang w:val="en-US"/>
        </w:rPr>
        <w:t xml:space="preserve">. 5, </w:t>
      </w:r>
      <w:r>
        <w:rPr/>
        <w:t>Οκτωβρίου</w:t>
      </w:r>
      <w:r>
        <w:rPr>
          <w:lang w:val="en-US"/>
        </w:rPr>
        <w:t xml:space="preserve"> 2016, doi: 10.1016/j.jped.2015.12.007.</w:t>
      </w:r>
    </w:p>
    <w:p>
      <w:pPr>
        <w:pStyle w:val="Normal"/>
        <w:widowControl w:val="false"/>
        <w:spacing w:before="0" w:after="240"/>
        <w:jc w:val="both"/>
        <w:rPr>
          <w:lang w:val="en-US"/>
        </w:rPr>
      </w:pPr>
      <w:r>
        <w:rPr>
          <w:lang w:val="en-US"/>
        </w:rPr>
        <w:t>[110]</w:t>
        <w:tab/>
        <w:t xml:space="preserve">L.-R. G, E.-N. A, S.-D. T, T. Me, F. Jc, </w:t>
      </w:r>
      <w:r>
        <w:rPr/>
        <w:t>και</w:t>
      </w:r>
      <w:r>
        <w:rPr>
          <w:lang w:val="en-US"/>
        </w:rPr>
        <w:t xml:space="preserve"> G. M, ‘Common polymorphisms in MC4R and FTO genes are associated with BMI and metabolic indicators in Mexican children: Differences by sex and genetic ancestry’, </w:t>
      </w:r>
      <w:r>
        <w:rPr>
          <w:i/>
          <w:iCs/>
          <w:lang w:val="en-US"/>
        </w:rPr>
        <w:t>Gene</w:t>
      </w:r>
      <w:r>
        <w:rPr>
          <w:lang w:val="en-US"/>
        </w:rPr>
        <w:t xml:space="preserve">, </w:t>
      </w:r>
      <w:r>
        <w:rPr/>
        <w:t>τ</w:t>
      </w:r>
      <w:r>
        <w:rPr>
          <w:lang w:val="en-US"/>
        </w:rPr>
        <w:t xml:space="preserve">. 754, </w:t>
      </w:r>
      <w:r>
        <w:rPr/>
        <w:t>Μαΐου</w:t>
      </w:r>
      <w:r>
        <w:rPr>
          <w:lang w:val="en-US"/>
        </w:rPr>
        <w:t xml:space="preserve"> 2020, doi: 10.1016/j.gene.2020.144840.</w:t>
      </w:r>
    </w:p>
    <w:p>
      <w:pPr>
        <w:pStyle w:val="Normal"/>
        <w:widowControl w:val="false"/>
        <w:spacing w:before="0" w:after="240"/>
        <w:jc w:val="both"/>
        <w:rPr>
          <w:lang w:val="en-US"/>
        </w:rPr>
      </w:pPr>
      <w:r>
        <w:rPr>
          <w:lang w:val="en-US"/>
        </w:rPr>
        <w:t>[111]</w:t>
        <w:tab/>
        <w:t xml:space="preserve">M.-B. A </w:t>
      </w:r>
      <w:r>
        <w:rPr>
          <w:i/>
          <w:iCs/>
        </w:rPr>
        <w:t>κ</w:t>
      </w:r>
      <w:r>
        <w:rPr>
          <w:i/>
          <w:iCs/>
          <w:lang w:val="en-US"/>
        </w:rPr>
        <w:t>.</w:t>
      </w:r>
      <w:r>
        <w:rPr>
          <w:i/>
          <w:iCs/>
        </w:rPr>
        <w:t>ά</w:t>
      </w:r>
      <w:r>
        <w:rPr>
          <w:i/>
          <w:iCs/>
          <w:lang w:val="en-US"/>
        </w:rPr>
        <w:t>.</w:t>
      </w:r>
      <w:r>
        <w:rPr>
          <w:lang w:val="en-US"/>
        </w:rPr>
        <w:t xml:space="preserve">, ‘Analysis of the contribution of FTO, NPC1, ENPP1, NEGR1, GNPDA2 and MC4R genes to obesity in Mexican children’, </w:t>
      </w:r>
      <w:r>
        <w:rPr>
          <w:i/>
          <w:iCs/>
          <w:lang w:val="en-US"/>
        </w:rPr>
        <w:t>BMC Med. Genet.</w:t>
      </w:r>
      <w:r>
        <w:rPr>
          <w:lang w:val="en-US"/>
        </w:rPr>
        <w:t xml:space="preserve">, </w:t>
      </w:r>
      <w:r>
        <w:rPr/>
        <w:t>τ</w:t>
      </w:r>
      <w:r>
        <w:rPr>
          <w:lang w:val="en-US"/>
        </w:rPr>
        <w:t xml:space="preserve">. 14, </w:t>
      </w:r>
      <w:r>
        <w:rPr/>
        <w:t>Ιανουαρίου</w:t>
      </w:r>
      <w:r>
        <w:rPr>
          <w:lang w:val="en-US"/>
        </w:rPr>
        <w:t xml:space="preserve"> 2013, doi: 10.1186/1471-2350-14-21.</w:t>
      </w:r>
    </w:p>
    <w:p>
      <w:pPr>
        <w:pStyle w:val="Normal"/>
        <w:widowControl w:val="false"/>
        <w:spacing w:before="0" w:after="240"/>
        <w:jc w:val="both"/>
        <w:rPr>
          <w:lang w:val="en-US"/>
        </w:rPr>
      </w:pPr>
      <w:r>
        <w:rPr>
          <w:lang w:val="en-US"/>
        </w:rPr>
        <w:t>[112]</w:t>
        <w:tab/>
        <w:t xml:space="preserve">N. Inandiklioğlu </w:t>
      </w:r>
      <w:r>
        <w:rPr/>
        <w:t>και</w:t>
      </w:r>
      <w:r>
        <w:rPr>
          <w:lang w:val="en-US"/>
        </w:rPr>
        <w:t xml:space="preserve"> A. Yaşar, ‘Association between rs1421085 and rs9939609 Polymorphisms of Fat Mass and Obesity-Associated Gene with High-Density Lipoprotein Cholesterol and Triglyceride in Obese Turkish Children and Adolescents’, </w:t>
      </w:r>
      <w:r>
        <w:rPr>
          <w:i/>
          <w:iCs/>
          <w:lang w:val="en-US"/>
        </w:rPr>
        <w:t>J. Pediatr. Genet.</w:t>
      </w:r>
      <w:r>
        <w:rPr>
          <w:lang w:val="en-US"/>
        </w:rPr>
        <w:t xml:space="preserve">, </w:t>
      </w:r>
      <w:r>
        <w:rPr/>
        <w:t>τ</w:t>
      </w:r>
      <w:r>
        <w:rPr>
          <w:lang w:val="en-US"/>
        </w:rPr>
        <w:t xml:space="preserve">. 10, </w:t>
      </w:r>
      <w:r>
        <w:rPr/>
        <w:t>τχ</w:t>
      </w:r>
      <w:r>
        <w:rPr>
          <w:lang w:val="en-US"/>
        </w:rPr>
        <w:t xml:space="preserve">. 1, </w:t>
      </w:r>
      <w:r>
        <w:rPr/>
        <w:t>σσ</w:t>
      </w:r>
      <w:r>
        <w:rPr>
          <w:lang w:val="en-US"/>
        </w:rPr>
        <w:t xml:space="preserve">. 9–15, </w:t>
      </w:r>
      <w:r>
        <w:rPr/>
        <w:t>Μαρτίου</w:t>
      </w:r>
      <w:r>
        <w:rPr>
          <w:lang w:val="en-US"/>
        </w:rPr>
        <w:t xml:space="preserve"> 2021, doi: 10.1055/s-0040-1713154.</w:t>
      </w:r>
    </w:p>
    <w:p>
      <w:pPr>
        <w:pStyle w:val="Normal"/>
        <w:widowControl w:val="false"/>
        <w:spacing w:before="0" w:after="240"/>
        <w:jc w:val="both"/>
        <w:rPr>
          <w:lang w:val="en-US"/>
        </w:rPr>
      </w:pPr>
      <w:r>
        <w:rPr>
          <w:lang w:val="en-US"/>
        </w:rPr>
        <w:t>[113]</w:t>
        <w:tab/>
        <w:t xml:space="preserve">S. A. Dastgheib </w:t>
      </w:r>
      <w:r>
        <w:rPr>
          <w:i/>
          <w:iCs/>
        </w:rPr>
        <w:t>κ</w:t>
      </w:r>
      <w:r>
        <w:rPr>
          <w:i/>
          <w:iCs/>
          <w:lang w:val="en-US"/>
        </w:rPr>
        <w:t>.</w:t>
      </w:r>
      <w:r>
        <w:rPr>
          <w:i/>
          <w:iCs/>
        </w:rPr>
        <w:t>ά</w:t>
      </w:r>
      <w:r>
        <w:rPr>
          <w:i/>
          <w:iCs/>
          <w:lang w:val="en-US"/>
        </w:rPr>
        <w:t>.</w:t>
      </w:r>
      <w:r>
        <w:rPr>
          <w:lang w:val="en-US"/>
        </w:rPr>
        <w:t xml:space="preserve">, ‘Evidence from a meta-analysis for association of MC4R rs17782313 and FTO rs9939609 polymorphisms with susceptibility to obesity in children’, </w:t>
      </w:r>
      <w:r>
        <w:rPr>
          <w:i/>
          <w:iCs/>
          <w:lang w:val="en-US"/>
        </w:rPr>
        <w:t>Diabetes Metab. Syndr.</w:t>
      </w:r>
      <w:r>
        <w:rPr>
          <w:lang w:val="en-US"/>
        </w:rPr>
        <w:t xml:space="preserve">, </w:t>
      </w:r>
      <w:r>
        <w:rPr/>
        <w:t>τ</w:t>
      </w:r>
      <w:r>
        <w:rPr>
          <w:lang w:val="en-US"/>
        </w:rPr>
        <w:t xml:space="preserve">. 15, </w:t>
      </w:r>
      <w:r>
        <w:rPr/>
        <w:t>τχ</w:t>
      </w:r>
      <w:r>
        <w:rPr>
          <w:lang w:val="en-US"/>
        </w:rPr>
        <w:t xml:space="preserve">. 5, </w:t>
      </w:r>
      <w:r>
        <w:rPr/>
        <w:t>σ</w:t>
      </w:r>
      <w:r>
        <w:rPr>
          <w:lang w:val="en-US"/>
        </w:rPr>
        <w:t>. 102234, 2021, doi: 10.1016/j.dsx.2021.102234.</w:t>
      </w:r>
    </w:p>
    <w:p>
      <w:pPr>
        <w:pStyle w:val="Normal"/>
        <w:widowControl w:val="false"/>
        <w:spacing w:before="0" w:after="240"/>
        <w:jc w:val="both"/>
        <w:rPr>
          <w:lang w:val="en-US"/>
        </w:rPr>
      </w:pPr>
      <w:r>
        <w:rPr>
          <w:lang w:val="en-US"/>
        </w:rPr>
        <w:t>[114]</w:t>
        <w:tab/>
        <w:t xml:space="preserve">S. M. Almeida </w:t>
      </w:r>
      <w:r>
        <w:rPr>
          <w:i/>
          <w:iCs/>
        </w:rPr>
        <w:t>κ</w:t>
      </w:r>
      <w:r>
        <w:rPr>
          <w:i/>
          <w:iCs/>
          <w:lang w:val="en-US"/>
        </w:rPr>
        <w:t>.</w:t>
      </w:r>
      <w:r>
        <w:rPr>
          <w:i/>
          <w:iCs/>
        </w:rPr>
        <w:t>ά</w:t>
      </w:r>
      <w:r>
        <w:rPr>
          <w:i/>
          <w:iCs/>
          <w:lang w:val="en-US"/>
        </w:rPr>
        <w:t>.</w:t>
      </w:r>
      <w:r>
        <w:rPr>
          <w:lang w:val="en-US"/>
        </w:rPr>
        <w:t xml:space="preserve">, ‘Association between LEPR, FTO, MC4R, and PPARG-2 polymorphisms with obesity traits and metabolic phenotypes in school-aged children’, </w:t>
      </w:r>
      <w:r>
        <w:rPr>
          <w:i/>
          <w:iCs/>
          <w:lang w:val="en-US"/>
        </w:rPr>
        <w:t>Endocrine</w:t>
      </w:r>
      <w:r>
        <w:rPr>
          <w:lang w:val="en-US"/>
        </w:rPr>
        <w:t xml:space="preserve">, </w:t>
      </w:r>
      <w:r>
        <w:rPr/>
        <w:t>τ</w:t>
      </w:r>
      <w:r>
        <w:rPr>
          <w:lang w:val="en-US"/>
        </w:rPr>
        <w:t xml:space="preserve">. 60, </w:t>
      </w:r>
      <w:r>
        <w:rPr/>
        <w:t>τχ</w:t>
      </w:r>
      <w:r>
        <w:rPr>
          <w:lang w:val="en-US"/>
        </w:rPr>
        <w:t xml:space="preserve">. 3, </w:t>
      </w:r>
      <w:r>
        <w:rPr/>
        <w:t>σσ</w:t>
      </w:r>
      <w:r>
        <w:rPr>
          <w:lang w:val="en-US"/>
        </w:rPr>
        <w:t xml:space="preserve">. 466–478, </w:t>
      </w:r>
      <w:r>
        <w:rPr/>
        <w:t>Ιουνίου</w:t>
      </w:r>
      <w:r>
        <w:rPr>
          <w:lang w:val="en-US"/>
        </w:rPr>
        <w:t xml:space="preserve"> 2018, doi: 10.1007/s12020-018-1587-3.</w:t>
      </w:r>
    </w:p>
    <w:p>
      <w:pPr>
        <w:pStyle w:val="Normal"/>
        <w:widowControl w:val="false"/>
        <w:spacing w:before="0" w:after="240"/>
        <w:jc w:val="both"/>
        <w:rPr>
          <w:lang w:val="en-US"/>
        </w:rPr>
      </w:pPr>
      <w:r>
        <w:rPr>
          <w:lang w:val="en-US"/>
        </w:rPr>
        <w:t>[115]</w:t>
        <w:tab/>
        <w:t xml:space="preserve">M. M, K. H, Y. M, A. A, F. Ga, </w:t>
      </w:r>
      <w:r>
        <w:rPr/>
        <w:t>και</w:t>
      </w:r>
      <w:r>
        <w:rPr>
          <w:lang w:val="en-US"/>
        </w:rPr>
        <w:t xml:space="preserve"> G. M. M, ‘Cytokines and the immune response in obesity-related disorders’, </w:t>
      </w:r>
      <w:r>
        <w:rPr>
          <w:i/>
          <w:iCs/>
          <w:lang w:val="en-US"/>
        </w:rPr>
        <w:t>Adv. Clin. Chem.</w:t>
      </w:r>
      <w:r>
        <w:rPr>
          <w:lang w:val="en-US"/>
        </w:rPr>
        <w:t xml:space="preserve">, </w:t>
      </w:r>
      <w:r>
        <w:rPr/>
        <w:t>τ</w:t>
      </w:r>
      <w:r>
        <w:rPr>
          <w:lang w:val="en-US"/>
        </w:rPr>
        <w:t>. 101, 2021, doi: 10.1016/bs.acc.2020.06.004.</w:t>
      </w:r>
    </w:p>
    <w:p>
      <w:pPr>
        <w:pStyle w:val="Normal"/>
        <w:widowControl w:val="false"/>
        <w:spacing w:before="0" w:after="240"/>
        <w:jc w:val="both"/>
        <w:rPr>
          <w:lang w:val="en-US"/>
        </w:rPr>
      </w:pPr>
      <w:r>
        <w:rPr>
          <w:lang w:val="en-US"/>
        </w:rPr>
        <w:t>[116]</w:t>
        <w:tab/>
        <w:t xml:space="preserve">T. P </w:t>
      </w:r>
      <w:r>
        <w:rPr/>
        <w:t>και</w:t>
      </w:r>
      <w:r>
        <w:rPr>
          <w:lang w:val="en-US"/>
        </w:rPr>
        <w:t xml:space="preserve"> W. Is, ‘Adipokines: inflammation and the pleiotropic role of white adipose tissue’, </w:t>
      </w:r>
      <w:r>
        <w:rPr>
          <w:i/>
          <w:iCs/>
          <w:lang w:val="en-US"/>
        </w:rPr>
        <w:t>Br. J. Nutr.</w:t>
      </w:r>
      <w:r>
        <w:rPr>
          <w:lang w:val="en-US"/>
        </w:rPr>
        <w:t xml:space="preserve">, </w:t>
      </w:r>
      <w:r>
        <w:rPr/>
        <w:t>τ</w:t>
      </w:r>
      <w:r>
        <w:rPr>
          <w:lang w:val="en-US"/>
        </w:rPr>
        <w:t xml:space="preserve">. 92, </w:t>
      </w:r>
      <w:r>
        <w:rPr/>
        <w:t>τχ</w:t>
      </w:r>
      <w:r>
        <w:rPr>
          <w:lang w:val="en-US"/>
        </w:rPr>
        <w:t xml:space="preserve">. 3, </w:t>
      </w:r>
      <w:r>
        <w:rPr/>
        <w:t>Σεπτεμβρίου</w:t>
      </w:r>
      <w:r>
        <w:rPr>
          <w:lang w:val="en-US"/>
        </w:rPr>
        <w:t xml:space="preserve"> 2004, doi: 10.1079/bjn20041213.</w:t>
      </w:r>
    </w:p>
    <w:p>
      <w:pPr>
        <w:pStyle w:val="Normal"/>
        <w:widowControl w:val="false"/>
        <w:spacing w:before="0" w:after="240"/>
        <w:jc w:val="both"/>
        <w:rPr>
          <w:lang w:val="en-US"/>
        </w:rPr>
      </w:pPr>
      <w:r>
        <w:rPr>
          <w:lang w:val="en-US"/>
        </w:rPr>
        <w:t>[117]</w:t>
        <w:tab/>
        <w:t xml:space="preserve">P. N, D. C. C, C. A, S. L, N. V, </w:t>
      </w:r>
      <w:r>
        <w:rPr/>
        <w:t>και</w:t>
      </w:r>
      <w:r>
        <w:rPr>
          <w:lang w:val="en-US"/>
        </w:rPr>
        <w:t xml:space="preserve"> A. A, ‘Recent advances in understanding the role of adipocytokines during non-alcoholic fatty liver disease pathogenesis and their link with hepatokines’, </w:t>
      </w:r>
      <w:r>
        <w:rPr>
          <w:i/>
          <w:iCs/>
          <w:lang w:val="en-US"/>
        </w:rPr>
        <w:t>Expert Rev. Gastroenterol. Hepatol.</w:t>
      </w:r>
      <w:r>
        <w:rPr>
          <w:lang w:val="en-US"/>
        </w:rPr>
        <w:t xml:space="preserve">, </w:t>
      </w:r>
      <w:r>
        <w:rPr/>
        <w:t>τ</w:t>
      </w:r>
      <w:r>
        <w:rPr>
          <w:lang w:val="en-US"/>
        </w:rPr>
        <w:t xml:space="preserve">. 10, </w:t>
      </w:r>
      <w:r>
        <w:rPr/>
        <w:t>τχ</w:t>
      </w:r>
      <w:r>
        <w:rPr>
          <w:lang w:val="en-US"/>
        </w:rPr>
        <w:t>. 3, 2016, doi: 10.1586/17474124.2016.1110485.</w:t>
      </w:r>
    </w:p>
    <w:p>
      <w:pPr>
        <w:pStyle w:val="Normal"/>
        <w:widowControl w:val="false"/>
        <w:spacing w:before="0" w:after="240"/>
        <w:jc w:val="both"/>
        <w:rPr>
          <w:lang w:val="en-US"/>
        </w:rPr>
      </w:pPr>
      <w:r>
        <w:rPr>
          <w:lang w:val="en-US"/>
        </w:rPr>
        <w:t>[118]</w:t>
        <w:tab/>
        <w:t xml:space="preserve">K. Popko </w:t>
      </w:r>
      <w:r>
        <w:rPr>
          <w:i/>
          <w:iCs/>
        </w:rPr>
        <w:t>κ</w:t>
      </w:r>
      <w:r>
        <w:rPr>
          <w:i/>
          <w:iCs/>
          <w:lang w:val="en-US"/>
        </w:rPr>
        <w:t>.</w:t>
      </w:r>
      <w:r>
        <w:rPr>
          <w:i/>
          <w:iCs/>
        </w:rPr>
        <w:t>ά</w:t>
      </w:r>
      <w:r>
        <w:rPr>
          <w:i/>
          <w:iCs/>
          <w:lang w:val="en-US"/>
        </w:rPr>
        <w:t>.</w:t>
      </w:r>
      <w:r>
        <w:rPr>
          <w:lang w:val="en-US"/>
        </w:rPr>
        <w:t xml:space="preserve">, ‘Influence of proinflammatory cytokine gene polymorphism on childhood obesity’, </w:t>
      </w:r>
      <w:r>
        <w:rPr>
          <w:i/>
          <w:iCs/>
          <w:lang w:val="en-US"/>
        </w:rPr>
        <w:t>Eur. J. Med. Res.</w:t>
      </w:r>
      <w:r>
        <w:rPr>
          <w:lang w:val="en-US"/>
        </w:rPr>
        <w:t xml:space="preserve">, </w:t>
      </w:r>
      <w:r>
        <w:rPr/>
        <w:t>τ</w:t>
      </w:r>
      <w:r>
        <w:rPr>
          <w:lang w:val="en-US"/>
        </w:rPr>
        <w:t xml:space="preserve">. 14, </w:t>
      </w:r>
      <w:r>
        <w:rPr/>
        <w:t>τχ</w:t>
      </w:r>
      <w:r>
        <w:rPr>
          <w:lang w:val="en-US"/>
        </w:rPr>
        <w:t xml:space="preserve">. 4, Art. </w:t>
      </w:r>
      <w:r>
        <w:rPr/>
        <w:t>τχ</w:t>
      </w:r>
      <w:r>
        <w:rPr>
          <w:lang w:val="en-US"/>
        </w:rPr>
        <w:t xml:space="preserve">. 4, </w:t>
      </w:r>
      <w:r>
        <w:rPr/>
        <w:t>Δεκεμβρίου</w:t>
      </w:r>
      <w:r>
        <w:rPr>
          <w:lang w:val="en-US"/>
        </w:rPr>
        <w:t xml:space="preserve"> 2009, doi: 10.1186/2047-783X-14-S4-59.</w:t>
      </w:r>
    </w:p>
    <w:p>
      <w:pPr>
        <w:pStyle w:val="Normal"/>
        <w:widowControl w:val="false"/>
        <w:spacing w:before="0" w:after="240"/>
        <w:jc w:val="both"/>
        <w:rPr>
          <w:lang w:val="en-US"/>
        </w:rPr>
      </w:pPr>
      <w:r>
        <w:rPr>
          <w:lang w:val="en-US"/>
        </w:rPr>
        <w:t>[119]</w:t>
        <w:tab/>
        <w:t xml:space="preserve">B. E </w:t>
      </w:r>
      <w:r>
        <w:rPr>
          <w:i/>
          <w:iCs/>
        </w:rPr>
        <w:t>κ</w:t>
      </w:r>
      <w:r>
        <w:rPr>
          <w:i/>
          <w:iCs/>
          <w:lang w:val="en-US"/>
        </w:rPr>
        <w:t>.</w:t>
      </w:r>
      <w:r>
        <w:rPr>
          <w:i/>
          <w:iCs/>
        </w:rPr>
        <w:t>ά</w:t>
      </w:r>
      <w:r>
        <w:rPr>
          <w:i/>
          <w:iCs/>
          <w:lang w:val="en-US"/>
        </w:rPr>
        <w:t>.</w:t>
      </w:r>
      <w:r>
        <w:rPr>
          <w:lang w:val="en-US"/>
        </w:rPr>
        <w:t xml:space="preserve">, ‘Tumor necrosis factor-alpha--308 G/A polymorphism in obese Caucasians’, </w:t>
      </w:r>
      <w:r>
        <w:rPr>
          <w:i/>
          <w:iCs/>
          <w:lang w:val="en-US"/>
        </w:rPr>
        <w:t>Int. J. Obes. Relat. Metab. Disord. J. Int. Assoc. Study Obes.</w:t>
      </w:r>
      <w:r>
        <w:rPr>
          <w:lang w:val="en-US"/>
        </w:rPr>
        <w:t xml:space="preserve">, </w:t>
      </w:r>
      <w:r>
        <w:rPr/>
        <w:t>τ</w:t>
      </w:r>
      <w:r>
        <w:rPr>
          <w:lang w:val="en-US"/>
        </w:rPr>
        <w:t xml:space="preserve">. 25, </w:t>
      </w:r>
      <w:r>
        <w:rPr/>
        <w:t>τχ</w:t>
      </w:r>
      <w:r>
        <w:rPr>
          <w:lang w:val="en-US"/>
        </w:rPr>
        <w:t xml:space="preserve">. 4, </w:t>
      </w:r>
      <w:r>
        <w:rPr/>
        <w:t>Απριλίου</w:t>
      </w:r>
      <w:r>
        <w:rPr>
          <w:lang w:val="en-US"/>
        </w:rPr>
        <w:t xml:space="preserve"> 2001, doi: 10.1038/sj.ijo.0801576.</w:t>
      </w:r>
    </w:p>
    <w:p>
      <w:pPr>
        <w:pStyle w:val="Normal"/>
        <w:widowControl w:val="false"/>
        <w:spacing w:before="0" w:after="240"/>
        <w:jc w:val="both"/>
        <w:rPr>
          <w:lang w:val="en-US"/>
        </w:rPr>
      </w:pPr>
      <w:r>
        <w:rPr>
          <w:lang w:val="en-US"/>
        </w:rPr>
        <w:t>[120]</w:t>
        <w:tab/>
        <w:t xml:space="preserve">N. H </w:t>
      </w:r>
      <w:r>
        <w:rPr>
          <w:i/>
          <w:iCs/>
        </w:rPr>
        <w:t>κ</w:t>
      </w:r>
      <w:r>
        <w:rPr>
          <w:i/>
          <w:iCs/>
          <w:lang w:val="en-US"/>
        </w:rPr>
        <w:t>.</w:t>
      </w:r>
      <w:r>
        <w:rPr>
          <w:i/>
          <w:iCs/>
        </w:rPr>
        <w:t>ά</w:t>
      </w:r>
      <w:r>
        <w:rPr>
          <w:i/>
          <w:iCs/>
          <w:lang w:val="en-US"/>
        </w:rPr>
        <w:t>.</w:t>
      </w:r>
      <w:r>
        <w:rPr>
          <w:lang w:val="en-US"/>
        </w:rPr>
        <w:t>, ‘Adipokine Gene Single-Nucleotide Polymorphisms in Portuguese Obese Adolescents: Associations with Plasma Concentrations of Adiponectin, Resistin, IL-6, IL-1</w:t>
      </w:r>
      <w:r>
        <w:rPr/>
        <w:t>β</w:t>
      </w:r>
      <w:r>
        <w:rPr>
          <w:lang w:val="en-US"/>
        </w:rPr>
        <w:t>, and TNF-</w:t>
      </w:r>
      <w:r>
        <w:rPr/>
        <w:t>α</w:t>
      </w:r>
      <w:r>
        <w:rPr>
          <w:lang w:val="en-US"/>
        </w:rPr>
        <w:t xml:space="preserve">’, </w:t>
      </w:r>
      <w:r>
        <w:rPr>
          <w:i/>
          <w:iCs/>
          <w:lang w:val="en-US"/>
        </w:rPr>
        <w:t>Child. Obes. Print</w:t>
      </w:r>
      <w:r>
        <w:rPr>
          <w:lang w:val="en-US"/>
        </w:rPr>
        <w:t xml:space="preserve">, </w:t>
      </w:r>
      <w:r>
        <w:rPr/>
        <w:t>τ</w:t>
      </w:r>
      <w:r>
        <w:rPr>
          <w:lang w:val="en-US"/>
        </w:rPr>
        <w:t xml:space="preserve">. 12, </w:t>
      </w:r>
      <w:r>
        <w:rPr/>
        <w:t>τχ</w:t>
      </w:r>
      <w:r>
        <w:rPr>
          <w:lang w:val="en-US"/>
        </w:rPr>
        <w:t xml:space="preserve">. 4, </w:t>
      </w:r>
      <w:r>
        <w:rPr/>
        <w:t>Αυγούστου</w:t>
      </w:r>
      <w:r>
        <w:rPr>
          <w:lang w:val="en-US"/>
        </w:rPr>
        <w:t xml:space="preserve"> 2016, doi: 10.1089/chi.2015.0235.</w:t>
      </w:r>
    </w:p>
    <w:p>
      <w:pPr>
        <w:pStyle w:val="Normal"/>
        <w:widowControl w:val="false"/>
        <w:spacing w:before="0" w:after="240"/>
        <w:jc w:val="both"/>
        <w:rPr/>
      </w:pPr>
      <w:r>
        <w:rPr>
          <w:lang w:val="en-US"/>
        </w:rPr>
        <w:t>[121]</w:t>
        <w:tab/>
        <w:t xml:space="preserve">C. Mărginean, C. Mǎrginean, M. Iancu, V. Moldovan, L. Meliț, </w:t>
      </w:r>
      <w:r>
        <w:rPr/>
        <w:t>και</w:t>
      </w:r>
      <w:r>
        <w:rPr>
          <w:lang w:val="en-US"/>
        </w:rPr>
        <w:t xml:space="preserve"> C. Bănescu, ‘The impact of TNF-</w:t>
      </w:r>
      <w:r>
        <w:rPr/>
        <w:t>α</w:t>
      </w:r>
      <w:r>
        <w:rPr>
          <w:lang w:val="en-US"/>
        </w:rPr>
        <w:t xml:space="preserve"> 308G&gt;A gene polymorphism on children’s overweight risk and an assessment of biochemical variables: A cross-sectional single-center experience.’, </w:t>
      </w:r>
      <w:r>
        <w:rPr>
          <w:i/>
          <w:iCs/>
          <w:lang w:val="en-US"/>
        </w:rPr>
        <w:t xml:space="preserve">Pediatr. </w:t>
      </w:r>
      <w:r>
        <w:rPr>
          <w:i/>
          <w:iCs/>
        </w:rPr>
        <w:t>Neonatol.</w:t>
      </w:r>
      <w:r>
        <w:rPr/>
        <w:t>, 2019, Ημερομηνία πρόσβασης: 19 Νοέμβριος 2023. [Έκδοση σε ψηφιακή μορφή]. Διαθέσιμο στο: https://www.semanticscholar.org/paper/The-impact-of-TNF-%CE%B1-308G%3EA-gene-polymorphism-on-and-M%C4%83rginean-M%C7%8Erginean/63d46f3dc823b253dba10309bef43f978764df8e</w:t>
      </w:r>
    </w:p>
    <w:p>
      <w:pPr>
        <w:pStyle w:val="Normal"/>
        <w:widowControl w:val="false"/>
        <w:spacing w:before="0" w:after="240"/>
        <w:jc w:val="both"/>
        <w:rPr>
          <w:lang w:val="en-US"/>
        </w:rPr>
      </w:pPr>
      <w:r>
        <w:rPr>
          <w:lang w:val="en-US"/>
        </w:rPr>
        <w:t>[122]</w:t>
        <w:tab/>
        <w:t xml:space="preserve">M. Co, M. C, </w:t>
      </w:r>
      <w:r>
        <w:rPr/>
        <w:t>και</w:t>
      </w:r>
      <w:r>
        <w:rPr>
          <w:lang w:val="en-US"/>
        </w:rPr>
        <w:t xml:space="preserve"> M. Le, ‘New Insights Regarding Genetic Aspects of Childhood Obesity: A Minireview’, </w:t>
      </w:r>
      <w:r>
        <w:rPr>
          <w:i/>
          <w:iCs/>
          <w:lang w:val="en-US"/>
        </w:rPr>
        <w:t>Front. Pediatr.</w:t>
      </w:r>
      <w:r>
        <w:rPr>
          <w:lang w:val="en-US"/>
        </w:rPr>
        <w:t xml:space="preserve">, </w:t>
      </w:r>
      <w:r>
        <w:rPr/>
        <w:t>τ</w:t>
      </w:r>
      <w:r>
        <w:rPr>
          <w:lang w:val="en-US"/>
        </w:rPr>
        <w:t xml:space="preserve">. 6, </w:t>
      </w:r>
      <w:r>
        <w:rPr/>
        <w:t>Απριλίου</w:t>
      </w:r>
      <w:r>
        <w:rPr>
          <w:lang w:val="en-US"/>
        </w:rPr>
        <w:t xml:space="preserve"> 2018, doi: 10.3389/fped.2018.00271.</w:t>
      </w:r>
    </w:p>
    <w:p>
      <w:pPr>
        <w:pStyle w:val="Normal"/>
        <w:widowControl w:val="false"/>
        <w:spacing w:before="0" w:after="240"/>
        <w:jc w:val="both"/>
        <w:rPr>
          <w:lang w:val="en-US"/>
        </w:rPr>
      </w:pPr>
      <w:r>
        <w:rPr>
          <w:lang w:val="en-US"/>
        </w:rPr>
        <w:t>[123]</w:t>
        <w:tab/>
        <w:t xml:space="preserve">O. M. Ibrahim </w:t>
      </w:r>
      <w:r>
        <w:rPr>
          <w:i/>
          <w:iCs/>
        </w:rPr>
        <w:t>κ</w:t>
      </w:r>
      <w:r>
        <w:rPr>
          <w:i/>
          <w:iCs/>
          <w:lang w:val="en-US"/>
        </w:rPr>
        <w:t>.</w:t>
      </w:r>
      <w:r>
        <w:rPr>
          <w:i/>
          <w:iCs/>
        </w:rPr>
        <w:t>ά</w:t>
      </w:r>
      <w:r>
        <w:rPr>
          <w:i/>
          <w:iCs/>
          <w:lang w:val="en-US"/>
        </w:rPr>
        <w:t>.</w:t>
      </w:r>
      <w:r>
        <w:rPr>
          <w:lang w:val="en-US"/>
        </w:rPr>
        <w:t xml:space="preserve">, ‘Influence of Interleukin-6 (174G/C) Gene Polymorphism on Obesity in Egyptian Children’, </w:t>
      </w:r>
      <w:r>
        <w:rPr>
          <w:i/>
          <w:iCs/>
          <w:lang w:val="en-US"/>
        </w:rPr>
        <w:t>Open Access Maced. J. Med. Sci.</w:t>
      </w:r>
      <w:r>
        <w:rPr>
          <w:lang w:val="en-US"/>
        </w:rPr>
        <w:t xml:space="preserve">, </w:t>
      </w:r>
      <w:r>
        <w:rPr/>
        <w:t>τ</w:t>
      </w:r>
      <w:r>
        <w:rPr>
          <w:lang w:val="en-US"/>
        </w:rPr>
        <w:t xml:space="preserve">. 5, </w:t>
      </w:r>
      <w:r>
        <w:rPr/>
        <w:t>τχ</w:t>
      </w:r>
      <w:r>
        <w:rPr>
          <w:lang w:val="en-US"/>
        </w:rPr>
        <w:t xml:space="preserve">. 7, </w:t>
      </w:r>
      <w:r>
        <w:rPr/>
        <w:t>σ</w:t>
      </w:r>
      <w:r>
        <w:rPr>
          <w:lang w:val="en-US"/>
        </w:rPr>
        <w:t xml:space="preserve">. 831, </w:t>
      </w:r>
      <w:r>
        <w:rPr/>
        <w:t>Δεκεμβρίου</w:t>
      </w:r>
      <w:r>
        <w:rPr>
          <w:lang w:val="en-US"/>
        </w:rPr>
        <w:t xml:space="preserve"> 2017, doi: 10.3889/oamjms.2017.175.</w:t>
      </w:r>
    </w:p>
    <w:p>
      <w:pPr>
        <w:pStyle w:val="Normal"/>
        <w:widowControl w:val="false"/>
        <w:spacing w:before="0" w:after="240"/>
        <w:jc w:val="both"/>
        <w:rPr>
          <w:lang w:val="en-US"/>
        </w:rPr>
      </w:pPr>
      <w:r>
        <w:rPr>
          <w:lang w:val="en-US"/>
        </w:rPr>
        <w:t>[124]</w:t>
        <w:tab/>
        <w:t xml:space="preserve">K. Av </w:t>
      </w:r>
      <w:r>
        <w:rPr>
          <w:i/>
          <w:iCs/>
        </w:rPr>
        <w:t>κ</w:t>
      </w:r>
      <w:r>
        <w:rPr>
          <w:i/>
          <w:iCs/>
          <w:lang w:val="en-US"/>
        </w:rPr>
        <w:t>.</w:t>
      </w:r>
      <w:r>
        <w:rPr>
          <w:i/>
          <w:iCs/>
        </w:rPr>
        <w:t>ά</w:t>
      </w:r>
      <w:r>
        <w:rPr>
          <w:i/>
          <w:iCs/>
          <w:lang w:val="en-US"/>
        </w:rPr>
        <w:t>.</w:t>
      </w:r>
      <w:r>
        <w:rPr>
          <w:lang w:val="en-US"/>
        </w:rPr>
        <w:t xml:space="preserve">, ‘Polygenic Prediction of Weight and Obesity Trajectories from Birth to Adulthood’, </w:t>
      </w:r>
      <w:r>
        <w:rPr>
          <w:i/>
          <w:iCs/>
          <w:lang w:val="en-US"/>
        </w:rPr>
        <w:t>Cell</w:t>
      </w:r>
      <w:r>
        <w:rPr>
          <w:lang w:val="en-US"/>
        </w:rPr>
        <w:t xml:space="preserve">, </w:t>
      </w:r>
      <w:r>
        <w:rPr/>
        <w:t>τ</w:t>
      </w:r>
      <w:r>
        <w:rPr>
          <w:lang w:val="en-US"/>
        </w:rPr>
        <w:t xml:space="preserve">. 177, </w:t>
      </w:r>
      <w:r>
        <w:rPr/>
        <w:t>τχ</w:t>
      </w:r>
      <w:r>
        <w:rPr>
          <w:lang w:val="en-US"/>
        </w:rPr>
        <w:t xml:space="preserve">. 3, </w:t>
      </w:r>
      <w:r>
        <w:rPr/>
        <w:t>Απριλίου</w:t>
      </w:r>
      <w:r>
        <w:rPr>
          <w:lang w:val="en-US"/>
        </w:rPr>
        <w:t xml:space="preserve"> 2019, doi: 10.1016/j.cell.2019.03.028.</w:t>
      </w:r>
    </w:p>
    <w:p>
      <w:pPr>
        <w:pStyle w:val="Normal"/>
        <w:widowControl w:val="false"/>
        <w:spacing w:before="0" w:after="240"/>
        <w:jc w:val="both"/>
        <w:rPr>
          <w:lang w:val="en-US"/>
        </w:rPr>
      </w:pPr>
      <w:r>
        <w:rPr>
          <w:lang w:val="en-US"/>
        </w:rPr>
        <w:t>[125]</w:t>
        <w:tab/>
        <w:t xml:space="preserve">W. Et </w:t>
      </w:r>
      <w:r>
        <w:rPr>
          <w:i/>
          <w:iCs/>
        </w:rPr>
        <w:t>κ</w:t>
      </w:r>
      <w:r>
        <w:rPr>
          <w:i/>
          <w:iCs/>
          <w:lang w:val="en-US"/>
        </w:rPr>
        <w:t>.</w:t>
      </w:r>
      <w:r>
        <w:rPr>
          <w:i/>
          <w:iCs/>
        </w:rPr>
        <w:t>ά</w:t>
      </w:r>
      <w:r>
        <w:rPr>
          <w:i/>
          <w:iCs/>
          <w:lang w:val="en-US"/>
        </w:rPr>
        <w:t>.</w:t>
      </w:r>
      <w:r>
        <w:rPr>
          <w:lang w:val="en-US"/>
        </w:rPr>
        <w:t xml:space="preserve">, ‘A Genome-Wide Association Study of Childhood Body Fatness’, </w:t>
      </w:r>
      <w:r>
        <w:rPr>
          <w:i/>
          <w:iCs/>
          <w:lang w:val="en-US"/>
        </w:rPr>
        <w:t>Obes. Silver Spring Md</w:t>
      </w:r>
      <w:r>
        <w:rPr>
          <w:lang w:val="en-US"/>
        </w:rPr>
        <w:t xml:space="preserve">, </w:t>
      </w:r>
      <w:r>
        <w:rPr/>
        <w:t>τ</w:t>
      </w:r>
      <w:r>
        <w:rPr>
          <w:lang w:val="en-US"/>
        </w:rPr>
        <w:t xml:space="preserve">. 29, </w:t>
      </w:r>
      <w:r>
        <w:rPr/>
        <w:t>τχ</w:t>
      </w:r>
      <w:r>
        <w:rPr>
          <w:lang w:val="en-US"/>
        </w:rPr>
        <w:t xml:space="preserve">. 2, </w:t>
      </w:r>
      <w:r>
        <w:rPr/>
        <w:t>Φεβρουαρίου</w:t>
      </w:r>
      <w:r>
        <w:rPr>
          <w:lang w:val="en-US"/>
        </w:rPr>
        <w:t xml:space="preserve"> 2021, doi: 10.1002/oby.23070.</w:t>
      </w:r>
    </w:p>
    <w:p>
      <w:pPr>
        <w:pStyle w:val="Normal"/>
        <w:widowControl w:val="false"/>
        <w:spacing w:before="0" w:after="240"/>
        <w:jc w:val="both"/>
        <w:rPr>
          <w:lang w:val="en-US"/>
        </w:rPr>
      </w:pPr>
      <w:r>
        <w:rPr>
          <w:lang w:val="en-US"/>
        </w:rPr>
        <w:t>[126]</w:t>
        <w:tab/>
        <w:t xml:space="preserve">S. Villicaña </w:t>
      </w:r>
      <w:r>
        <w:rPr/>
        <w:t>και</w:t>
      </w:r>
      <w:r>
        <w:rPr>
          <w:lang w:val="en-US"/>
        </w:rPr>
        <w:t xml:space="preserve"> J. T. Bell, ‘Genetic impacts on DNA methylation: research findings and future perspectives’, </w:t>
      </w:r>
      <w:r>
        <w:rPr>
          <w:i/>
          <w:iCs/>
          <w:lang w:val="en-US"/>
        </w:rPr>
        <w:t>Genome Biol.</w:t>
      </w:r>
      <w:r>
        <w:rPr>
          <w:lang w:val="en-US"/>
        </w:rPr>
        <w:t xml:space="preserve">, </w:t>
      </w:r>
      <w:r>
        <w:rPr/>
        <w:t>τ</w:t>
      </w:r>
      <w:r>
        <w:rPr>
          <w:lang w:val="en-US"/>
        </w:rPr>
        <w:t xml:space="preserve">. 22, </w:t>
      </w:r>
      <w:r>
        <w:rPr/>
        <w:t>τχ</w:t>
      </w:r>
      <w:r>
        <w:rPr>
          <w:lang w:val="en-US"/>
        </w:rPr>
        <w:t xml:space="preserve">. 1, Art. </w:t>
      </w:r>
      <w:r>
        <w:rPr/>
        <w:t>τχ</w:t>
      </w:r>
      <w:r>
        <w:rPr>
          <w:lang w:val="en-US"/>
        </w:rPr>
        <w:t xml:space="preserve">. 1, </w:t>
      </w:r>
      <w:r>
        <w:rPr/>
        <w:t>Δεκεμβρίου</w:t>
      </w:r>
      <w:r>
        <w:rPr>
          <w:lang w:val="en-US"/>
        </w:rPr>
        <w:t xml:space="preserve"> 2021, doi: 10.1186/s13059-021-02347-6.</w:t>
      </w:r>
    </w:p>
    <w:p>
      <w:pPr>
        <w:pStyle w:val="Normal"/>
        <w:widowControl w:val="false"/>
        <w:spacing w:before="0" w:after="240"/>
        <w:jc w:val="both"/>
        <w:rPr/>
      </w:pPr>
      <w:r>
        <w:rPr>
          <w:lang w:val="en-US"/>
        </w:rPr>
        <w:t>[127]</w:t>
        <w:tab/>
        <w:t xml:space="preserve">‘MeQTL analysis of childhood obesity links epigenetics with a risk SNP rs17782313 near MC4R from meta-analysis - PubMed’. </w:t>
      </w:r>
      <w:r>
        <w:rPr/>
        <w:t>Ημερομηνία πρόσβασης: 19 Νοέμβριος 2023. [Έκδοση σε ψηφιακή μορφή]. Διαθέσιμο στο: https://pubmed.ncbi.nlm.nih.gov/27926527/</w:t>
      </w:r>
    </w:p>
    <w:p>
      <w:pPr>
        <w:pStyle w:val="Normal"/>
        <w:widowControl w:val="false"/>
        <w:spacing w:before="0" w:after="240"/>
        <w:jc w:val="both"/>
        <w:rPr>
          <w:lang w:val="en-US"/>
        </w:rPr>
      </w:pPr>
      <w:r>
        <w:rPr>
          <w:lang w:val="en-US"/>
        </w:rPr>
        <w:t>[128]</w:t>
        <w:tab/>
        <w:t xml:space="preserve">G.-A. M </w:t>
      </w:r>
      <w:r>
        <w:rPr>
          <w:i/>
          <w:iCs/>
        </w:rPr>
        <w:t>κ</w:t>
      </w:r>
      <w:r>
        <w:rPr>
          <w:i/>
          <w:iCs/>
          <w:lang w:val="en-US"/>
        </w:rPr>
        <w:t>.</w:t>
      </w:r>
      <w:r>
        <w:rPr>
          <w:i/>
          <w:iCs/>
        </w:rPr>
        <w:t>ά</w:t>
      </w:r>
      <w:r>
        <w:rPr>
          <w:i/>
          <w:iCs/>
          <w:lang w:val="en-US"/>
        </w:rPr>
        <w:t>.</w:t>
      </w:r>
      <w:r>
        <w:rPr>
          <w:lang w:val="en-US"/>
        </w:rPr>
        <w:t xml:space="preserve">, ‘Passive and active DNA methylation and the interplay with genetic variation in gene regulation’, </w:t>
      </w:r>
      <w:r>
        <w:rPr>
          <w:i/>
          <w:iCs/>
          <w:lang w:val="en-US"/>
        </w:rPr>
        <w:t>eLife</w:t>
      </w:r>
      <w:r>
        <w:rPr>
          <w:lang w:val="en-US"/>
        </w:rPr>
        <w:t xml:space="preserve">, </w:t>
      </w:r>
      <w:r>
        <w:rPr/>
        <w:t>τ</w:t>
      </w:r>
      <w:r>
        <w:rPr>
          <w:lang w:val="en-US"/>
        </w:rPr>
        <w:t xml:space="preserve">. 2, </w:t>
      </w:r>
      <w:r>
        <w:rPr/>
        <w:t>Απριλίου</w:t>
      </w:r>
      <w:r>
        <w:rPr>
          <w:lang w:val="en-US"/>
        </w:rPr>
        <w:t xml:space="preserve"> 2013, doi: 10.7554/eLife.00523.</w:t>
      </w:r>
    </w:p>
    <w:p>
      <w:pPr>
        <w:pStyle w:val="Normal"/>
        <w:widowControl w:val="false"/>
        <w:spacing w:before="0" w:after="240"/>
        <w:jc w:val="both"/>
        <w:rPr>
          <w:lang w:val="en-US"/>
        </w:rPr>
      </w:pPr>
      <w:r>
        <w:rPr>
          <w:lang w:val="en-US"/>
        </w:rPr>
        <w:t>[129]</w:t>
        <w:tab/>
        <w:t xml:space="preserve">M. J. Jones, A. P. Fejes, </w:t>
      </w:r>
      <w:r>
        <w:rPr/>
        <w:t>και</w:t>
      </w:r>
      <w:r>
        <w:rPr>
          <w:lang w:val="en-US"/>
        </w:rPr>
        <w:t xml:space="preserve"> M. S. Kobor, ‘DNA methylation, genotype and gene expression: who is driving and who is along for the ride?’, </w:t>
      </w:r>
      <w:r>
        <w:rPr>
          <w:i/>
          <w:iCs/>
          <w:lang w:val="en-US"/>
        </w:rPr>
        <w:t>Genome Biol.</w:t>
      </w:r>
      <w:r>
        <w:rPr>
          <w:lang w:val="en-US"/>
        </w:rPr>
        <w:t xml:space="preserve">, </w:t>
      </w:r>
      <w:r>
        <w:rPr/>
        <w:t>τ</w:t>
      </w:r>
      <w:r>
        <w:rPr>
          <w:lang w:val="en-US"/>
        </w:rPr>
        <w:t xml:space="preserve">. 14, </w:t>
      </w:r>
      <w:r>
        <w:rPr/>
        <w:t>τχ</w:t>
      </w:r>
      <w:r>
        <w:rPr>
          <w:lang w:val="en-US"/>
        </w:rPr>
        <w:t xml:space="preserve">. 7, Art. </w:t>
      </w:r>
      <w:r>
        <w:rPr/>
        <w:t>τχ</w:t>
      </w:r>
      <w:r>
        <w:rPr>
          <w:lang w:val="en-US"/>
        </w:rPr>
        <w:t xml:space="preserve">. 7, </w:t>
      </w:r>
      <w:r>
        <w:rPr/>
        <w:t>Ιουλίου</w:t>
      </w:r>
      <w:r>
        <w:rPr>
          <w:lang w:val="en-US"/>
        </w:rPr>
        <w:t xml:space="preserve"> 2013, doi: 10.1186/gb-2013-14-7-126.</w:t>
      </w:r>
    </w:p>
    <w:p>
      <w:pPr>
        <w:pStyle w:val="Normal"/>
        <w:widowControl w:val="false"/>
        <w:spacing w:before="0" w:after="240"/>
        <w:jc w:val="both"/>
        <w:rPr>
          <w:lang w:val="en-US"/>
        </w:rPr>
      </w:pPr>
      <w:r>
        <w:rPr>
          <w:lang w:val="en-US"/>
        </w:rPr>
        <w:t>[130]</w:t>
        <w:tab/>
        <w:t xml:space="preserve">J. P. Bradfield </w:t>
      </w:r>
      <w:r>
        <w:rPr>
          <w:i/>
          <w:iCs/>
        </w:rPr>
        <w:t>κ</w:t>
      </w:r>
      <w:r>
        <w:rPr>
          <w:i/>
          <w:iCs/>
          <w:lang w:val="en-US"/>
        </w:rPr>
        <w:t>.</w:t>
      </w:r>
      <w:r>
        <w:rPr>
          <w:i/>
          <w:iCs/>
        </w:rPr>
        <w:t>ά</w:t>
      </w:r>
      <w:r>
        <w:rPr>
          <w:i/>
          <w:iCs/>
          <w:lang w:val="en-US"/>
        </w:rPr>
        <w:t>.</w:t>
      </w:r>
      <w:r>
        <w:rPr>
          <w:lang w:val="en-US"/>
        </w:rPr>
        <w:t xml:space="preserve">, ‘A trans-ancestral meta-analysis of genome-wide association studies reveals loci associated with childhood obesity’, </w:t>
      </w:r>
      <w:r>
        <w:rPr>
          <w:i/>
          <w:iCs/>
          <w:lang w:val="en-US"/>
        </w:rPr>
        <w:t>Hum. Mol. Genet.</w:t>
      </w:r>
      <w:r>
        <w:rPr>
          <w:lang w:val="en-US"/>
        </w:rPr>
        <w:t xml:space="preserve">, </w:t>
      </w:r>
      <w:r>
        <w:rPr/>
        <w:t>τ</w:t>
      </w:r>
      <w:r>
        <w:rPr>
          <w:lang w:val="en-US"/>
        </w:rPr>
        <w:t xml:space="preserve">. 28, </w:t>
      </w:r>
      <w:r>
        <w:rPr/>
        <w:t>τχ</w:t>
      </w:r>
      <w:r>
        <w:rPr>
          <w:lang w:val="en-US"/>
        </w:rPr>
        <w:t xml:space="preserve">. 19, </w:t>
      </w:r>
      <w:r>
        <w:rPr/>
        <w:t>σσ</w:t>
      </w:r>
      <w:r>
        <w:rPr>
          <w:lang w:val="en-US"/>
        </w:rPr>
        <w:t xml:space="preserve">. 3327–3338, </w:t>
      </w:r>
      <w:r>
        <w:rPr/>
        <w:t>Οκτωβρίου</w:t>
      </w:r>
      <w:r>
        <w:rPr>
          <w:lang w:val="en-US"/>
        </w:rPr>
        <w:t xml:space="preserve"> 2019, doi: 10.1093/hmg/ddz161.</w:t>
      </w:r>
    </w:p>
    <w:p>
      <w:pPr>
        <w:pStyle w:val="Normal"/>
        <w:widowControl w:val="false"/>
        <w:spacing w:before="0" w:after="240"/>
        <w:jc w:val="both"/>
        <w:rPr>
          <w:lang w:val="en-US"/>
        </w:rPr>
      </w:pPr>
      <w:r>
        <w:rPr>
          <w:lang w:val="en-US"/>
        </w:rPr>
        <w:t>[131]</w:t>
        <w:tab/>
        <w:t xml:space="preserve">M. V. C. Greenberg </w:t>
      </w:r>
      <w:r>
        <w:rPr/>
        <w:t>και</w:t>
      </w:r>
      <w:r>
        <w:rPr>
          <w:lang w:val="en-US"/>
        </w:rPr>
        <w:t xml:space="preserve"> D. Bourc’his, ‘The diverse roles of DNA methylation in mammalian development and disease’, </w:t>
      </w:r>
      <w:r>
        <w:rPr>
          <w:i/>
          <w:iCs/>
          <w:lang w:val="en-US"/>
        </w:rPr>
        <w:t>Nat. Rev. Mol. Cell Biol.</w:t>
      </w:r>
      <w:r>
        <w:rPr>
          <w:lang w:val="en-US"/>
        </w:rPr>
        <w:t xml:space="preserve">, </w:t>
      </w:r>
      <w:r>
        <w:rPr/>
        <w:t>τ</w:t>
      </w:r>
      <w:r>
        <w:rPr>
          <w:lang w:val="en-US"/>
        </w:rPr>
        <w:t xml:space="preserve">. 20, </w:t>
      </w:r>
      <w:r>
        <w:rPr/>
        <w:t>τχ</w:t>
      </w:r>
      <w:r>
        <w:rPr>
          <w:lang w:val="en-US"/>
        </w:rPr>
        <w:t xml:space="preserve">. 10, Art. </w:t>
      </w:r>
      <w:r>
        <w:rPr/>
        <w:t>τχ</w:t>
      </w:r>
      <w:r>
        <w:rPr>
          <w:lang w:val="en-US"/>
        </w:rPr>
        <w:t xml:space="preserve">. 10, </w:t>
      </w:r>
      <w:r>
        <w:rPr/>
        <w:t>Οκτωβρίου</w:t>
      </w:r>
      <w:r>
        <w:rPr>
          <w:lang w:val="en-US"/>
        </w:rPr>
        <w:t xml:space="preserve"> 2019, doi: 10.1038/s41580-019-0159-6.</w:t>
      </w:r>
    </w:p>
    <w:p>
      <w:pPr>
        <w:pStyle w:val="Normal"/>
        <w:widowControl w:val="false"/>
        <w:spacing w:before="0" w:after="240"/>
        <w:jc w:val="both"/>
        <w:rPr>
          <w:lang w:val="en-US"/>
        </w:rPr>
      </w:pPr>
      <w:r>
        <w:rPr>
          <w:lang w:val="en-US"/>
        </w:rPr>
        <w:t>[132]</w:t>
        <w:tab/>
        <w:t xml:space="preserve">A. J. Bannister </w:t>
      </w:r>
      <w:r>
        <w:rPr/>
        <w:t>και</w:t>
      </w:r>
      <w:r>
        <w:rPr>
          <w:lang w:val="en-US"/>
        </w:rPr>
        <w:t xml:space="preserve"> T. Kouzarides, ‘Regulation of chromatin by histone modifications’, </w:t>
      </w:r>
      <w:r>
        <w:rPr>
          <w:i/>
          <w:iCs/>
          <w:lang w:val="en-US"/>
        </w:rPr>
        <w:t>Cell Res.</w:t>
      </w:r>
      <w:r>
        <w:rPr>
          <w:lang w:val="en-US"/>
        </w:rPr>
        <w:t xml:space="preserve">, </w:t>
      </w:r>
      <w:r>
        <w:rPr/>
        <w:t>τ</w:t>
      </w:r>
      <w:r>
        <w:rPr>
          <w:lang w:val="en-US"/>
        </w:rPr>
        <w:t xml:space="preserve">. 21, </w:t>
      </w:r>
      <w:r>
        <w:rPr/>
        <w:t>τχ</w:t>
      </w:r>
      <w:r>
        <w:rPr>
          <w:lang w:val="en-US"/>
        </w:rPr>
        <w:t xml:space="preserve">. 3, Art. </w:t>
      </w:r>
      <w:r>
        <w:rPr/>
        <w:t>τχ</w:t>
      </w:r>
      <w:r>
        <w:rPr>
          <w:lang w:val="en-US"/>
        </w:rPr>
        <w:t xml:space="preserve">. 3, </w:t>
      </w:r>
      <w:r>
        <w:rPr/>
        <w:t>Μαρτίου</w:t>
      </w:r>
      <w:r>
        <w:rPr>
          <w:lang w:val="en-US"/>
        </w:rPr>
        <w:t xml:space="preserve"> 2011, doi: 10.1038/cr.2011.22.</w:t>
      </w:r>
    </w:p>
    <w:p>
      <w:pPr>
        <w:pStyle w:val="Normal"/>
        <w:widowControl w:val="false"/>
        <w:spacing w:before="0" w:after="240"/>
        <w:jc w:val="both"/>
        <w:rPr>
          <w:lang w:val="en-US"/>
        </w:rPr>
      </w:pPr>
      <w:r>
        <w:rPr>
          <w:lang w:val="en-US"/>
        </w:rPr>
        <w:t>[133]</w:t>
        <w:tab/>
        <w:t xml:space="preserve">G. H, I. Nt, W. Js, </w:t>
      </w:r>
      <w:r>
        <w:rPr/>
        <w:t>και</w:t>
      </w:r>
      <w:r>
        <w:rPr>
          <w:lang w:val="en-US"/>
        </w:rPr>
        <w:t xml:space="preserve"> B. Dp, ‘Mammalian microRNAs predominantly act to decrease target mRNA levels’, </w:t>
      </w:r>
      <w:r>
        <w:rPr>
          <w:i/>
          <w:iCs/>
          <w:lang w:val="en-US"/>
        </w:rPr>
        <w:t>Nature</w:t>
      </w:r>
      <w:r>
        <w:rPr>
          <w:lang w:val="en-US"/>
        </w:rPr>
        <w:t xml:space="preserve">, </w:t>
      </w:r>
      <w:r>
        <w:rPr/>
        <w:t>τ</w:t>
      </w:r>
      <w:r>
        <w:rPr>
          <w:lang w:val="en-US"/>
        </w:rPr>
        <w:t xml:space="preserve">. 466, </w:t>
      </w:r>
      <w:r>
        <w:rPr/>
        <w:t>τχ</w:t>
      </w:r>
      <w:r>
        <w:rPr>
          <w:lang w:val="en-US"/>
        </w:rPr>
        <w:t xml:space="preserve">. 7308, </w:t>
      </w:r>
      <w:r>
        <w:rPr/>
        <w:t>Δεκεμβρίου</w:t>
      </w:r>
      <w:r>
        <w:rPr>
          <w:lang w:val="en-US"/>
        </w:rPr>
        <w:t xml:space="preserve"> 2010, doi: 10.1038/nature09267.</w:t>
      </w:r>
    </w:p>
    <w:p>
      <w:pPr>
        <w:pStyle w:val="Normal"/>
        <w:widowControl w:val="false"/>
        <w:spacing w:before="0" w:after="240"/>
        <w:jc w:val="both"/>
        <w:rPr>
          <w:lang w:val="en-US"/>
        </w:rPr>
      </w:pPr>
      <w:r>
        <w:rPr>
          <w:lang w:val="en-US"/>
        </w:rPr>
        <w:t>[134]</w:t>
        <w:tab/>
        <w:t xml:space="preserve">K. F </w:t>
      </w:r>
      <w:r>
        <w:rPr/>
        <w:t>και</w:t>
      </w:r>
      <w:r>
        <w:rPr>
          <w:lang w:val="en-US"/>
        </w:rPr>
        <w:t xml:space="preserve"> M. Jt, ‘Functional Classification and Experimental Dissection of Long Noncoding RNAs’, </w:t>
      </w:r>
      <w:r>
        <w:rPr>
          <w:i/>
          <w:iCs/>
          <w:lang w:val="en-US"/>
        </w:rPr>
        <w:t>Cell</w:t>
      </w:r>
      <w:r>
        <w:rPr>
          <w:lang w:val="en-US"/>
        </w:rPr>
        <w:t xml:space="preserve">, </w:t>
      </w:r>
      <w:r>
        <w:rPr/>
        <w:t>τ</w:t>
      </w:r>
      <w:r>
        <w:rPr>
          <w:lang w:val="en-US"/>
        </w:rPr>
        <w:t xml:space="preserve">. 172, </w:t>
      </w:r>
      <w:r>
        <w:rPr/>
        <w:t>τχ</w:t>
      </w:r>
      <w:r>
        <w:rPr>
          <w:lang w:val="en-US"/>
        </w:rPr>
        <w:t xml:space="preserve">. 3, </w:t>
      </w:r>
      <w:r>
        <w:rPr/>
        <w:t>Ιανουαρίου</w:t>
      </w:r>
      <w:r>
        <w:rPr>
          <w:lang w:val="en-US"/>
        </w:rPr>
        <w:t xml:space="preserve"> 2018, doi: 10.1016/j.cell.2018.01.011.</w:t>
      </w:r>
    </w:p>
    <w:p>
      <w:pPr>
        <w:pStyle w:val="Normal"/>
        <w:widowControl w:val="false"/>
        <w:spacing w:before="0" w:after="240"/>
        <w:jc w:val="both"/>
        <w:rPr>
          <w:lang w:val="en-US"/>
        </w:rPr>
      </w:pPr>
      <w:r>
        <w:rPr>
          <w:lang w:val="en-US"/>
        </w:rPr>
        <w:t>[135]</w:t>
        <w:tab/>
        <w:t xml:space="preserve">M. Am, ‘An Overview of Epigenetics in Obesity: The Role of Lifestyle and Therapeutic Interventions’, </w:t>
      </w:r>
      <w:r>
        <w:rPr>
          <w:i/>
          <w:iCs/>
          <w:lang w:val="en-US"/>
        </w:rPr>
        <w:t>Int. J. Mol. Sci.</w:t>
      </w:r>
      <w:r>
        <w:rPr>
          <w:lang w:val="en-US"/>
        </w:rPr>
        <w:t xml:space="preserve">, </w:t>
      </w:r>
      <w:r>
        <w:rPr/>
        <w:t>τ</w:t>
      </w:r>
      <w:r>
        <w:rPr>
          <w:lang w:val="en-US"/>
        </w:rPr>
        <w:t xml:space="preserve">. 23, </w:t>
      </w:r>
      <w:r>
        <w:rPr/>
        <w:t>τχ</w:t>
      </w:r>
      <w:r>
        <w:rPr>
          <w:lang w:val="en-US"/>
        </w:rPr>
        <w:t xml:space="preserve">. 3, </w:t>
      </w:r>
      <w:r>
        <w:rPr/>
        <w:t>Ιανουαρίου</w:t>
      </w:r>
      <w:r>
        <w:rPr>
          <w:lang w:val="en-US"/>
        </w:rPr>
        <w:t xml:space="preserve"> 2022, doi: 10.3390/ijms23031341.</w:t>
      </w:r>
    </w:p>
    <w:p>
      <w:pPr>
        <w:pStyle w:val="Normal"/>
        <w:widowControl w:val="false"/>
        <w:spacing w:before="0" w:after="240"/>
        <w:jc w:val="both"/>
        <w:rPr>
          <w:lang w:val="en-US"/>
        </w:rPr>
      </w:pPr>
      <w:r>
        <w:rPr>
          <w:lang w:val="en-US"/>
        </w:rPr>
        <w:t>[136]</w:t>
        <w:tab/>
        <w:t xml:space="preserve">A. R, R. O, H. E, N. Ts, V. P, </w:t>
      </w:r>
      <w:r>
        <w:rPr/>
        <w:t>και</w:t>
      </w:r>
      <w:r>
        <w:rPr>
          <w:lang w:val="en-US"/>
        </w:rPr>
        <w:t xml:space="preserve"> P. M, ‘Perspectives and challenges of epigenetic determinants of childhood obesity: A systematic review’, </w:t>
      </w:r>
      <w:r>
        <w:rPr>
          <w:i/>
          <w:iCs/>
          <w:lang w:val="en-US"/>
        </w:rPr>
        <w:t>Obes. Rev. Off. J. Int. Assoc. Study Obes.</w:t>
      </w:r>
      <w:r>
        <w:rPr>
          <w:lang w:val="en-US"/>
        </w:rPr>
        <w:t xml:space="preserve">, </w:t>
      </w:r>
      <w:r>
        <w:rPr/>
        <w:t>τ</w:t>
      </w:r>
      <w:r>
        <w:rPr>
          <w:lang w:val="en-US"/>
        </w:rPr>
        <w:t xml:space="preserve">. 23 Suppl 1, </w:t>
      </w:r>
      <w:r>
        <w:rPr/>
        <w:t>Ιανουαρίου</w:t>
      </w:r>
      <w:r>
        <w:rPr>
          <w:lang w:val="en-US"/>
        </w:rPr>
        <w:t xml:space="preserve"> 2022, doi: 10.1111/obr.13389.</w:t>
      </w:r>
    </w:p>
    <w:p>
      <w:pPr>
        <w:pStyle w:val="Normal"/>
        <w:widowControl w:val="false"/>
        <w:spacing w:before="0" w:after="240"/>
        <w:jc w:val="both"/>
        <w:rPr>
          <w:lang w:val="en-US"/>
        </w:rPr>
      </w:pPr>
      <w:r>
        <w:rPr>
          <w:lang w:val="en-US"/>
        </w:rPr>
        <w:t>[137]</w:t>
        <w:tab/>
        <w:t xml:space="preserve">N. Robinson </w:t>
      </w:r>
      <w:r>
        <w:rPr>
          <w:i/>
          <w:iCs/>
        </w:rPr>
        <w:t>κ</w:t>
      </w:r>
      <w:r>
        <w:rPr>
          <w:i/>
          <w:iCs/>
          <w:lang w:val="en-US"/>
        </w:rPr>
        <w:t>.</w:t>
      </w:r>
      <w:r>
        <w:rPr>
          <w:i/>
          <w:iCs/>
        </w:rPr>
        <w:t>ά</w:t>
      </w:r>
      <w:r>
        <w:rPr>
          <w:i/>
          <w:iCs/>
          <w:lang w:val="en-US"/>
        </w:rPr>
        <w:t>.</w:t>
      </w:r>
      <w:r>
        <w:rPr>
          <w:lang w:val="en-US"/>
        </w:rPr>
        <w:t xml:space="preserve">, ‘Childhood DNA methylation as a marker of early life rapid weight gain and subsequent overweight’, </w:t>
      </w:r>
      <w:r>
        <w:rPr>
          <w:i/>
          <w:iCs/>
          <w:lang w:val="en-US"/>
        </w:rPr>
        <w:t>Clin. Epigenetics</w:t>
      </w:r>
      <w:r>
        <w:rPr>
          <w:lang w:val="en-US"/>
        </w:rPr>
        <w:t xml:space="preserve">, </w:t>
      </w:r>
      <w:r>
        <w:rPr/>
        <w:t>τ</w:t>
      </w:r>
      <w:r>
        <w:rPr>
          <w:lang w:val="en-US"/>
        </w:rPr>
        <w:t xml:space="preserve">. 13, </w:t>
      </w:r>
      <w:r>
        <w:rPr/>
        <w:t>τχ</w:t>
      </w:r>
      <w:r>
        <w:rPr>
          <w:lang w:val="en-US"/>
        </w:rPr>
        <w:t xml:space="preserve">. 1, Art. </w:t>
      </w:r>
      <w:r>
        <w:rPr/>
        <w:t>τχ</w:t>
      </w:r>
      <w:r>
        <w:rPr>
          <w:lang w:val="en-US"/>
        </w:rPr>
        <w:t xml:space="preserve">. 1, </w:t>
      </w:r>
      <w:r>
        <w:rPr/>
        <w:t>Δεκεμβρίου</w:t>
      </w:r>
      <w:r>
        <w:rPr>
          <w:lang w:val="en-US"/>
        </w:rPr>
        <w:t xml:space="preserve"> 2021, doi: 10.1186/s13148-020-00952-z.</w:t>
      </w:r>
    </w:p>
    <w:p>
      <w:pPr>
        <w:pStyle w:val="Normal"/>
        <w:widowControl w:val="false"/>
        <w:spacing w:before="0" w:after="240"/>
        <w:jc w:val="both"/>
        <w:rPr>
          <w:lang w:val="en-US"/>
        </w:rPr>
      </w:pPr>
      <w:r>
        <w:rPr>
          <w:lang w:val="en-US"/>
        </w:rPr>
        <w:t>[138]</w:t>
        <w:tab/>
        <w:t xml:space="preserve">X. X </w:t>
      </w:r>
      <w:r>
        <w:rPr>
          <w:i/>
          <w:iCs/>
        </w:rPr>
        <w:t>κ</w:t>
      </w:r>
      <w:r>
        <w:rPr>
          <w:i/>
          <w:iCs/>
          <w:lang w:val="en-US"/>
        </w:rPr>
        <w:t>.</w:t>
      </w:r>
      <w:r>
        <w:rPr>
          <w:i/>
          <w:iCs/>
        </w:rPr>
        <w:t>ά</w:t>
      </w:r>
      <w:r>
        <w:rPr>
          <w:i/>
          <w:iCs/>
          <w:lang w:val="en-US"/>
        </w:rPr>
        <w:t>.</w:t>
      </w:r>
      <w:r>
        <w:rPr>
          <w:lang w:val="en-US"/>
        </w:rPr>
        <w:t xml:space="preserve">, ‘A genome-wide methylation study on obesity: differential variability and differential methylation’, </w:t>
      </w:r>
      <w:r>
        <w:rPr>
          <w:i/>
          <w:iCs/>
          <w:lang w:val="en-US"/>
        </w:rPr>
        <w:t>Epigenetics</w:t>
      </w:r>
      <w:r>
        <w:rPr>
          <w:lang w:val="en-US"/>
        </w:rPr>
        <w:t xml:space="preserve">, </w:t>
      </w:r>
      <w:r>
        <w:rPr/>
        <w:t>τ</w:t>
      </w:r>
      <w:r>
        <w:rPr>
          <w:lang w:val="en-US"/>
        </w:rPr>
        <w:t xml:space="preserve">. 8, </w:t>
      </w:r>
      <w:r>
        <w:rPr/>
        <w:t>τχ</w:t>
      </w:r>
      <w:r>
        <w:rPr>
          <w:lang w:val="en-US"/>
        </w:rPr>
        <w:t xml:space="preserve">. 5, </w:t>
      </w:r>
      <w:r>
        <w:rPr/>
        <w:t>Δεκεμβρίου</w:t>
      </w:r>
      <w:r>
        <w:rPr>
          <w:lang w:val="en-US"/>
        </w:rPr>
        <w:t xml:space="preserve"> 2013, doi: 10.4161/epi.24506.</w:t>
      </w:r>
    </w:p>
    <w:p>
      <w:pPr>
        <w:pStyle w:val="Normal"/>
        <w:widowControl w:val="false"/>
        <w:spacing w:before="0" w:after="240"/>
        <w:jc w:val="both"/>
        <w:rPr>
          <w:lang w:val="en-US"/>
        </w:rPr>
      </w:pPr>
      <w:r>
        <w:rPr>
          <w:lang w:val="en-US"/>
        </w:rPr>
        <w:t>[139]</w:t>
        <w:tab/>
        <w:t xml:space="preserve">S.-B. S </w:t>
      </w:r>
      <w:r>
        <w:rPr>
          <w:i/>
          <w:iCs/>
        </w:rPr>
        <w:t>κ</w:t>
      </w:r>
      <w:r>
        <w:rPr>
          <w:i/>
          <w:iCs/>
          <w:lang w:val="en-US"/>
        </w:rPr>
        <w:t>.</w:t>
      </w:r>
      <w:r>
        <w:rPr>
          <w:i/>
          <w:iCs/>
        </w:rPr>
        <w:t>ά</w:t>
      </w:r>
      <w:r>
        <w:rPr>
          <w:i/>
          <w:iCs/>
          <w:lang w:val="en-US"/>
        </w:rPr>
        <w:t>.</w:t>
      </w:r>
      <w:r>
        <w:rPr>
          <w:lang w:val="en-US"/>
        </w:rPr>
        <w:t xml:space="preserve">, ‘DNA methylation and obesity traits: An epigenome-wide association study. The REGICOR study’, </w:t>
      </w:r>
      <w:r>
        <w:rPr>
          <w:i/>
          <w:iCs/>
          <w:lang w:val="en-US"/>
        </w:rPr>
        <w:t>Epigenetics</w:t>
      </w:r>
      <w:r>
        <w:rPr>
          <w:lang w:val="en-US"/>
        </w:rPr>
        <w:t xml:space="preserve">, </w:t>
      </w:r>
      <w:r>
        <w:rPr/>
        <w:t>τ</w:t>
      </w:r>
      <w:r>
        <w:rPr>
          <w:lang w:val="en-US"/>
        </w:rPr>
        <w:t xml:space="preserve">. 12, </w:t>
      </w:r>
      <w:r>
        <w:rPr/>
        <w:t>τχ</w:t>
      </w:r>
      <w:r>
        <w:rPr>
          <w:lang w:val="en-US"/>
        </w:rPr>
        <w:t>. 10, 2017, doi: 10.1080/15592294.2017.1363951.</w:t>
      </w:r>
    </w:p>
    <w:p>
      <w:pPr>
        <w:pStyle w:val="Normal"/>
        <w:widowControl w:val="false"/>
        <w:spacing w:before="0" w:after="240"/>
        <w:jc w:val="both"/>
        <w:rPr>
          <w:lang w:val="en-US"/>
        </w:rPr>
      </w:pPr>
      <w:r>
        <w:rPr>
          <w:lang w:val="en-US"/>
        </w:rPr>
        <w:t>[140]</w:t>
        <w:tab/>
        <w:t xml:space="preserve">L. Mk </w:t>
      </w:r>
      <w:r>
        <w:rPr/>
        <w:t>και</w:t>
      </w:r>
      <w:r>
        <w:rPr>
          <w:lang w:val="en-US"/>
        </w:rPr>
        <w:t xml:space="preserve"> B. B, ‘Transgenerational effects of obesogens’, </w:t>
      </w:r>
      <w:r>
        <w:rPr>
          <w:i/>
          <w:iCs/>
          <w:lang w:val="en-US"/>
        </w:rPr>
        <w:t>Basic Clin. Pharmacol. Toxicol.</w:t>
      </w:r>
      <w:r>
        <w:rPr>
          <w:lang w:val="en-US"/>
        </w:rPr>
        <w:t xml:space="preserve">, </w:t>
      </w:r>
      <w:r>
        <w:rPr/>
        <w:t>τ</w:t>
      </w:r>
      <w:r>
        <w:rPr>
          <w:lang w:val="en-US"/>
        </w:rPr>
        <w:t xml:space="preserve">. 125 Suppl 3, </w:t>
      </w:r>
      <w:r>
        <w:rPr/>
        <w:t>τχ</w:t>
      </w:r>
      <w:r>
        <w:rPr>
          <w:lang w:val="en-US"/>
        </w:rPr>
        <w:t xml:space="preserve">. Suppl 3, </w:t>
      </w:r>
      <w:r>
        <w:rPr/>
        <w:t>Αυγούστου</w:t>
      </w:r>
      <w:r>
        <w:rPr>
          <w:lang w:val="en-US"/>
        </w:rPr>
        <w:t xml:space="preserve"> 2019, doi: 10.1111/bcpt.13214.</w:t>
      </w:r>
    </w:p>
    <w:p>
      <w:pPr>
        <w:pStyle w:val="Normal"/>
        <w:widowControl w:val="false"/>
        <w:spacing w:before="0" w:after="240"/>
        <w:jc w:val="both"/>
        <w:rPr>
          <w:lang w:val="en-US"/>
        </w:rPr>
      </w:pPr>
      <w:r>
        <w:rPr>
          <w:lang w:val="en-US"/>
        </w:rPr>
        <w:t>[141]</w:t>
        <w:tab/>
        <w:t xml:space="preserve">N. Mohajer, E. M. Joloya, J. Seo, T. Shioda, </w:t>
      </w:r>
      <w:r>
        <w:rPr/>
        <w:t>και</w:t>
      </w:r>
      <w:r>
        <w:rPr>
          <w:lang w:val="en-US"/>
        </w:rPr>
        <w:t xml:space="preserve"> B. Blumberg, ‘Epigenetic Transgenerational Inheritance of the Effects of Obesogen Exposure’, </w:t>
      </w:r>
      <w:r>
        <w:rPr>
          <w:i/>
          <w:iCs/>
          <w:lang w:val="en-US"/>
        </w:rPr>
        <w:t>Front. Endocrinol.</w:t>
      </w:r>
      <w:r>
        <w:rPr>
          <w:lang w:val="en-US"/>
        </w:rPr>
        <w:t xml:space="preserve">, </w:t>
      </w:r>
      <w:r>
        <w:rPr/>
        <w:t>τ</w:t>
      </w:r>
      <w:r>
        <w:rPr>
          <w:lang w:val="en-US"/>
        </w:rPr>
        <w:t xml:space="preserve">. 12, </w:t>
      </w:r>
      <w:r>
        <w:rPr/>
        <w:t>σ</w:t>
      </w:r>
      <w:r>
        <w:rPr>
          <w:lang w:val="en-US"/>
        </w:rPr>
        <w:t xml:space="preserve">. 787580, </w:t>
      </w:r>
      <w:r>
        <w:rPr/>
        <w:t>Δεκεμβρίου</w:t>
      </w:r>
      <w:r>
        <w:rPr>
          <w:lang w:val="en-US"/>
        </w:rPr>
        <w:t xml:space="preserve"> 2021, doi: 10.3389/fendo.2021.787580.</w:t>
      </w:r>
    </w:p>
    <w:p>
      <w:pPr>
        <w:pStyle w:val="Normal"/>
        <w:widowControl w:val="false"/>
        <w:spacing w:before="0" w:after="240"/>
        <w:jc w:val="both"/>
        <w:rPr>
          <w:lang w:val="en-US"/>
        </w:rPr>
      </w:pPr>
      <w:r>
        <w:rPr>
          <w:lang w:val="en-US"/>
        </w:rPr>
        <w:t>[142]</w:t>
        <w:tab/>
        <w:t xml:space="preserve">O. Jo, M. Gh, Q. E, B. Y, B. Ki, </w:t>
      </w:r>
      <w:r>
        <w:rPr/>
        <w:t>και</w:t>
      </w:r>
      <w:r>
        <w:rPr>
          <w:lang w:val="en-US"/>
        </w:rPr>
        <w:t xml:space="preserve"> S. C, ‘Epigenetic signatures associated with maternal body mass index or gestational weight gain: a systematic review’, </w:t>
      </w:r>
      <w:r>
        <w:rPr>
          <w:i/>
          <w:iCs/>
          <w:lang w:val="en-US"/>
        </w:rPr>
        <w:t>J. Dev. Orig. Health Dis.</w:t>
      </w:r>
      <w:r>
        <w:rPr>
          <w:lang w:val="en-US"/>
        </w:rPr>
        <w:t xml:space="preserve">, </w:t>
      </w:r>
      <w:r>
        <w:rPr/>
        <w:t>τ</w:t>
      </w:r>
      <w:r>
        <w:rPr>
          <w:lang w:val="en-US"/>
        </w:rPr>
        <w:t xml:space="preserve">. 12, </w:t>
      </w:r>
      <w:r>
        <w:rPr/>
        <w:t>τχ</w:t>
      </w:r>
      <w:r>
        <w:rPr>
          <w:lang w:val="en-US"/>
        </w:rPr>
        <w:t xml:space="preserve">. 3, </w:t>
      </w:r>
      <w:r>
        <w:rPr/>
        <w:t>Ιουνίου</w:t>
      </w:r>
      <w:r>
        <w:rPr>
          <w:lang w:val="en-US"/>
        </w:rPr>
        <w:t xml:space="preserve"> 2021, doi: 10.1017/S2040174420000811.</w:t>
      </w:r>
    </w:p>
    <w:p>
      <w:pPr>
        <w:pStyle w:val="Normal"/>
        <w:widowControl w:val="false"/>
        <w:spacing w:before="0" w:after="240"/>
        <w:jc w:val="both"/>
        <w:rPr>
          <w:lang w:val="en-US"/>
        </w:rPr>
      </w:pPr>
      <w:r>
        <w:rPr>
          <w:lang w:val="en-US"/>
        </w:rPr>
        <w:t>[143]</w:t>
        <w:tab/>
        <w:t xml:space="preserve">O. Xh, Z. Cc, </w:t>
      </w:r>
      <w:r>
        <w:rPr/>
        <w:t>και</w:t>
      </w:r>
      <w:r>
        <w:rPr>
          <w:lang w:val="en-US"/>
        </w:rPr>
        <w:t xml:space="preserve"> S. Sc, ‘Effects of obesity and diabetes on the epigenetic modification of mammalian gametes’, </w:t>
      </w:r>
      <w:r>
        <w:rPr>
          <w:i/>
          <w:iCs/>
          <w:lang w:val="en-US"/>
        </w:rPr>
        <w:t>J. Cell. Physiol.</w:t>
      </w:r>
      <w:r>
        <w:rPr>
          <w:lang w:val="en-US"/>
        </w:rPr>
        <w:t xml:space="preserve">, </w:t>
      </w:r>
      <w:r>
        <w:rPr/>
        <w:t>τ</w:t>
      </w:r>
      <w:r>
        <w:rPr>
          <w:lang w:val="en-US"/>
        </w:rPr>
        <w:t xml:space="preserve">. 234, </w:t>
      </w:r>
      <w:r>
        <w:rPr/>
        <w:t>τχ</w:t>
      </w:r>
      <w:r>
        <w:rPr>
          <w:lang w:val="en-US"/>
        </w:rPr>
        <w:t xml:space="preserve">. 6, </w:t>
      </w:r>
      <w:r>
        <w:rPr/>
        <w:t>Ιουνίου</w:t>
      </w:r>
      <w:r>
        <w:rPr>
          <w:lang w:val="en-US"/>
        </w:rPr>
        <w:t xml:space="preserve"> 2019, doi: 10.1002/jcp.27847.</w:t>
      </w:r>
    </w:p>
    <w:p>
      <w:pPr>
        <w:pStyle w:val="Normal"/>
        <w:widowControl w:val="false"/>
        <w:spacing w:before="0" w:after="240"/>
        <w:jc w:val="both"/>
        <w:rPr>
          <w:lang w:val="en-US"/>
        </w:rPr>
      </w:pPr>
      <w:r>
        <w:rPr>
          <w:lang w:val="en-US"/>
        </w:rPr>
        <w:t>[144]</w:t>
        <w:tab/>
        <w:t xml:space="preserve">M.-J. Wang </w:t>
      </w:r>
      <w:r>
        <w:rPr>
          <w:i/>
          <w:iCs/>
        </w:rPr>
        <w:t>κ</w:t>
      </w:r>
      <w:r>
        <w:rPr>
          <w:i/>
          <w:iCs/>
          <w:lang w:val="en-US"/>
        </w:rPr>
        <w:t>.</w:t>
      </w:r>
      <w:r>
        <w:rPr>
          <w:i/>
          <w:iCs/>
        </w:rPr>
        <w:t>ά</w:t>
      </w:r>
      <w:r>
        <w:rPr>
          <w:i/>
          <w:iCs/>
          <w:lang w:val="en-US"/>
        </w:rPr>
        <w:t>.</w:t>
      </w:r>
      <w:r>
        <w:rPr>
          <w:lang w:val="en-US"/>
        </w:rPr>
        <w:t xml:space="preserve">, ‘Insulin-like growth factor 2 is a key mitogen driving liver repopulation in mice’, </w:t>
      </w:r>
      <w:r>
        <w:rPr>
          <w:i/>
          <w:iCs/>
          <w:lang w:val="en-US"/>
        </w:rPr>
        <w:t>Cell Death Dis.</w:t>
      </w:r>
      <w:r>
        <w:rPr>
          <w:lang w:val="en-US"/>
        </w:rPr>
        <w:t xml:space="preserve">, </w:t>
      </w:r>
      <w:r>
        <w:rPr/>
        <w:t>τ</w:t>
      </w:r>
      <w:r>
        <w:rPr>
          <w:lang w:val="en-US"/>
        </w:rPr>
        <w:t xml:space="preserve">. 9, </w:t>
      </w:r>
      <w:r>
        <w:rPr/>
        <w:t>τχ</w:t>
      </w:r>
      <w:r>
        <w:rPr>
          <w:lang w:val="en-US"/>
        </w:rPr>
        <w:t xml:space="preserve">. 2, Art. </w:t>
      </w:r>
      <w:r>
        <w:rPr/>
        <w:t>τχ</w:t>
      </w:r>
      <w:r>
        <w:rPr>
          <w:lang w:val="en-US"/>
        </w:rPr>
        <w:t xml:space="preserve">. 2, </w:t>
      </w:r>
      <w:r>
        <w:rPr/>
        <w:t>Ιανουαρίου</w:t>
      </w:r>
      <w:r>
        <w:rPr>
          <w:lang w:val="en-US"/>
        </w:rPr>
        <w:t xml:space="preserve"> 2018, doi: 10.1038/s41419-017-0186-1.</w:t>
      </w:r>
    </w:p>
    <w:p>
      <w:pPr>
        <w:pStyle w:val="Normal"/>
        <w:widowControl w:val="false"/>
        <w:spacing w:before="0" w:after="240"/>
        <w:jc w:val="both"/>
        <w:rPr>
          <w:lang w:val="en-US"/>
        </w:rPr>
      </w:pPr>
      <w:r>
        <w:rPr>
          <w:lang w:val="en-US"/>
        </w:rPr>
        <w:t>[145]</w:t>
        <w:tab/>
        <w:t xml:space="preserve">G. T </w:t>
      </w:r>
      <w:r>
        <w:rPr>
          <w:i/>
          <w:iCs/>
        </w:rPr>
        <w:t>κ</w:t>
      </w:r>
      <w:r>
        <w:rPr>
          <w:i/>
          <w:iCs/>
          <w:lang w:val="en-US"/>
        </w:rPr>
        <w:t>.</w:t>
      </w:r>
      <w:r>
        <w:rPr>
          <w:i/>
          <w:iCs/>
        </w:rPr>
        <w:t>ά</w:t>
      </w:r>
      <w:r>
        <w:rPr>
          <w:i/>
          <w:iCs/>
          <w:lang w:val="en-US"/>
        </w:rPr>
        <w:t>.</w:t>
      </w:r>
      <w:r>
        <w:rPr>
          <w:lang w:val="en-US"/>
        </w:rPr>
        <w:t xml:space="preserve">, ‘H19 lncRNA Promotes Skeletal Muscle Insulin Sensitivity in Part by Targeting AMPK’, </w:t>
      </w:r>
      <w:r>
        <w:rPr>
          <w:i/>
          <w:iCs/>
          <w:lang w:val="en-US"/>
        </w:rPr>
        <w:t>Diabetes</w:t>
      </w:r>
      <w:r>
        <w:rPr>
          <w:lang w:val="en-US"/>
        </w:rPr>
        <w:t xml:space="preserve">, </w:t>
      </w:r>
      <w:r>
        <w:rPr/>
        <w:t>τ</w:t>
      </w:r>
      <w:r>
        <w:rPr>
          <w:lang w:val="en-US"/>
        </w:rPr>
        <w:t xml:space="preserve">. 67, </w:t>
      </w:r>
      <w:r>
        <w:rPr/>
        <w:t>τχ</w:t>
      </w:r>
      <w:r>
        <w:rPr>
          <w:lang w:val="en-US"/>
        </w:rPr>
        <w:t xml:space="preserve">. 11, </w:t>
      </w:r>
      <w:r>
        <w:rPr/>
        <w:t>Νοεμβρίου</w:t>
      </w:r>
      <w:r>
        <w:rPr>
          <w:lang w:val="en-US"/>
        </w:rPr>
        <w:t xml:space="preserve"> 2018, doi: 10.2337/db18-0370.</w:t>
      </w:r>
    </w:p>
    <w:p>
      <w:pPr>
        <w:pStyle w:val="Normal"/>
        <w:widowControl w:val="false"/>
        <w:spacing w:before="0" w:after="240"/>
        <w:jc w:val="both"/>
        <w:rPr>
          <w:lang w:val="en-US"/>
        </w:rPr>
      </w:pPr>
      <w:r>
        <w:rPr>
          <w:lang w:val="en-US"/>
        </w:rPr>
        <w:t>[146]</w:t>
        <w:tab/>
        <w:t xml:space="preserve">Y.-J. Hou, C.-C. Zhu, X. Duan, H.-L. Liu, Q. Wang, </w:t>
      </w:r>
      <w:r>
        <w:rPr/>
        <w:t>και</w:t>
      </w:r>
      <w:r>
        <w:rPr>
          <w:lang w:val="en-US"/>
        </w:rPr>
        <w:t xml:space="preserve"> S.-C. Sun, ‘Both diet and gene mutation induced obesity affect oocyte quality in mice’, </w:t>
      </w:r>
      <w:r>
        <w:rPr>
          <w:i/>
          <w:iCs/>
          <w:lang w:val="en-US"/>
        </w:rPr>
        <w:t>Sci. Rep.</w:t>
      </w:r>
      <w:r>
        <w:rPr>
          <w:lang w:val="en-US"/>
        </w:rPr>
        <w:t xml:space="preserve">, </w:t>
      </w:r>
      <w:r>
        <w:rPr/>
        <w:t>τ</w:t>
      </w:r>
      <w:r>
        <w:rPr>
          <w:lang w:val="en-US"/>
        </w:rPr>
        <w:t xml:space="preserve">. 6, </w:t>
      </w:r>
      <w:r>
        <w:rPr/>
        <w:t>τχ</w:t>
      </w:r>
      <w:r>
        <w:rPr>
          <w:lang w:val="en-US"/>
        </w:rPr>
        <w:t xml:space="preserve">. 1, Art. </w:t>
      </w:r>
      <w:r>
        <w:rPr/>
        <w:t>τχ</w:t>
      </w:r>
      <w:r>
        <w:rPr>
          <w:lang w:val="en-US"/>
        </w:rPr>
        <w:t xml:space="preserve">. 1, </w:t>
      </w:r>
      <w:r>
        <w:rPr/>
        <w:t>Ιανουαρίου</w:t>
      </w:r>
      <w:r>
        <w:rPr>
          <w:lang w:val="en-US"/>
        </w:rPr>
        <w:t xml:space="preserve"> 2016, doi: 10.1038/srep18858.</w:t>
      </w:r>
    </w:p>
    <w:p>
      <w:pPr>
        <w:pStyle w:val="Normal"/>
        <w:widowControl w:val="false"/>
        <w:spacing w:before="0" w:after="240"/>
        <w:jc w:val="both"/>
        <w:rPr>
          <w:lang w:val="en-US"/>
        </w:rPr>
      </w:pPr>
      <w:r>
        <w:rPr>
          <w:lang w:val="en-US"/>
        </w:rPr>
        <w:t>[147]</w:t>
        <w:tab/>
        <w:t xml:space="preserve">H. L </w:t>
      </w:r>
      <w:r>
        <w:rPr>
          <w:i/>
          <w:iCs/>
        </w:rPr>
        <w:t>κ</w:t>
      </w:r>
      <w:r>
        <w:rPr>
          <w:i/>
          <w:iCs/>
          <w:lang w:val="en-US"/>
        </w:rPr>
        <w:t>.</w:t>
      </w:r>
      <w:r>
        <w:rPr>
          <w:i/>
          <w:iCs/>
        </w:rPr>
        <w:t>ά</w:t>
      </w:r>
      <w:r>
        <w:rPr>
          <w:i/>
          <w:iCs/>
          <w:lang w:val="en-US"/>
        </w:rPr>
        <w:t>.</w:t>
      </w:r>
      <w:r>
        <w:rPr>
          <w:lang w:val="en-US"/>
        </w:rPr>
        <w:t xml:space="preserve">, ‘Embryonic defects induced by maternal obesity in mice derive from Stella insufficiency in oocytes’, </w:t>
      </w:r>
      <w:r>
        <w:rPr>
          <w:i/>
          <w:iCs/>
          <w:lang w:val="en-US"/>
        </w:rPr>
        <w:t>Nat. Genet.</w:t>
      </w:r>
      <w:r>
        <w:rPr>
          <w:lang w:val="en-US"/>
        </w:rPr>
        <w:t xml:space="preserve">, </w:t>
      </w:r>
      <w:r>
        <w:rPr/>
        <w:t>τ</w:t>
      </w:r>
      <w:r>
        <w:rPr>
          <w:lang w:val="en-US"/>
        </w:rPr>
        <w:t xml:space="preserve">. 50, </w:t>
      </w:r>
      <w:r>
        <w:rPr/>
        <w:t>τχ</w:t>
      </w:r>
      <w:r>
        <w:rPr>
          <w:lang w:val="en-US"/>
        </w:rPr>
        <w:t xml:space="preserve">. 3, </w:t>
      </w:r>
      <w:r>
        <w:rPr/>
        <w:t>Μαρτίου</w:t>
      </w:r>
      <w:r>
        <w:rPr>
          <w:lang w:val="en-US"/>
        </w:rPr>
        <w:t xml:space="preserve"> 2018, doi: 10.1038/s41588-018-0055-6.</w:t>
      </w:r>
    </w:p>
    <w:p>
      <w:pPr>
        <w:pStyle w:val="Normal"/>
        <w:widowControl w:val="false"/>
        <w:spacing w:before="0" w:after="240"/>
        <w:jc w:val="both"/>
        <w:rPr>
          <w:lang w:val="en-US"/>
        </w:rPr>
      </w:pPr>
      <w:r>
        <w:rPr>
          <w:lang w:val="en-US"/>
        </w:rPr>
        <w:t>[148]</w:t>
        <w:tab/>
        <w:t xml:space="preserve">G. Raad, M. Hazzouri, S. Bottini, M. Trabucchi, J. Azoury, </w:t>
      </w:r>
      <w:r>
        <w:rPr/>
        <w:t>και</w:t>
      </w:r>
      <w:r>
        <w:rPr>
          <w:lang w:val="en-US"/>
        </w:rPr>
        <w:t xml:space="preserve"> V. Grandjean, ‘Paternal obesity: how bad is it for sperm quality and progeny health?’, </w:t>
      </w:r>
      <w:r>
        <w:rPr>
          <w:i/>
          <w:iCs/>
          <w:lang w:val="en-US"/>
        </w:rPr>
        <w:t>Basic Clin. Androl.</w:t>
      </w:r>
      <w:r>
        <w:rPr>
          <w:lang w:val="en-US"/>
        </w:rPr>
        <w:t xml:space="preserve">, </w:t>
      </w:r>
      <w:r>
        <w:rPr/>
        <w:t>τ</w:t>
      </w:r>
      <w:r>
        <w:rPr>
          <w:lang w:val="en-US"/>
        </w:rPr>
        <w:t>. 27, 2017, doi: 10.1186/s12610-017-0064-9.</w:t>
      </w:r>
    </w:p>
    <w:p>
      <w:pPr>
        <w:pStyle w:val="Normal"/>
        <w:widowControl w:val="false"/>
        <w:spacing w:before="0" w:after="240"/>
        <w:jc w:val="both"/>
        <w:rPr>
          <w:lang w:val="en-US"/>
        </w:rPr>
      </w:pPr>
      <w:r>
        <w:rPr>
          <w:lang w:val="en-US"/>
        </w:rPr>
        <w:t>[149]</w:t>
        <w:tab/>
        <w:t xml:space="preserve">I. Lrh, B. St, L. S, </w:t>
      </w:r>
      <w:r>
        <w:rPr/>
        <w:t>και</w:t>
      </w:r>
      <w:r>
        <w:rPr>
          <w:lang w:val="en-US"/>
        </w:rPr>
        <w:t xml:space="preserve"> N. Al, ‘DNA methylation in epigenetic inheritance of metabolic diseases through the male germ line’, </w:t>
      </w:r>
      <w:r>
        <w:rPr>
          <w:i/>
          <w:iCs/>
          <w:lang w:val="en-US"/>
        </w:rPr>
        <w:t>J. Mol. Endocrinol.</w:t>
      </w:r>
      <w:r>
        <w:rPr>
          <w:lang w:val="en-US"/>
        </w:rPr>
        <w:t xml:space="preserve">, </w:t>
      </w:r>
      <w:r>
        <w:rPr/>
        <w:t>τ</w:t>
      </w:r>
      <w:r>
        <w:rPr>
          <w:lang w:val="en-US"/>
        </w:rPr>
        <w:t xml:space="preserve">. 60, </w:t>
      </w:r>
      <w:r>
        <w:rPr/>
        <w:t>τχ</w:t>
      </w:r>
      <w:r>
        <w:rPr>
          <w:lang w:val="en-US"/>
        </w:rPr>
        <w:t xml:space="preserve">. 2, </w:t>
      </w:r>
      <w:r>
        <w:rPr/>
        <w:t>Φεβρουαρίου</w:t>
      </w:r>
      <w:r>
        <w:rPr>
          <w:lang w:val="en-US"/>
        </w:rPr>
        <w:t xml:space="preserve"> 2018, doi: 10.1530/JME-17-0189.</w:t>
      </w:r>
    </w:p>
    <w:p>
      <w:pPr>
        <w:pStyle w:val="Normal"/>
        <w:widowControl w:val="false"/>
        <w:spacing w:before="0" w:after="240"/>
        <w:jc w:val="both"/>
        <w:rPr>
          <w:lang w:val="en-US"/>
        </w:rPr>
      </w:pPr>
      <w:r>
        <w:rPr>
          <w:lang w:val="en-US"/>
        </w:rPr>
        <w:t>[150]</w:t>
        <w:tab/>
        <w:t xml:space="preserve">S. A </w:t>
      </w:r>
      <w:r>
        <w:rPr>
          <w:i/>
          <w:iCs/>
        </w:rPr>
        <w:t>κ</w:t>
      </w:r>
      <w:r>
        <w:rPr>
          <w:i/>
          <w:iCs/>
          <w:lang w:val="en-US"/>
        </w:rPr>
        <w:t>.</w:t>
      </w:r>
      <w:r>
        <w:rPr>
          <w:i/>
          <w:iCs/>
        </w:rPr>
        <w:t>ά</w:t>
      </w:r>
      <w:r>
        <w:rPr>
          <w:i/>
          <w:iCs/>
          <w:lang w:val="en-US"/>
        </w:rPr>
        <w:t>.</w:t>
      </w:r>
      <w:r>
        <w:rPr>
          <w:lang w:val="en-US"/>
        </w:rPr>
        <w:t xml:space="preserve">, ‘Obesity-related DNA methylation at imprinted genes in human sperm: Results from the TIEGER study’, </w:t>
      </w:r>
      <w:r>
        <w:rPr>
          <w:i/>
          <w:iCs/>
          <w:lang w:val="en-US"/>
        </w:rPr>
        <w:t>Clin. Epigenetics</w:t>
      </w:r>
      <w:r>
        <w:rPr>
          <w:lang w:val="en-US"/>
        </w:rPr>
        <w:t xml:space="preserve">, </w:t>
      </w:r>
      <w:r>
        <w:rPr/>
        <w:t>τ</w:t>
      </w:r>
      <w:r>
        <w:rPr>
          <w:lang w:val="en-US"/>
        </w:rPr>
        <w:t xml:space="preserve">. 8, </w:t>
      </w:r>
      <w:r>
        <w:rPr/>
        <w:t>Ιουνίου</w:t>
      </w:r>
      <w:r>
        <w:rPr>
          <w:lang w:val="en-US"/>
        </w:rPr>
        <w:t xml:space="preserve"> 2016, doi: 10.1186/s13148-016-0217-2.</w:t>
      </w:r>
    </w:p>
    <w:p>
      <w:pPr>
        <w:pStyle w:val="Normal"/>
        <w:widowControl w:val="false"/>
        <w:spacing w:before="0" w:after="240"/>
        <w:jc w:val="both"/>
        <w:rPr>
          <w:lang w:val="en-US"/>
        </w:rPr>
      </w:pPr>
      <w:r>
        <w:rPr>
          <w:lang w:val="en-US"/>
        </w:rPr>
        <w:t>[151]</w:t>
        <w:tab/>
        <w:t xml:space="preserve">S. Keyhan </w:t>
      </w:r>
      <w:r>
        <w:rPr>
          <w:i/>
          <w:iCs/>
        </w:rPr>
        <w:t>κ</w:t>
      </w:r>
      <w:r>
        <w:rPr>
          <w:i/>
          <w:iCs/>
          <w:lang w:val="en-US"/>
        </w:rPr>
        <w:t>.</w:t>
      </w:r>
      <w:r>
        <w:rPr>
          <w:i/>
          <w:iCs/>
        </w:rPr>
        <w:t>ά</w:t>
      </w:r>
      <w:r>
        <w:rPr>
          <w:i/>
          <w:iCs/>
          <w:lang w:val="en-US"/>
        </w:rPr>
        <w:t>.</w:t>
      </w:r>
      <w:r>
        <w:rPr>
          <w:lang w:val="en-US"/>
        </w:rPr>
        <w:t xml:space="preserve">, ‘Male obesity impacts DNA methylation reprogramming in sperm’, </w:t>
      </w:r>
      <w:r>
        <w:rPr>
          <w:i/>
          <w:iCs/>
          <w:lang w:val="en-US"/>
        </w:rPr>
        <w:t>Clin. Epigenetics</w:t>
      </w:r>
      <w:r>
        <w:rPr>
          <w:lang w:val="en-US"/>
        </w:rPr>
        <w:t xml:space="preserve">, </w:t>
      </w:r>
      <w:r>
        <w:rPr/>
        <w:t>τ</w:t>
      </w:r>
      <w:r>
        <w:rPr>
          <w:lang w:val="en-US"/>
        </w:rPr>
        <w:t xml:space="preserve">. 13, </w:t>
      </w:r>
      <w:r>
        <w:rPr/>
        <w:t>τχ</w:t>
      </w:r>
      <w:r>
        <w:rPr>
          <w:lang w:val="en-US"/>
        </w:rPr>
        <w:t xml:space="preserve">. 1, Art. </w:t>
      </w:r>
      <w:r>
        <w:rPr/>
        <w:t>τχ</w:t>
      </w:r>
      <w:r>
        <w:rPr>
          <w:lang w:val="en-US"/>
        </w:rPr>
        <w:t xml:space="preserve">. 1, </w:t>
      </w:r>
      <w:r>
        <w:rPr/>
        <w:t>Δεκεμβρίου</w:t>
      </w:r>
      <w:r>
        <w:rPr>
          <w:lang w:val="en-US"/>
        </w:rPr>
        <w:t xml:space="preserve"> 2021, doi: 10.1186/s13148-020-00997-0.</w:t>
      </w:r>
    </w:p>
    <w:p>
      <w:pPr>
        <w:pStyle w:val="Normal"/>
        <w:widowControl w:val="false"/>
        <w:spacing w:before="0" w:after="240"/>
        <w:jc w:val="both"/>
        <w:rPr>
          <w:lang w:val="en-US"/>
        </w:rPr>
      </w:pPr>
      <w:r>
        <w:rPr>
          <w:lang w:val="en-US"/>
        </w:rPr>
        <w:t>[152]</w:t>
        <w:tab/>
        <w:t xml:space="preserve">K. Lk, B. St, </w:t>
      </w:r>
      <w:r>
        <w:rPr/>
        <w:t>και</w:t>
      </w:r>
      <w:r>
        <w:rPr>
          <w:lang w:val="en-US"/>
        </w:rPr>
        <w:t xml:space="preserve"> N. Al, ‘The influence of paternal diet on sncRNA-mediated epigenetic inheritance’, </w:t>
      </w:r>
      <w:r>
        <w:rPr>
          <w:i/>
          <w:iCs/>
          <w:lang w:val="en-US"/>
        </w:rPr>
        <w:t>Mol. Genet. Genomics MGG</w:t>
      </w:r>
      <w:r>
        <w:rPr>
          <w:lang w:val="en-US"/>
        </w:rPr>
        <w:t xml:space="preserve">, </w:t>
      </w:r>
      <w:r>
        <w:rPr/>
        <w:t>τ</w:t>
      </w:r>
      <w:r>
        <w:rPr>
          <w:lang w:val="en-US"/>
        </w:rPr>
        <w:t xml:space="preserve">. 294, </w:t>
      </w:r>
      <w:r>
        <w:rPr/>
        <w:t>τχ</w:t>
      </w:r>
      <w:r>
        <w:rPr>
          <w:lang w:val="en-US"/>
        </w:rPr>
        <w:t xml:space="preserve">. 1, </w:t>
      </w:r>
      <w:r>
        <w:rPr/>
        <w:t>Φεβρουαρίου</w:t>
      </w:r>
      <w:r>
        <w:rPr>
          <w:lang w:val="en-US"/>
        </w:rPr>
        <w:t xml:space="preserve"> 2019, doi: 10.1007/s00438-018-1492-8.</w:t>
      </w:r>
    </w:p>
    <w:p>
      <w:pPr>
        <w:pStyle w:val="Normal"/>
        <w:widowControl w:val="false"/>
        <w:spacing w:before="0" w:after="240"/>
        <w:jc w:val="both"/>
        <w:rPr>
          <w:lang w:val="en-US"/>
        </w:rPr>
      </w:pPr>
      <w:r>
        <w:rPr>
          <w:lang w:val="en-US"/>
        </w:rPr>
        <w:t>[153]</w:t>
        <w:tab/>
        <w:t xml:space="preserve">M. Hutny, J. Hofman, A. Zachurzok, </w:t>
      </w:r>
      <w:r>
        <w:rPr/>
        <w:t>και</w:t>
      </w:r>
      <w:r>
        <w:rPr>
          <w:lang w:val="en-US"/>
        </w:rPr>
        <w:t xml:space="preserve"> P. Matusik, ‘MicroRNAs as the promising markers of comorbidities in childhood obesity—A systematic review’, </w:t>
      </w:r>
      <w:r>
        <w:rPr>
          <w:i/>
          <w:iCs/>
          <w:lang w:val="en-US"/>
        </w:rPr>
        <w:t>Pediatr. Obes.</w:t>
      </w:r>
      <w:r>
        <w:rPr>
          <w:lang w:val="en-US"/>
        </w:rPr>
        <w:t xml:space="preserve">, </w:t>
      </w:r>
      <w:r>
        <w:rPr/>
        <w:t>τ</w:t>
      </w:r>
      <w:r>
        <w:rPr>
          <w:lang w:val="en-US"/>
        </w:rPr>
        <w:t xml:space="preserve">. 17, </w:t>
      </w:r>
      <w:r>
        <w:rPr/>
        <w:t>τχ</w:t>
      </w:r>
      <w:r>
        <w:rPr>
          <w:lang w:val="en-US"/>
        </w:rPr>
        <w:t xml:space="preserve">. 6, </w:t>
      </w:r>
      <w:r>
        <w:rPr/>
        <w:t>Ιουνίου</w:t>
      </w:r>
      <w:r>
        <w:rPr>
          <w:lang w:val="en-US"/>
        </w:rPr>
        <w:t xml:space="preserve"> 2022, doi: 10.1111/ijpo.12880.</w:t>
      </w:r>
    </w:p>
    <w:p>
      <w:pPr>
        <w:pStyle w:val="Normal"/>
        <w:widowControl w:val="false"/>
        <w:spacing w:before="0" w:after="240"/>
        <w:jc w:val="both"/>
        <w:rPr>
          <w:lang w:val="en-US"/>
        </w:rPr>
      </w:pPr>
      <w:r>
        <w:rPr>
          <w:lang w:val="en-US"/>
        </w:rPr>
        <w:t>[154]</w:t>
        <w:tab/>
        <w:t xml:space="preserve">J. C </w:t>
      </w:r>
      <w:r>
        <w:rPr/>
        <w:t>και</w:t>
      </w:r>
      <w:r>
        <w:rPr>
          <w:lang w:val="en-US"/>
        </w:rPr>
        <w:t xml:space="preserve"> G. X, ‘The clinical potential of circulating microRNAs in obesity’, </w:t>
      </w:r>
      <w:r>
        <w:rPr>
          <w:i/>
          <w:iCs/>
          <w:lang w:val="en-US"/>
        </w:rPr>
        <w:t>Nat. Rev. Endocrinol.</w:t>
      </w:r>
      <w:r>
        <w:rPr>
          <w:lang w:val="en-US"/>
        </w:rPr>
        <w:t xml:space="preserve">, </w:t>
      </w:r>
      <w:r>
        <w:rPr/>
        <w:t>τ</w:t>
      </w:r>
      <w:r>
        <w:rPr>
          <w:lang w:val="en-US"/>
        </w:rPr>
        <w:t xml:space="preserve">. 15, </w:t>
      </w:r>
      <w:r>
        <w:rPr/>
        <w:t>τχ</w:t>
      </w:r>
      <w:r>
        <w:rPr>
          <w:lang w:val="en-US"/>
        </w:rPr>
        <w:t xml:space="preserve">. 12, </w:t>
      </w:r>
      <w:r>
        <w:rPr/>
        <w:t>Δεκεμβρίου</w:t>
      </w:r>
      <w:r>
        <w:rPr>
          <w:lang w:val="en-US"/>
        </w:rPr>
        <w:t xml:space="preserve"> 2019, doi: 10.1038/s41574-019-0260-0.</w:t>
      </w:r>
    </w:p>
    <w:p>
      <w:pPr>
        <w:pStyle w:val="Normal"/>
        <w:widowControl w:val="false"/>
        <w:spacing w:before="0" w:after="240"/>
        <w:jc w:val="both"/>
        <w:rPr>
          <w:lang w:val="en-US"/>
        </w:rPr>
      </w:pPr>
      <w:r>
        <w:rPr>
          <w:lang w:val="en-US"/>
        </w:rPr>
        <w:t>[155]</w:t>
        <w:tab/>
        <w:t xml:space="preserve">P. López </w:t>
      </w:r>
      <w:r>
        <w:rPr>
          <w:i/>
          <w:iCs/>
        </w:rPr>
        <w:t>κ</w:t>
      </w:r>
      <w:r>
        <w:rPr>
          <w:i/>
          <w:iCs/>
          <w:lang w:val="en-US"/>
        </w:rPr>
        <w:t>.</w:t>
      </w:r>
      <w:r>
        <w:rPr>
          <w:i/>
          <w:iCs/>
        </w:rPr>
        <w:t>ά</w:t>
      </w:r>
      <w:r>
        <w:rPr>
          <w:i/>
          <w:iCs/>
          <w:lang w:val="en-US"/>
        </w:rPr>
        <w:t>.</w:t>
      </w:r>
      <w:r>
        <w:rPr>
          <w:lang w:val="en-US"/>
        </w:rPr>
        <w:t xml:space="preserve">, ‘miR-155 and miR-122 Expression of Spermatozoa in Obese Subjects’, </w:t>
      </w:r>
      <w:r>
        <w:rPr>
          <w:i/>
          <w:iCs/>
          <w:lang w:val="en-US"/>
        </w:rPr>
        <w:t>Front. Genet.</w:t>
      </w:r>
      <w:r>
        <w:rPr>
          <w:lang w:val="en-US"/>
        </w:rPr>
        <w:t xml:space="preserve">, </w:t>
      </w:r>
      <w:r>
        <w:rPr/>
        <w:t>τ</w:t>
      </w:r>
      <w:r>
        <w:rPr>
          <w:lang w:val="en-US"/>
        </w:rPr>
        <w:t>. 9, 2018, doi: 10.3389/fgene.2018.00175.</w:t>
      </w:r>
    </w:p>
    <w:p>
      <w:pPr>
        <w:pStyle w:val="Normal"/>
        <w:widowControl w:val="false"/>
        <w:spacing w:before="0" w:after="240"/>
        <w:jc w:val="both"/>
        <w:rPr>
          <w:lang w:val="en-US"/>
        </w:rPr>
      </w:pPr>
      <w:r>
        <w:rPr>
          <w:lang w:val="en-US"/>
        </w:rPr>
        <w:t>[156]</w:t>
        <w:tab/>
        <w:t xml:space="preserve">B. S, H. J,  de V. B, </w:t>
      </w:r>
      <w:r>
        <w:rPr/>
        <w:t>και</w:t>
      </w:r>
      <w:r>
        <w:rPr>
          <w:lang w:val="en-US"/>
        </w:rPr>
        <w:t xml:space="preserve"> E. G, ‘Effects of Maternal Obesity and Gestational Diabetes Mellitus on the Placenta: Current Knowledge and Targets for Therapeutic Interventions’, </w:t>
      </w:r>
      <w:r>
        <w:rPr>
          <w:i/>
          <w:iCs/>
          <w:lang w:val="en-US"/>
        </w:rPr>
        <w:t>Curr. Vasc. Pharmacol.</w:t>
      </w:r>
      <w:r>
        <w:rPr>
          <w:lang w:val="en-US"/>
        </w:rPr>
        <w:t xml:space="preserve">, </w:t>
      </w:r>
      <w:r>
        <w:rPr/>
        <w:t>τ</w:t>
      </w:r>
      <w:r>
        <w:rPr>
          <w:lang w:val="en-US"/>
        </w:rPr>
        <w:t xml:space="preserve">. 19, </w:t>
      </w:r>
      <w:r>
        <w:rPr/>
        <w:t>τχ</w:t>
      </w:r>
      <w:r>
        <w:rPr>
          <w:lang w:val="en-US"/>
        </w:rPr>
        <w:t>. 2, 2021, doi: 10.2174/1570161118666200616144512.</w:t>
      </w:r>
    </w:p>
    <w:p>
      <w:pPr>
        <w:pStyle w:val="Normal"/>
        <w:widowControl w:val="false"/>
        <w:spacing w:before="0" w:after="240"/>
        <w:jc w:val="both"/>
        <w:rPr>
          <w:lang w:val="en-US"/>
        </w:rPr>
      </w:pPr>
      <w:r>
        <w:rPr>
          <w:lang w:val="en-US"/>
        </w:rPr>
        <w:t>[157]</w:t>
        <w:tab/>
        <w:t xml:space="preserve">C. P, V.-P. A, </w:t>
      </w:r>
      <w:r>
        <w:rPr/>
        <w:t>και</w:t>
      </w:r>
      <w:r>
        <w:rPr>
          <w:lang w:val="en-US"/>
        </w:rPr>
        <w:t xml:space="preserve"> M.-G. G, ‘Obesity and pregnancy, the perfect metabolic storm’, </w:t>
      </w:r>
      <w:r>
        <w:rPr>
          <w:i/>
          <w:iCs/>
          <w:lang w:val="en-US"/>
        </w:rPr>
        <w:t>Eur. J. Clin. Nutr.</w:t>
      </w:r>
      <w:r>
        <w:rPr>
          <w:lang w:val="en-US"/>
        </w:rPr>
        <w:t xml:space="preserve">, </w:t>
      </w:r>
      <w:r>
        <w:rPr/>
        <w:t>τ</w:t>
      </w:r>
      <w:r>
        <w:rPr>
          <w:lang w:val="en-US"/>
        </w:rPr>
        <w:t xml:space="preserve">. 75, </w:t>
      </w:r>
      <w:r>
        <w:rPr/>
        <w:t>τχ</w:t>
      </w:r>
      <w:r>
        <w:rPr>
          <w:lang w:val="en-US"/>
        </w:rPr>
        <w:t xml:space="preserve">. 12, </w:t>
      </w:r>
      <w:r>
        <w:rPr/>
        <w:t>Δεκεμβρίου</w:t>
      </w:r>
      <w:r>
        <w:rPr>
          <w:lang w:val="en-US"/>
        </w:rPr>
        <w:t xml:space="preserve"> 2021, doi: 10.1038/s41430-021-00914-5.</w:t>
      </w:r>
    </w:p>
    <w:p>
      <w:pPr>
        <w:pStyle w:val="Normal"/>
        <w:widowControl w:val="false"/>
        <w:spacing w:before="0" w:after="240"/>
        <w:jc w:val="both"/>
        <w:rPr>
          <w:lang w:val="en-US"/>
        </w:rPr>
      </w:pPr>
      <w:r>
        <w:rPr>
          <w:lang w:val="en-US"/>
        </w:rPr>
        <w:t>[158]</w:t>
        <w:tab/>
        <w:t xml:space="preserve">J. Br </w:t>
      </w:r>
      <w:r>
        <w:rPr>
          <w:i/>
          <w:iCs/>
        </w:rPr>
        <w:t>κ</w:t>
      </w:r>
      <w:r>
        <w:rPr>
          <w:i/>
          <w:iCs/>
          <w:lang w:val="en-US"/>
        </w:rPr>
        <w:t>.</w:t>
      </w:r>
      <w:r>
        <w:rPr>
          <w:i/>
          <w:iCs/>
        </w:rPr>
        <w:t>ά</w:t>
      </w:r>
      <w:r>
        <w:rPr>
          <w:i/>
          <w:iCs/>
          <w:lang w:val="en-US"/>
        </w:rPr>
        <w:t>.</w:t>
      </w:r>
      <w:r>
        <w:rPr>
          <w:lang w:val="en-US"/>
        </w:rPr>
        <w:t xml:space="preserve">, ‘DNA Methylation in Newborns and Maternal Smoking in Pregnancy: Genome-wide Consortium Meta-analysis’, </w:t>
      </w:r>
      <w:r>
        <w:rPr>
          <w:i/>
          <w:iCs/>
          <w:lang w:val="en-US"/>
        </w:rPr>
        <w:t>Am. J. Hum. Genet.</w:t>
      </w:r>
      <w:r>
        <w:rPr>
          <w:lang w:val="en-US"/>
        </w:rPr>
        <w:t xml:space="preserve">, </w:t>
      </w:r>
      <w:r>
        <w:rPr/>
        <w:t>τ</w:t>
      </w:r>
      <w:r>
        <w:rPr>
          <w:lang w:val="en-US"/>
        </w:rPr>
        <w:t xml:space="preserve">. 98, </w:t>
      </w:r>
      <w:r>
        <w:rPr/>
        <w:t>τχ</w:t>
      </w:r>
      <w:r>
        <w:rPr>
          <w:lang w:val="en-US"/>
        </w:rPr>
        <w:t xml:space="preserve">. 4, </w:t>
      </w:r>
      <w:r>
        <w:rPr/>
        <w:t>Ιουλίου</w:t>
      </w:r>
      <w:r>
        <w:rPr>
          <w:lang w:val="en-US"/>
        </w:rPr>
        <w:t xml:space="preserve"> 2016, doi: 10.1016/j.ajhg.2016.02.019.</w:t>
      </w:r>
    </w:p>
    <w:p>
      <w:pPr>
        <w:pStyle w:val="Normal"/>
        <w:widowControl w:val="false"/>
        <w:spacing w:before="0" w:after="240"/>
        <w:jc w:val="both"/>
        <w:rPr>
          <w:lang w:val="en-US"/>
        </w:rPr>
      </w:pPr>
      <w:r>
        <w:rPr>
          <w:lang w:val="en-US"/>
        </w:rPr>
        <w:t>[159]</w:t>
        <w:tab/>
        <w:t xml:space="preserve">G. C. Sharp </w:t>
      </w:r>
      <w:r>
        <w:rPr>
          <w:i/>
          <w:iCs/>
        </w:rPr>
        <w:t>κ</w:t>
      </w:r>
      <w:r>
        <w:rPr>
          <w:i/>
          <w:iCs/>
          <w:lang w:val="en-US"/>
        </w:rPr>
        <w:t>.</w:t>
      </w:r>
      <w:r>
        <w:rPr>
          <w:i/>
          <w:iCs/>
        </w:rPr>
        <w:t>ά</w:t>
      </w:r>
      <w:r>
        <w:rPr>
          <w:i/>
          <w:iCs/>
          <w:lang w:val="en-US"/>
        </w:rPr>
        <w:t>.</w:t>
      </w:r>
      <w:r>
        <w:rPr>
          <w:lang w:val="en-US"/>
        </w:rPr>
        <w:t xml:space="preserve">, ‘Maternal BMI at the start of pregnancy and offspring epigenome-wide DNA methylation: findings from the pregnancy and childhood epigenetics (PACE) consortium’, </w:t>
      </w:r>
      <w:r>
        <w:rPr>
          <w:i/>
          <w:iCs/>
          <w:lang w:val="en-US"/>
        </w:rPr>
        <w:t>Hum. Mol. Genet.</w:t>
      </w:r>
      <w:r>
        <w:rPr>
          <w:lang w:val="en-US"/>
        </w:rPr>
        <w:t xml:space="preserve">, </w:t>
      </w:r>
      <w:r>
        <w:rPr/>
        <w:t>τ</w:t>
      </w:r>
      <w:r>
        <w:rPr>
          <w:lang w:val="en-US"/>
        </w:rPr>
        <w:t xml:space="preserve">. 26, </w:t>
      </w:r>
      <w:r>
        <w:rPr/>
        <w:t>τχ</w:t>
      </w:r>
      <w:r>
        <w:rPr>
          <w:lang w:val="en-US"/>
        </w:rPr>
        <w:t xml:space="preserve">. 20, </w:t>
      </w:r>
      <w:r>
        <w:rPr/>
        <w:t>σ</w:t>
      </w:r>
      <w:r>
        <w:rPr>
          <w:lang w:val="en-US"/>
        </w:rPr>
        <w:t xml:space="preserve">. 4067, </w:t>
      </w:r>
      <w:r>
        <w:rPr/>
        <w:t>Οκτωβρίου</w:t>
      </w:r>
      <w:r>
        <w:rPr>
          <w:lang w:val="en-US"/>
        </w:rPr>
        <w:t xml:space="preserve"> 2017, doi: 10.1093/hmg/ddx290.</w:t>
      </w:r>
    </w:p>
    <w:p>
      <w:pPr>
        <w:pStyle w:val="Normal"/>
        <w:widowControl w:val="false"/>
        <w:spacing w:before="0" w:after="240"/>
        <w:jc w:val="both"/>
        <w:rPr>
          <w:lang w:val="en-US"/>
        </w:rPr>
      </w:pPr>
      <w:r>
        <w:rPr>
          <w:lang w:val="en-US"/>
        </w:rPr>
        <w:t>[160]</w:t>
        <w:tab/>
        <w:t xml:space="preserve">K. Lk </w:t>
      </w:r>
      <w:r>
        <w:rPr>
          <w:i/>
          <w:iCs/>
        </w:rPr>
        <w:t>κ</w:t>
      </w:r>
      <w:r>
        <w:rPr>
          <w:i/>
          <w:iCs/>
          <w:lang w:val="en-US"/>
        </w:rPr>
        <w:t>.</w:t>
      </w:r>
      <w:r>
        <w:rPr>
          <w:i/>
          <w:iCs/>
        </w:rPr>
        <w:t>ά</w:t>
      </w:r>
      <w:r>
        <w:rPr>
          <w:i/>
          <w:iCs/>
          <w:lang w:val="en-US"/>
        </w:rPr>
        <w:t>.</w:t>
      </w:r>
      <w:r>
        <w:rPr>
          <w:lang w:val="en-US"/>
        </w:rPr>
        <w:t xml:space="preserve">, ‘Meta-analysis of epigenome-wide association studies in neonates reveals widespread differential DNA methylation associated with birthweight’, </w:t>
      </w:r>
      <w:r>
        <w:rPr>
          <w:i/>
          <w:iCs/>
          <w:lang w:val="en-US"/>
        </w:rPr>
        <w:t>Nat. Commun.</w:t>
      </w:r>
      <w:r>
        <w:rPr>
          <w:lang w:val="en-US"/>
        </w:rPr>
        <w:t xml:space="preserve">, </w:t>
      </w:r>
      <w:r>
        <w:rPr/>
        <w:t>τ</w:t>
      </w:r>
      <w:r>
        <w:rPr>
          <w:lang w:val="en-US"/>
        </w:rPr>
        <w:t xml:space="preserve">. 10, </w:t>
      </w:r>
      <w:r>
        <w:rPr/>
        <w:t>τχ</w:t>
      </w:r>
      <w:r>
        <w:rPr>
          <w:lang w:val="en-US"/>
        </w:rPr>
        <w:t xml:space="preserve">. 1, </w:t>
      </w:r>
      <w:r>
        <w:rPr/>
        <w:t>Απριλίου</w:t>
      </w:r>
      <w:r>
        <w:rPr>
          <w:lang w:val="en-US"/>
        </w:rPr>
        <w:t xml:space="preserve"> 2019, doi: 10.1038/s41467-019-09671-3.</w:t>
      </w:r>
    </w:p>
    <w:p>
      <w:pPr>
        <w:pStyle w:val="Normal"/>
        <w:widowControl w:val="false"/>
        <w:spacing w:before="0" w:after="240"/>
        <w:jc w:val="both"/>
        <w:rPr>
          <w:lang w:val="en-US"/>
        </w:rPr>
      </w:pPr>
      <w:r>
        <w:rPr>
          <w:lang w:val="en-US"/>
        </w:rPr>
        <w:t>[161]</w:t>
        <w:tab/>
        <w:t xml:space="preserve">E. Chavira-Suárez </w:t>
      </w:r>
      <w:r>
        <w:rPr>
          <w:i/>
          <w:iCs/>
        </w:rPr>
        <w:t>κ</w:t>
      </w:r>
      <w:r>
        <w:rPr>
          <w:i/>
          <w:iCs/>
          <w:lang w:val="en-US"/>
        </w:rPr>
        <w:t>.</w:t>
      </w:r>
      <w:r>
        <w:rPr>
          <w:i/>
          <w:iCs/>
        </w:rPr>
        <w:t>ά</w:t>
      </w:r>
      <w:r>
        <w:rPr>
          <w:i/>
          <w:iCs/>
          <w:lang w:val="en-US"/>
        </w:rPr>
        <w:t>.</w:t>
      </w:r>
      <w:r>
        <w:rPr>
          <w:lang w:val="en-US"/>
        </w:rPr>
        <w:t xml:space="preserve">, ‘Influence of pre-pregnancy body mass index (p-BMI) and gestational weight gain (GWG) on DNA methylation and protein expression of obesogenic genes in umbilical vein’, </w:t>
      </w:r>
      <w:r>
        <w:rPr>
          <w:i/>
          <w:iCs/>
          <w:lang w:val="en-US"/>
        </w:rPr>
        <w:t>PLOS ONE</w:t>
      </w:r>
      <w:r>
        <w:rPr>
          <w:lang w:val="en-US"/>
        </w:rPr>
        <w:t xml:space="preserve">, </w:t>
      </w:r>
      <w:r>
        <w:rPr/>
        <w:t>τ</w:t>
      </w:r>
      <w:r>
        <w:rPr>
          <w:lang w:val="en-US"/>
        </w:rPr>
        <w:t xml:space="preserve">. 14, </w:t>
      </w:r>
      <w:r>
        <w:rPr/>
        <w:t>τχ</w:t>
      </w:r>
      <w:r>
        <w:rPr>
          <w:lang w:val="en-US"/>
        </w:rPr>
        <w:t xml:space="preserve">. 12, </w:t>
      </w:r>
      <w:r>
        <w:rPr/>
        <w:t>σ</w:t>
      </w:r>
      <w:r>
        <w:rPr>
          <w:lang w:val="en-US"/>
        </w:rPr>
        <w:t xml:space="preserve">. e0226010, </w:t>
      </w:r>
      <w:r>
        <w:rPr/>
        <w:t>Νοεμβρίου</w:t>
      </w:r>
      <w:r>
        <w:rPr>
          <w:lang w:val="en-US"/>
        </w:rPr>
        <w:t xml:space="preserve"> 2019, doi: 10.1371/journal.pone.0226010.</w:t>
      </w:r>
    </w:p>
    <w:p>
      <w:pPr>
        <w:pStyle w:val="Normal"/>
        <w:widowControl w:val="false"/>
        <w:spacing w:before="0" w:after="240"/>
        <w:jc w:val="both"/>
        <w:rPr>
          <w:lang w:val="en-US"/>
        </w:rPr>
      </w:pPr>
      <w:r>
        <w:rPr>
          <w:lang w:val="en-US"/>
        </w:rPr>
        <w:t>[162]</w:t>
        <w:tab/>
        <w:t xml:space="preserve">H. Cg </w:t>
      </w:r>
      <w:r>
        <w:rPr>
          <w:i/>
          <w:iCs/>
        </w:rPr>
        <w:t>κ</w:t>
      </w:r>
      <w:r>
        <w:rPr>
          <w:i/>
          <w:iCs/>
          <w:lang w:val="en-US"/>
        </w:rPr>
        <w:t>.</w:t>
      </w:r>
      <w:r>
        <w:rPr>
          <w:i/>
          <w:iCs/>
        </w:rPr>
        <w:t>ά</w:t>
      </w:r>
      <w:r>
        <w:rPr>
          <w:i/>
          <w:iCs/>
          <w:lang w:val="en-US"/>
        </w:rPr>
        <w:t>.</w:t>
      </w:r>
      <w:r>
        <w:rPr>
          <w:lang w:val="en-US"/>
        </w:rPr>
        <w:t xml:space="preserve">, ‘Maternal Gestational Diabetes Mellitus and Newborn DNA Methylation: Findings From the Pregnancy and Childhood Epigenetics Consortium’, </w:t>
      </w:r>
      <w:r>
        <w:rPr>
          <w:i/>
          <w:iCs/>
          <w:lang w:val="en-US"/>
        </w:rPr>
        <w:t>Diabetes Care</w:t>
      </w:r>
      <w:r>
        <w:rPr>
          <w:lang w:val="en-US"/>
        </w:rPr>
        <w:t xml:space="preserve">, </w:t>
      </w:r>
      <w:r>
        <w:rPr/>
        <w:t>τ</w:t>
      </w:r>
      <w:r>
        <w:rPr>
          <w:lang w:val="en-US"/>
        </w:rPr>
        <w:t xml:space="preserve">. 43, </w:t>
      </w:r>
      <w:r>
        <w:rPr/>
        <w:t>τχ</w:t>
      </w:r>
      <w:r>
        <w:rPr>
          <w:lang w:val="en-US"/>
        </w:rPr>
        <w:t xml:space="preserve">. 1, </w:t>
      </w:r>
      <w:r>
        <w:rPr/>
        <w:t>Ιανουαρίου</w:t>
      </w:r>
      <w:r>
        <w:rPr>
          <w:lang w:val="en-US"/>
        </w:rPr>
        <w:t xml:space="preserve"> 2020, doi: 10.2337/dc19-0524.</w:t>
      </w:r>
    </w:p>
    <w:p>
      <w:pPr>
        <w:pStyle w:val="Normal"/>
        <w:widowControl w:val="false"/>
        <w:spacing w:before="0" w:after="240"/>
        <w:jc w:val="both"/>
        <w:rPr>
          <w:lang w:val="en-US"/>
        </w:rPr>
      </w:pPr>
      <w:r>
        <w:rPr>
          <w:lang w:val="en-US"/>
        </w:rPr>
        <w:t>[163]</w:t>
        <w:tab/>
        <w:t xml:space="preserve">M. Canouil </w:t>
      </w:r>
      <w:r>
        <w:rPr>
          <w:i/>
          <w:iCs/>
        </w:rPr>
        <w:t>κ</w:t>
      </w:r>
      <w:r>
        <w:rPr>
          <w:i/>
          <w:iCs/>
          <w:lang w:val="en-US"/>
        </w:rPr>
        <w:t>.</w:t>
      </w:r>
      <w:r>
        <w:rPr>
          <w:i/>
          <w:iCs/>
        </w:rPr>
        <w:t>ά</w:t>
      </w:r>
      <w:r>
        <w:rPr>
          <w:i/>
          <w:iCs/>
          <w:lang w:val="en-US"/>
        </w:rPr>
        <w:t>.</w:t>
      </w:r>
      <w:r>
        <w:rPr>
          <w:lang w:val="en-US"/>
        </w:rPr>
        <w:t xml:space="preserve">, ‘Epigenome-Wide Association Study Reveals Methylation Loci Associated With Offspring Gestational Diabetes Mellitus Exposure and Maternal Methylome’, </w:t>
      </w:r>
      <w:r>
        <w:rPr>
          <w:i/>
          <w:iCs/>
          <w:lang w:val="en-US"/>
        </w:rPr>
        <w:t>Diabetes Care</w:t>
      </w:r>
      <w:r>
        <w:rPr>
          <w:lang w:val="en-US"/>
        </w:rPr>
        <w:t xml:space="preserve">, </w:t>
      </w:r>
      <w:r>
        <w:rPr/>
        <w:t>τ</w:t>
      </w:r>
      <w:r>
        <w:rPr>
          <w:lang w:val="en-US"/>
        </w:rPr>
        <w:t xml:space="preserve">. 44, </w:t>
      </w:r>
      <w:r>
        <w:rPr/>
        <w:t>τχ</w:t>
      </w:r>
      <w:r>
        <w:rPr>
          <w:lang w:val="en-US"/>
        </w:rPr>
        <w:t xml:space="preserve">. 9, </w:t>
      </w:r>
      <w:r>
        <w:rPr/>
        <w:t>σ</w:t>
      </w:r>
      <w:r>
        <w:rPr>
          <w:lang w:val="en-US"/>
        </w:rPr>
        <w:t xml:space="preserve">. 1992, </w:t>
      </w:r>
      <w:r>
        <w:rPr/>
        <w:t>Σεπτεμβρίου</w:t>
      </w:r>
      <w:r>
        <w:rPr>
          <w:lang w:val="en-US"/>
        </w:rPr>
        <w:t xml:space="preserve"> 2021, doi: 10.2337/dc20-2960.</w:t>
      </w:r>
    </w:p>
    <w:p>
      <w:pPr>
        <w:pStyle w:val="Normal"/>
        <w:widowControl w:val="false"/>
        <w:spacing w:before="0" w:after="240"/>
        <w:jc w:val="both"/>
        <w:rPr>
          <w:lang w:val="en-US"/>
        </w:rPr>
      </w:pPr>
      <w:r>
        <w:rPr>
          <w:lang w:val="en-US"/>
        </w:rPr>
        <w:t>[164]</w:t>
        <w:tab/>
        <w:t xml:space="preserve">H. Mf </w:t>
      </w:r>
      <w:r>
        <w:rPr>
          <w:i/>
          <w:iCs/>
        </w:rPr>
        <w:t>κ</w:t>
      </w:r>
      <w:r>
        <w:rPr>
          <w:i/>
          <w:iCs/>
          <w:lang w:val="en-US"/>
        </w:rPr>
        <w:t>.</w:t>
      </w:r>
      <w:r>
        <w:rPr>
          <w:i/>
          <w:iCs/>
        </w:rPr>
        <w:t>ά</w:t>
      </w:r>
      <w:r>
        <w:rPr>
          <w:i/>
          <w:iCs/>
          <w:lang w:val="en-US"/>
        </w:rPr>
        <w:t>.</w:t>
      </w:r>
      <w:r>
        <w:rPr>
          <w:lang w:val="en-US"/>
        </w:rPr>
        <w:t xml:space="preserve">, ‘Interplay of Placental DNA Methylation and Maternal Insulin Sensitivity in Pregnancy’, </w:t>
      </w:r>
      <w:r>
        <w:rPr>
          <w:i/>
          <w:iCs/>
          <w:lang w:val="en-US"/>
        </w:rPr>
        <w:t>Diabetes</w:t>
      </w:r>
      <w:r>
        <w:rPr>
          <w:lang w:val="en-US"/>
        </w:rPr>
        <w:t xml:space="preserve">, </w:t>
      </w:r>
      <w:r>
        <w:rPr/>
        <w:t>τ</w:t>
      </w:r>
      <w:r>
        <w:rPr>
          <w:lang w:val="en-US"/>
        </w:rPr>
        <w:t xml:space="preserve">. 69, </w:t>
      </w:r>
      <w:r>
        <w:rPr/>
        <w:t>τχ</w:t>
      </w:r>
      <w:r>
        <w:rPr>
          <w:lang w:val="en-US"/>
        </w:rPr>
        <w:t xml:space="preserve">. 3, </w:t>
      </w:r>
      <w:r>
        <w:rPr/>
        <w:t>Μαρτίου</w:t>
      </w:r>
      <w:r>
        <w:rPr>
          <w:lang w:val="en-US"/>
        </w:rPr>
        <w:t xml:space="preserve"> 2020, doi: 10.2337/db19-0798.</w:t>
      </w:r>
    </w:p>
    <w:p>
      <w:pPr>
        <w:pStyle w:val="Normal"/>
        <w:widowControl w:val="false"/>
        <w:spacing w:before="0" w:after="240"/>
        <w:jc w:val="both"/>
        <w:rPr>
          <w:lang w:val="en-US"/>
        </w:rPr>
      </w:pPr>
      <w:r>
        <w:rPr>
          <w:lang w:val="en-US"/>
        </w:rPr>
        <w:t>[165]</w:t>
        <w:tab/>
        <w:t xml:space="preserve">G. O </w:t>
      </w:r>
      <w:r>
        <w:rPr>
          <w:i/>
          <w:iCs/>
        </w:rPr>
        <w:t>κ</w:t>
      </w:r>
      <w:r>
        <w:rPr>
          <w:i/>
          <w:iCs/>
          <w:lang w:val="en-US"/>
        </w:rPr>
        <w:t>.</w:t>
      </w:r>
      <w:r>
        <w:rPr>
          <w:i/>
          <w:iCs/>
        </w:rPr>
        <w:t>ά</w:t>
      </w:r>
      <w:r>
        <w:rPr>
          <w:i/>
          <w:iCs/>
          <w:lang w:val="en-US"/>
        </w:rPr>
        <w:t>.</w:t>
      </w:r>
      <w:r>
        <w:rPr>
          <w:lang w:val="en-US"/>
        </w:rPr>
        <w:t xml:space="preserve">, ‘Prenatal Particulate Air Pollution and DNA Methylation in Newborns: An Epigenome-Wide Meta-Analysis’, </w:t>
      </w:r>
      <w:r>
        <w:rPr>
          <w:i/>
          <w:iCs/>
          <w:lang w:val="en-US"/>
        </w:rPr>
        <w:t>Environ. Health Perspect.</w:t>
      </w:r>
      <w:r>
        <w:rPr>
          <w:lang w:val="en-US"/>
        </w:rPr>
        <w:t xml:space="preserve">, </w:t>
      </w:r>
      <w:r>
        <w:rPr/>
        <w:t>τ</w:t>
      </w:r>
      <w:r>
        <w:rPr>
          <w:lang w:val="en-US"/>
        </w:rPr>
        <w:t xml:space="preserve">. 127, </w:t>
      </w:r>
      <w:r>
        <w:rPr/>
        <w:t>τχ</w:t>
      </w:r>
      <w:r>
        <w:rPr>
          <w:lang w:val="en-US"/>
        </w:rPr>
        <w:t xml:space="preserve">. 5, </w:t>
      </w:r>
      <w:r>
        <w:rPr/>
        <w:t>Δεκεμβρίου</w:t>
      </w:r>
      <w:r>
        <w:rPr>
          <w:lang w:val="en-US"/>
        </w:rPr>
        <w:t xml:space="preserve"> 2019, doi: 10.1289/EHP4522.</w:t>
      </w:r>
    </w:p>
    <w:p>
      <w:pPr>
        <w:pStyle w:val="Normal"/>
        <w:widowControl w:val="false"/>
        <w:spacing w:before="0" w:after="240"/>
        <w:jc w:val="both"/>
        <w:rPr>
          <w:lang w:val="en-US"/>
        </w:rPr>
      </w:pPr>
      <w:r>
        <w:rPr>
          <w:lang w:val="en-US"/>
        </w:rPr>
        <w:t>[166]</w:t>
        <w:tab/>
        <w:t xml:space="preserve">G.-P. N </w:t>
      </w:r>
      <w:r>
        <w:rPr>
          <w:i/>
          <w:iCs/>
        </w:rPr>
        <w:t>κ</w:t>
      </w:r>
      <w:r>
        <w:rPr>
          <w:i/>
          <w:iCs/>
          <w:lang w:val="en-US"/>
        </w:rPr>
        <w:t>.</w:t>
      </w:r>
      <w:r>
        <w:rPr>
          <w:i/>
          <w:iCs/>
        </w:rPr>
        <w:t>ά</w:t>
      </w:r>
      <w:r>
        <w:rPr>
          <w:i/>
          <w:iCs/>
          <w:lang w:val="en-US"/>
        </w:rPr>
        <w:t>.</w:t>
      </w:r>
      <w:r>
        <w:rPr>
          <w:lang w:val="en-US"/>
        </w:rPr>
        <w:t>, ‘Changes in PPAR-</w:t>
      </w:r>
      <w:r>
        <w:rPr/>
        <w:t>γ</w:t>
      </w:r>
      <w:r>
        <w:rPr>
          <w:lang w:val="en-US"/>
        </w:rPr>
        <w:t xml:space="preserve"> Expression Are Associated with microRNA Profiles during Fetal Programming due to Maternal Overweight and Obesity’, </w:t>
      </w:r>
      <w:r>
        <w:rPr>
          <w:i/>
          <w:iCs/>
          <w:lang w:val="en-US"/>
        </w:rPr>
        <w:t>Gynecol. Obstet. Invest.</w:t>
      </w:r>
      <w:r>
        <w:rPr>
          <w:lang w:val="en-US"/>
        </w:rPr>
        <w:t xml:space="preserve">, </w:t>
      </w:r>
      <w:r>
        <w:rPr/>
        <w:t>τ</w:t>
      </w:r>
      <w:r>
        <w:rPr>
          <w:lang w:val="en-US"/>
        </w:rPr>
        <w:t xml:space="preserve">. 86, </w:t>
      </w:r>
      <w:r>
        <w:rPr/>
        <w:t>τχ</w:t>
      </w:r>
      <w:r>
        <w:rPr>
          <w:lang w:val="en-US"/>
        </w:rPr>
        <w:t>. 5, 2021, doi: 10.1159/000517116.</w:t>
      </w:r>
    </w:p>
    <w:p>
      <w:pPr>
        <w:pStyle w:val="Normal"/>
        <w:widowControl w:val="false"/>
        <w:spacing w:before="0" w:after="240"/>
        <w:jc w:val="both"/>
        <w:rPr>
          <w:lang w:val="en-US"/>
        </w:rPr>
      </w:pPr>
      <w:r>
        <w:rPr>
          <w:lang w:val="en-US"/>
        </w:rPr>
        <w:t>[167]</w:t>
        <w:tab/>
        <w:t xml:space="preserve">A. Sasaki, K. E. Murphy, L. Briollais, P. O. McGowan, </w:t>
      </w:r>
      <w:r>
        <w:rPr/>
        <w:t>και</w:t>
      </w:r>
      <w:r>
        <w:rPr>
          <w:lang w:val="en-US"/>
        </w:rPr>
        <w:t xml:space="preserve"> S. G. Matthews, ‘DNA methylation profiles in the blood of newborn term infants born to mothers with obesity’, </w:t>
      </w:r>
      <w:r>
        <w:rPr>
          <w:i/>
          <w:iCs/>
          <w:lang w:val="en-US"/>
        </w:rPr>
        <w:t>PLOS ONE</w:t>
      </w:r>
      <w:r>
        <w:rPr>
          <w:lang w:val="en-US"/>
        </w:rPr>
        <w:t xml:space="preserve">, </w:t>
      </w:r>
      <w:r>
        <w:rPr/>
        <w:t>τ</w:t>
      </w:r>
      <w:r>
        <w:rPr>
          <w:lang w:val="en-US"/>
        </w:rPr>
        <w:t xml:space="preserve">. 17, </w:t>
      </w:r>
      <w:r>
        <w:rPr/>
        <w:t>τχ</w:t>
      </w:r>
      <w:r>
        <w:rPr>
          <w:lang w:val="en-US"/>
        </w:rPr>
        <w:t xml:space="preserve">. 5, </w:t>
      </w:r>
      <w:r>
        <w:rPr/>
        <w:t>σ</w:t>
      </w:r>
      <w:r>
        <w:rPr>
          <w:lang w:val="en-US"/>
        </w:rPr>
        <w:t>. e0267946, 2022, doi: 10.1371/journal.pone.0267946.</w:t>
      </w:r>
    </w:p>
    <w:p>
      <w:pPr>
        <w:pStyle w:val="Normal"/>
        <w:widowControl w:val="false"/>
        <w:spacing w:before="0" w:after="240"/>
        <w:jc w:val="both"/>
        <w:rPr>
          <w:lang w:val="en-US"/>
        </w:rPr>
      </w:pPr>
      <w:r>
        <w:rPr>
          <w:lang w:val="en-US"/>
        </w:rPr>
        <w:t>[168]</w:t>
        <w:tab/>
        <w:t xml:space="preserve">A. Vourdoumpa, G. Paltoglou, </w:t>
      </w:r>
      <w:r>
        <w:rPr/>
        <w:t>και</w:t>
      </w:r>
      <w:r>
        <w:rPr>
          <w:lang w:val="en-US"/>
        </w:rPr>
        <w:t xml:space="preserve"> E. Charmandari, ‘The Genetic Basis of Childhood Obesity: A Systematic Review’, </w:t>
      </w:r>
      <w:r>
        <w:rPr>
          <w:i/>
          <w:iCs/>
          <w:lang w:val="en-US"/>
        </w:rPr>
        <w:t>Nutrients</w:t>
      </w:r>
      <w:r>
        <w:rPr>
          <w:lang w:val="en-US"/>
        </w:rPr>
        <w:t xml:space="preserve">, </w:t>
      </w:r>
      <w:r>
        <w:rPr/>
        <w:t>τ</w:t>
      </w:r>
      <w:r>
        <w:rPr>
          <w:lang w:val="en-US"/>
        </w:rPr>
        <w:t xml:space="preserve">. 15, </w:t>
      </w:r>
      <w:r>
        <w:rPr/>
        <w:t>τχ</w:t>
      </w:r>
      <w:r>
        <w:rPr>
          <w:lang w:val="en-US"/>
        </w:rPr>
        <w:t xml:space="preserve">. 6, </w:t>
      </w:r>
      <w:r>
        <w:rPr/>
        <w:t>σ</w:t>
      </w:r>
      <w:r>
        <w:rPr>
          <w:lang w:val="en-US"/>
        </w:rPr>
        <w:t xml:space="preserve">. 1416, </w:t>
      </w:r>
      <w:r>
        <w:rPr/>
        <w:t>Μαρτίου</w:t>
      </w:r>
      <w:r>
        <w:rPr>
          <w:lang w:val="en-US"/>
        </w:rPr>
        <w:t xml:space="preserve"> 2023, doi: 10.3390/nu15061416.</w:t>
      </w:r>
    </w:p>
    <w:p>
      <w:pPr>
        <w:pStyle w:val="Normal"/>
        <w:widowControl w:val="false"/>
        <w:spacing w:before="0" w:after="240"/>
        <w:jc w:val="both"/>
        <w:rPr>
          <w:lang w:val="en-US"/>
        </w:rPr>
      </w:pPr>
      <w:r>
        <w:rPr>
          <w:lang w:val="en-US"/>
        </w:rPr>
        <w:t>[169]</w:t>
        <w:tab/>
        <w:t xml:space="preserve">A. D. Baxevanis, G. D. Bader, </w:t>
      </w:r>
      <w:r>
        <w:rPr/>
        <w:t>και</w:t>
      </w:r>
      <w:r>
        <w:rPr>
          <w:lang w:val="en-US"/>
        </w:rPr>
        <w:t xml:space="preserve"> D. S. Wishart, </w:t>
      </w:r>
      <w:r>
        <w:rPr>
          <w:i/>
          <w:iCs/>
          <w:lang w:val="en-US"/>
        </w:rPr>
        <w:t>Bioinformatics</w:t>
      </w:r>
      <w:r>
        <w:rPr>
          <w:lang w:val="en-US"/>
        </w:rPr>
        <w:t>. John Wiley &amp; Sons, 2020.</w:t>
      </w:r>
    </w:p>
    <w:p>
      <w:pPr>
        <w:pStyle w:val="Normal"/>
        <w:widowControl w:val="false"/>
        <w:spacing w:before="0" w:after="240"/>
        <w:jc w:val="both"/>
        <w:rPr>
          <w:lang w:val="en-US"/>
        </w:rPr>
      </w:pPr>
      <w:r>
        <w:rPr>
          <w:lang w:val="en-US"/>
        </w:rPr>
        <w:t>[170]</w:t>
        <w:tab/>
        <w:t>A. Gasmi, ‘Machine Learning and Bioinformatics for Diagnosis Analysis of Obesity Spectrum Disorders’.</w:t>
      </w:r>
    </w:p>
    <w:p>
      <w:pPr>
        <w:pStyle w:val="Normal"/>
        <w:widowControl w:val="false"/>
        <w:spacing w:before="0" w:after="240"/>
        <w:jc w:val="both"/>
        <w:rPr>
          <w:lang w:val="en-US"/>
        </w:rPr>
      </w:pPr>
      <w:r>
        <w:rPr>
          <w:lang w:val="en-US"/>
        </w:rPr>
        <w:t>[171]</w:t>
        <w:tab/>
        <w:t xml:space="preserve">H. Joshi, B. Vastrad, N. Joshi, C. Vastrad, A. Tengli, </w:t>
      </w:r>
      <w:r>
        <w:rPr/>
        <w:t>και</w:t>
      </w:r>
      <w:r>
        <w:rPr>
          <w:lang w:val="en-US"/>
        </w:rPr>
        <w:t xml:space="preserve"> I. Kotturshetti, ‘Identification of Key Pathways and Genes in Obesity Using Bioinformatics Analysis and Molecular Docking Studies’, </w:t>
      </w:r>
      <w:r>
        <w:rPr>
          <w:i/>
          <w:iCs/>
          <w:lang w:val="en-US"/>
        </w:rPr>
        <w:t>Front. Endocrinol.</w:t>
      </w:r>
      <w:r>
        <w:rPr>
          <w:lang w:val="en-US"/>
        </w:rPr>
        <w:t xml:space="preserve">, </w:t>
      </w:r>
      <w:r>
        <w:rPr/>
        <w:t>τ</w:t>
      </w:r>
      <w:r>
        <w:rPr>
          <w:lang w:val="en-US"/>
        </w:rPr>
        <w:t>. 12, 2021, doi: 10.3389/fendo.2021.628907.</w:t>
      </w:r>
    </w:p>
    <w:p>
      <w:pPr>
        <w:pStyle w:val="Normal"/>
        <w:widowControl w:val="false"/>
        <w:spacing w:before="0" w:after="240"/>
        <w:jc w:val="both"/>
        <w:rPr>
          <w:lang w:val="en-US"/>
        </w:rPr>
      </w:pPr>
      <w:r>
        <w:rPr>
          <w:lang w:val="en-US"/>
        </w:rPr>
        <w:t>[172]</w:t>
        <w:tab/>
        <w:t xml:space="preserve">R. Hammond </w:t>
      </w:r>
      <w:r>
        <w:rPr>
          <w:i/>
          <w:iCs/>
        </w:rPr>
        <w:t>κ</w:t>
      </w:r>
      <w:r>
        <w:rPr>
          <w:i/>
          <w:iCs/>
          <w:lang w:val="en-US"/>
        </w:rPr>
        <w:t>.</w:t>
      </w:r>
      <w:r>
        <w:rPr>
          <w:i/>
          <w:iCs/>
        </w:rPr>
        <w:t>ά</w:t>
      </w:r>
      <w:r>
        <w:rPr>
          <w:i/>
          <w:iCs/>
          <w:lang w:val="en-US"/>
        </w:rPr>
        <w:t>.</w:t>
      </w:r>
      <w:r>
        <w:rPr>
          <w:lang w:val="en-US"/>
        </w:rPr>
        <w:t xml:space="preserve">, ‘Predicting childhood obesity using electronic health records and publicly available data’, </w:t>
      </w:r>
      <w:r>
        <w:rPr>
          <w:i/>
          <w:iCs/>
          <w:lang w:val="en-US"/>
        </w:rPr>
        <w:t>PLoS ONE</w:t>
      </w:r>
      <w:r>
        <w:rPr>
          <w:lang w:val="en-US"/>
        </w:rPr>
        <w:t xml:space="preserve">, </w:t>
      </w:r>
      <w:r>
        <w:rPr/>
        <w:t>τ</w:t>
      </w:r>
      <w:r>
        <w:rPr>
          <w:lang w:val="en-US"/>
        </w:rPr>
        <w:t xml:space="preserve">. 14, </w:t>
      </w:r>
      <w:r>
        <w:rPr/>
        <w:t>τχ</w:t>
      </w:r>
      <w:r>
        <w:rPr>
          <w:lang w:val="en-US"/>
        </w:rPr>
        <w:t>. 4, 2019, doi: 10.1371/journal.pone.0215571.</w:t>
      </w:r>
    </w:p>
    <w:p>
      <w:pPr>
        <w:pStyle w:val="Normal"/>
        <w:widowControl w:val="false"/>
        <w:spacing w:before="0" w:after="240"/>
        <w:jc w:val="both"/>
        <w:rPr>
          <w:lang w:val="en-US"/>
        </w:rPr>
      </w:pPr>
      <w:r>
        <w:rPr>
          <w:lang w:val="en-US"/>
        </w:rPr>
        <w:t>[173]</w:t>
        <w:tab/>
        <w:t xml:space="preserve">B. C </w:t>
      </w:r>
      <w:r>
        <w:rPr/>
        <w:t>και</w:t>
      </w:r>
      <w:r>
        <w:rPr>
          <w:lang w:val="en-US"/>
        </w:rPr>
        <w:t xml:space="preserve"> F. D, ‘Risk factors for childhood obesity: a data analysis of the Welsh Health Survey’, </w:t>
      </w:r>
      <w:r>
        <w:rPr>
          <w:i/>
          <w:iCs/>
          <w:lang w:val="en-US"/>
        </w:rPr>
        <w:t>Nurs. Child. Young People</w:t>
      </w:r>
      <w:r>
        <w:rPr>
          <w:lang w:val="en-US"/>
        </w:rPr>
        <w:t xml:space="preserve">, </w:t>
      </w:r>
      <w:r>
        <w:rPr/>
        <w:t>τ</w:t>
      </w:r>
      <w:r>
        <w:rPr>
          <w:lang w:val="en-US"/>
        </w:rPr>
        <w:t xml:space="preserve">. 29, </w:t>
      </w:r>
      <w:r>
        <w:rPr/>
        <w:t>τχ</w:t>
      </w:r>
      <w:r>
        <w:rPr>
          <w:lang w:val="en-US"/>
        </w:rPr>
        <w:t xml:space="preserve">. 6, </w:t>
      </w:r>
      <w:r>
        <w:rPr/>
        <w:t>Οκτωβρίου</w:t>
      </w:r>
      <w:r>
        <w:rPr>
          <w:lang w:val="en-US"/>
        </w:rPr>
        <w:t xml:space="preserve"> 2017, doi: 10.7748/ncyp.2017.e855.</w:t>
      </w:r>
    </w:p>
    <w:p>
      <w:pPr>
        <w:pStyle w:val="Normal"/>
        <w:widowControl w:val="false"/>
        <w:spacing w:before="0" w:after="240"/>
        <w:jc w:val="both"/>
        <w:rPr>
          <w:lang w:val="en-US"/>
        </w:rPr>
      </w:pPr>
      <w:r>
        <w:rPr>
          <w:lang w:val="en-US"/>
        </w:rPr>
        <w:t>[174]</w:t>
        <w:tab/>
        <w:t xml:space="preserve">S. Choudhuri </w:t>
      </w:r>
      <w:r>
        <w:rPr/>
        <w:t>και</w:t>
      </w:r>
      <w:r>
        <w:rPr>
          <w:lang w:val="en-US"/>
        </w:rPr>
        <w:t xml:space="preserve"> M. Kotewicz, </w:t>
      </w:r>
      <w:r>
        <w:rPr>
          <w:i/>
          <w:iCs/>
          <w:lang w:val="en-US"/>
        </w:rPr>
        <w:t>Bioinformatics for beginners: genes, genomes, molecular evolution, databases, and analytical tools</w:t>
      </w:r>
      <w:r>
        <w:rPr>
          <w:lang w:val="en-US"/>
        </w:rPr>
        <w:t>. Amsterdam ; Boston: Elsevier/AP, 2014.</w:t>
      </w:r>
    </w:p>
    <w:p>
      <w:pPr>
        <w:pStyle w:val="Normal"/>
        <w:widowControl w:val="false"/>
        <w:spacing w:before="0" w:after="240"/>
        <w:jc w:val="both"/>
        <w:rPr>
          <w:lang w:val="en-US"/>
        </w:rPr>
      </w:pPr>
      <w:r>
        <w:rPr>
          <w:lang w:val="en-US"/>
        </w:rPr>
        <w:t>[175]</w:t>
        <w:tab/>
        <w:t xml:space="preserve">Z. Musliji, A. Pollozhani, K. Lisichkov, M. Deligios, </w:t>
      </w:r>
      <w:r>
        <w:rPr/>
        <w:t>και</w:t>
      </w:r>
      <w:r>
        <w:rPr>
          <w:lang w:val="en-US"/>
        </w:rPr>
        <w:t xml:space="preserve"> Z. Popovski, ‘Comparative analysis of genes associated with obesity in humans using bioinformatic data and tools’, </w:t>
      </w:r>
      <w:r>
        <w:rPr>
          <w:i/>
          <w:iCs/>
          <w:lang w:val="en-US"/>
        </w:rPr>
        <w:t>Balk. J. Med. Genet.</w:t>
      </w:r>
      <w:r>
        <w:rPr>
          <w:lang w:val="en-US"/>
        </w:rPr>
        <w:t xml:space="preserve">, </w:t>
      </w:r>
      <w:r>
        <w:rPr/>
        <w:t>τ</w:t>
      </w:r>
      <w:r>
        <w:rPr>
          <w:lang w:val="en-US"/>
        </w:rPr>
        <w:t xml:space="preserve">. 24, </w:t>
      </w:r>
      <w:r>
        <w:rPr/>
        <w:t>τχ</w:t>
      </w:r>
      <w:r>
        <w:rPr>
          <w:lang w:val="en-US"/>
        </w:rPr>
        <w:t xml:space="preserve">. 1, </w:t>
      </w:r>
      <w:r>
        <w:rPr/>
        <w:t>σσ</w:t>
      </w:r>
      <w:r>
        <w:rPr>
          <w:lang w:val="en-US"/>
        </w:rPr>
        <w:t xml:space="preserve">. 35–40, </w:t>
      </w:r>
      <w:r>
        <w:rPr/>
        <w:t>Ιουλίου</w:t>
      </w:r>
      <w:r>
        <w:rPr>
          <w:lang w:val="en-US"/>
        </w:rPr>
        <w:t xml:space="preserve"> 2021, doi: 10.2478/bjmg-2021-0012.</w:t>
      </w:r>
    </w:p>
    <w:p>
      <w:pPr>
        <w:pStyle w:val="Normal"/>
        <w:widowControl w:val="false"/>
        <w:spacing w:before="0" w:after="240"/>
        <w:jc w:val="both"/>
        <w:rPr>
          <w:lang w:val="en-US"/>
        </w:rPr>
      </w:pPr>
      <w:r>
        <w:rPr>
          <w:lang w:val="en-US"/>
        </w:rPr>
        <w:t>[176]</w:t>
        <w:tab/>
        <w:t xml:space="preserve">H. Alqaderi </w:t>
      </w:r>
      <w:r>
        <w:rPr>
          <w:i/>
          <w:iCs/>
        </w:rPr>
        <w:t>κ</w:t>
      </w:r>
      <w:r>
        <w:rPr>
          <w:i/>
          <w:iCs/>
          <w:lang w:val="en-US"/>
        </w:rPr>
        <w:t>.</w:t>
      </w:r>
      <w:r>
        <w:rPr>
          <w:i/>
          <w:iCs/>
        </w:rPr>
        <w:t>ά</w:t>
      </w:r>
      <w:r>
        <w:rPr>
          <w:i/>
          <w:iCs/>
          <w:lang w:val="en-US"/>
        </w:rPr>
        <w:t>.</w:t>
      </w:r>
      <w:r>
        <w:rPr>
          <w:lang w:val="en-US"/>
        </w:rPr>
        <w:t xml:space="preserve">, ‘Salivary Biomarkers as Predictors of Obesity and Intermediate Hyperglycemia in Adolescents’, </w:t>
      </w:r>
      <w:r>
        <w:rPr>
          <w:i/>
          <w:iCs/>
          <w:lang w:val="en-US"/>
        </w:rPr>
        <w:t>Front. Public Health</w:t>
      </w:r>
      <w:r>
        <w:rPr>
          <w:lang w:val="en-US"/>
        </w:rPr>
        <w:t xml:space="preserve">, </w:t>
      </w:r>
      <w:r>
        <w:rPr/>
        <w:t>τ</w:t>
      </w:r>
      <w:r>
        <w:rPr>
          <w:lang w:val="en-US"/>
        </w:rPr>
        <w:t>. 10, 2022, doi: 10.3389/fpubh.2022.800373.</w:t>
      </w:r>
    </w:p>
    <w:p>
      <w:pPr>
        <w:pStyle w:val="Normal"/>
        <w:widowControl w:val="false"/>
        <w:spacing w:before="0" w:after="240"/>
        <w:jc w:val="both"/>
        <w:rPr>
          <w:lang w:val="en-US"/>
        </w:rPr>
      </w:pPr>
      <w:r>
        <w:rPr>
          <w:lang w:val="en-US"/>
        </w:rPr>
        <w:t>[177]</w:t>
        <w:tab/>
        <w:t xml:space="preserve">X. Han </w:t>
      </w:r>
      <w:r>
        <w:rPr>
          <w:i/>
          <w:iCs/>
        </w:rPr>
        <w:t>κ</w:t>
      </w:r>
      <w:r>
        <w:rPr>
          <w:i/>
          <w:iCs/>
          <w:lang w:val="en-US"/>
        </w:rPr>
        <w:t>.</w:t>
      </w:r>
      <w:r>
        <w:rPr>
          <w:i/>
          <w:iCs/>
        </w:rPr>
        <w:t>ά</w:t>
      </w:r>
      <w:r>
        <w:rPr>
          <w:i/>
          <w:iCs/>
          <w:lang w:val="en-US"/>
        </w:rPr>
        <w:t>.</w:t>
      </w:r>
      <w:r>
        <w:rPr>
          <w:lang w:val="en-US"/>
        </w:rPr>
        <w:t xml:space="preserve">, ‘Obesity-related biomarkers underlie a shared genetic architecture between childhood body mass index and childhood asthma’, </w:t>
      </w:r>
      <w:r>
        <w:rPr>
          <w:i/>
          <w:iCs/>
          <w:lang w:val="en-US"/>
        </w:rPr>
        <w:t>Commun. Biol.</w:t>
      </w:r>
      <w:r>
        <w:rPr>
          <w:lang w:val="en-US"/>
        </w:rPr>
        <w:t xml:space="preserve">, </w:t>
      </w:r>
      <w:r>
        <w:rPr/>
        <w:t>τ</w:t>
      </w:r>
      <w:r>
        <w:rPr>
          <w:lang w:val="en-US"/>
        </w:rPr>
        <w:t xml:space="preserve">. 5, </w:t>
      </w:r>
      <w:r>
        <w:rPr/>
        <w:t>τχ</w:t>
      </w:r>
      <w:r>
        <w:rPr>
          <w:lang w:val="en-US"/>
        </w:rPr>
        <w:t xml:space="preserve">. 1, </w:t>
      </w:r>
      <w:r>
        <w:rPr/>
        <w:t>σ</w:t>
      </w:r>
      <w:r>
        <w:rPr>
          <w:lang w:val="en-US"/>
        </w:rPr>
        <w:t xml:space="preserve">. 1098, </w:t>
      </w:r>
      <w:r>
        <w:rPr/>
        <w:t>Οκτωβρίου</w:t>
      </w:r>
      <w:r>
        <w:rPr>
          <w:lang w:val="en-US"/>
        </w:rPr>
        <w:t xml:space="preserve"> 2022, doi: 10.1038/s42003-022-04070-9.</w:t>
      </w:r>
    </w:p>
    <w:p>
      <w:pPr>
        <w:pStyle w:val="Normal"/>
        <w:widowControl w:val="false"/>
        <w:spacing w:before="0" w:after="240"/>
        <w:jc w:val="both"/>
        <w:rPr>
          <w:lang w:val="en-US"/>
        </w:rPr>
      </w:pPr>
      <w:r>
        <w:rPr>
          <w:lang w:val="en-US"/>
        </w:rPr>
        <w:t>[178]</w:t>
        <w:tab/>
        <w:t xml:space="preserve">M. S. Mihuta </w:t>
      </w:r>
      <w:r>
        <w:rPr>
          <w:i/>
          <w:iCs/>
        </w:rPr>
        <w:t>κ</w:t>
      </w:r>
      <w:r>
        <w:rPr>
          <w:i/>
          <w:iCs/>
          <w:lang w:val="en-US"/>
        </w:rPr>
        <w:t>.</w:t>
      </w:r>
      <w:r>
        <w:rPr>
          <w:i/>
          <w:iCs/>
        </w:rPr>
        <w:t>ά</w:t>
      </w:r>
      <w:r>
        <w:rPr>
          <w:i/>
          <w:iCs/>
          <w:lang w:val="en-US"/>
        </w:rPr>
        <w:t>.</w:t>
      </w:r>
      <w:r>
        <w:rPr>
          <w:lang w:val="en-US"/>
        </w:rPr>
        <w:t xml:space="preserve">, ‘Unveiling the Silent Danger of Childhood Obesity: Non-Invasive Biomarkers Such as Carotid Intima-Media Thickness, Arterial Stiffness Surrogate Markers, and Blood Pressure Are Useful in Detecting Early Vascular Alterations in Obese Children’, </w:t>
      </w:r>
      <w:r>
        <w:rPr>
          <w:i/>
          <w:iCs/>
          <w:lang w:val="en-US"/>
        </w:rPr>
        <w:t>Biomedicines</w:t>
      </w:r>
      <w:r>
        <w:rPr>
          <w:lang w:val="en-US"/>
        </w:rPr>
        <w:t xml:space="preserve">, </w:t>
      </w:r>
      <w:r>
        <w:rPr/>
        <w:t>τ</w:t>
      </w:r>
      <w:r>
        <w:rPr>
          <w:lang w:val="en-US"/>
        </w:rPr>
        <w:t xml:space="preserve">. 11, </w:t>
      </w:r>
      <w:r>
        <w:rPr/>
        <w:t>τχ</w:t>
      </w:r>
      <w:r>
        <w:rPr>
          <w:lang w:val="en-US"/>
        </w:rPr>
        <w:t xml:space="preserve">. 7, Art. </w:t>
      </w:r>
      <w:r>
        <w:rPr/>
        <w:t>τχ</w:t>
      </w:r>
      <w:r>
        <w:rPr>
          <w:lang w:val="en-US"/>
        </w:rPr>
        <w:t xml:space="preserve">. 7, </w:t>
      </w:r>
      <w:r>
        <w:rPr/>
        <w:t>Ιουλίου</w:t>
      </w:r>
      <w:r>
        <w:rPr>
          <w:lang w:val="en-US"/>
        </w:rPr>
        <w:t xml:space="preserve"> 2023, doi: 10.3390/biomedicines11071841.</w:t>
      </w:r>
    </w:p>
    <w:p>
      <w:pPr>
        <w:pStyle w:val="Normal"/>
        <w:widowControl w:val="false"/>
        <w:spacing w:before="0" w:after="240"/>
        <w:jc w:val="both"/>
        <w:rPr>
          <w:lang w:val="en-US"/>
        </w:rPr>
      </w:pPr>
      <w:r>
        <w:rPr>
          <w:lang w:val="en-US"/>
        </w:rPr>
        <w:t>[179]</w:t>
        <w:tab/>
        <w:t xml:space="preserve">L. L. Yanes Cardozo </w:t>
      </w:r>
      <w:r>
        <w:rPr/>
        <w:t>και</w:t>
      </w:r>
      <w:r>
        <w:rPr>
          <w:lang w:val="en-US"/>
        </w:rPr>
        <w:t xml:space="preserve"> D. G. Romero, ‘Novel biomarkers of childhood and adolescent obesity’, </w:t>
      </w:r>
      <w:r>
        <w:rPr>
          <w:i/>
          <w:iCs/>
          <w:lang w:val="en-US"/>
        </w:rPr>
        <w:t>Hypertens. Res.</w:t>
      </w:r>
      <w:r>
        <w:rPr>
          <w:lang w:val="en-US"/>
        </w:rPr>
        <w:t xml:space="preserve">, </w:t>
      </w:r>
      <w:r>
        <w:rPr/>
        <w:t>τ</w:t>
      </w:r>
      <w:r>
        <w:rPr>
          <w:lang w:val="en-US"/>
        </w:rPr>
        <w:t xml:space="preserve">. 44, </w:t>
      </w:r>
      <w:r>
        <w:rPr/>
        <w:t>τχ</w:t>
      </w:r>
      <w:r>
        <w:rPr>
          <w:lang w:val="en-US"/>
        </w:rPr>
        <w:t xml:space="preserve">. 8, Art. </w:t>
      </w:r>
      <w:r>
        <w:rPr/>
        <w:t>τχ</w:t>
      </w:r>
      <w:r>
        <w:rPr>
          <w:lang w:val="en-US"/>
        </w:rPr>
        <w:t xml:space="preserve">. 8, </w:t>
      </w:r>
      <w:r>
        <w:rPr/>
        <w:t>Αυγούστου</w:t>
      </w:r>
      <w:r>
        <w:rPr>
          <w:lang w:val="en-US"/>
        </w:rPr>
        <w:t xml:space="preserve"> 2021, doi: 10.1038/s41440-021-00651-z.</w:t>
      </w:r>
    </w:p>
    <w:p>
      <w:pPr>
        <w:pStyle w:val="Normal"/>
        <w:widowControl w:val="false"/>
        <w:spacing w:before="0" w:after="240"/>
        <w:jc w:val="both"/>
        <w:rPr>
          <w:lang w:val="en-US"/>
        </w:rPr>
      </w:pPr>
      <w:r>
        <w:rPr>
          <w:lang w:val="en-US"/>
        </w:rPr>
        <w:t>[180]</w:t>
        <w:tab/>
        <w:t xml:space="preserve">N. M. Varda, M. Medved, </w:t>
      </w:r>
      <w:r>
        <w:rPr/>
        <w:t>και</w:t>
      </w:r>
      <w:r>
        <w:rPr>
          <w:lang w:val="en-US"/>
        </w:rPr>
        <w:t xml:space="preserve"> L. Ojsteršek, ‘The associations between some biological markers, obesity, and cardiovascular risk in Slovenian children and adolescents’, </w:t>
      </w:r>
      <w:r>
        <w:rPr>
          <w:i/>
          <w:iCs/>
          <w:lang w:val="en-US"/>
        </w:rPr>
        <w:t>BMC Pediatr.</w:t>
      </w:r>
      <w:r>
        <w:rPr>
          <w:lang w:val="en-US"/>
        </w:rPr>
        <w:t xml:space="preserve">, </w:t>
      </w:r>
      <w:r>
        <w:rPr/>
        <w:t>τ</w:t>
      </w:r>
      <w:r>
        <w:rPr>
          <w:lang w:val="en-US"/>
        </w:rPr>
        <w:t xml:space="preserve">. 20, </w:t>
      </w:r>
      <w:r>
        <w:rPr/>
        <w:t>τχ</w:t>
      </w:r>
      <w:r>
        <w:rPr>
          <w:lang w:val="en-US"/>
        </w:rPr>
        <w:t xml:space="preserve">. 1, Art. </w:t>
      </w:r>
      <w:r>
        <w:rPr/>
        <w:t>τχ</w:t>
      </w:r>
      <w:r>
        <w:rPr>
          <w:lang w:val="en-US"/>
        </w:rPr>
        <w:t xml:space="preserve">. 1, </w:t>
      </w:r>
      <w:r>
        <w:rPr/>
        <w:t>Δεκεμβρίου</w:t>
      </w:r>
      <w:r>
        <w:rPr>
          <w:lang w:val="en-US"/>
        </w:rPr>
        <w:t xml:space="preserve"> 2020, doi: 10.1186/s12887-020-1978-5.</w:t>
      </w:r>
    </w:p>
    <w:p>
      <w:pPr>
        <w:pStyle w:val="Normal"/>
        <w:widowControl w:val="false"/>
        <w:spacing w:before="0" w:after="240"/>
        <w:jc w:val="both"/>
        <w:rPr>
          <w:lang w:val="en-US"/>
        </w:rPr>
      </w:pPr>
      <w:r>
        <w:rPr>
          <w:lang w:val="en-US"/>
        </w:rPr>
        <w:t>[181]</w:t>
        <w:tab/>
        <w:t xml:space="preserve">W. S. Garver </w:t>
      </w:r>
      <w:r>
        <w:rPr>
          <w:i/>
          <w:iCs/>
        </w:rPr>
        <w:t>κ</w:t>
      </w:r>
      <w:r>
        <w:rPr>
          <w:i/>
          <w:iCs/>
          <w:lang w:val="en-US"/>
        </w:rPr>
        <w:t>.</w:t>
      </w:r>
      <w:r>
        <w:rPr>
          <w:i/>
          <w:iCs/>
        </w:rPr>
        <w:t>ά</w:t>
      </w:r>
      <w:r>
        <w:rPr>
          <w:i/>
          <w:iCs/>
          <w:lang w:val="en-US"/>
        </w:rPr>
        <w:t>.</w:t>
      </w:r>
      <w:r>
        <w:rPr>
          <w:lang w:val="en-US"/>
        </w:rPr>
        <w:t xml:space="preserve">, ‘The genetics of childhood obesity and interaction with dietary macronutrients’, </w:t>
      </w:r>
      <w:r>
        <w:rPr>
          <w:i/>
          <w:iCs/>
          <w:lang w:val="en-US"/>
        </w:rPr>
        <w:t>Genes Nutr.</w:t>
      </w:r>
      <w:r>
        <w:rPr>
          <w:lang w:val="en-US"/>
        </w:rPr>
        <w:t xml:space="preserve">, </w:t>
      </w:r>
      <w:r>
        <w:rPr/>
        <w:t>τ</w:t>
      </w:r>
      <w:r>
        <w:rPr>
          <w:lang w:val="en-US"/>
        </w:rPr>
        <w:t xml:space="preserve">. 8, </w:t>
      </w:r>
      <w:r>
        <w:rPr/>
        <w:t>τχ</w:t>
      </w:r>
      <w:r>
        <w:rPr>
          <w:lang w:val="en-US"/>
        </w:rPr>
        <w:t xml:space="preserve">. 3, </w:t>
      </w:r>
      <w:r>
        <w:rPr/>
        <w:t>σσ</w:t>
      </w:r>
      <w:r>
        <w:rPr>
          <w:lang w:val="en-US"/>
        </w:rPr>
        <w:t xml:space="preserve">. 271–287, </w:t>
      </w:r>
      <w:r>
        <w:rPr/>
        <w:t>Μαΐου</w:t>
      </w:r>
      <w:r>
        <w:rPr>
          <w:lang w:val="en-US"/>
        </w:rPr>
        <w:t xml:space="preserve"> 2013, doi: 10.1007/s12263-013-0339-5.</w:t>
      </w:r>
    </w:p>
    <w:p>
      <w:pPr>
        <w:pStyle w:val="Normal"/>
        <w:widowControl w:val="false"/>
        <w:spacing w:before="0" w:after="240"/>
        <w:jc w:val="both"/>
        <w:rPr>
          <w:lang w:val="en-US"/>
        </w:rPr>
      </w:pPr>
      <w:r>
        <w:rPr>
          <w:lang w:val="en-US"/>
        </w:rPr>
        <w:t>[182]</w:t>
        <w:tab/>
        <w:t xml:space="preserve">H. Lim, H. Lee, </w:t>
      </w:r>
      <w:r>
        <w:rPr/>
        <w:t>και</w:t>
      </w:r>
      <w:r>
        <w:rPr>
          <w:lang w:val="en-US"/>
        </w:rPr>
        <w:t xml:space="preserve"> J. Kim, ‘A prediction model for childhood obesity risk using the machine learning method: a panel study on Korean children’, </w:t>
      </w:r>
      <w:r>
        <w:rPr>
          <w:i/>
          <w:iCs/>
          <w:lang w:val="en-US"/>
        </w:rPr>
        <w:t>Sci. Rep.</w:t>
      </w:r>
      <w:r>
        <w:rPr>
          <w:lang w:val="en-US"/>
        </w:rPr>
        <w:t xml:space="preserve">, </w:t>
      </w:r>
      <w:r>
        <w:rPr/>
        <w:t>τ</w:t>
      </w:r>
      <w:r>
        <w:rPr>
          <w:lang w:val="en-US"/>
        </w:rPr>
        <w:t xml:space="preserve">. 13, </w:t>
      </w:r>
      <w:r>
        <w:rPr/>
        <w:t>τχ</w:t>
      </w:r>
      <w:r>
        <w:rPr>
          <w:lang w:val="en-US"/>
        </w:rPr>
        <w:t xml:space="preserve">. 1, Art. </w:t>
      </w:r>
      <w:r>
        <w:rPr/>
        <w:t>τχ</w:t>
      </w:r>
      <w:r>
        <w:rPr>
          <w:lang w:val="en-US"/>
        </w:rPr>
        <w:t xml:space="preserve">. 1, </w:t>
      </w:r>
      <w:r>
        <w:rPr/>
        <w:t>Ιουνίου</w:t>
      </w:r>
      <w:r>
        <w:rPr>
          <w:lang w:val="en-US"/>
        </w:rPr>
        <w:t xml:space="preserve"> 2023, doi: 10.1038/s41598-023-37171-4.</w:t>
      </w:r>
    </w:p>
    <w:p>
      <w:pPr>
        <w:pStyle w:val="Normal"/>
        <w:widowControl w:val="false"/>
        <w:spacing w:before="0" w:after="240"/>
        <w:jc w:val="both"/>
        <w:rPr>
          <w:lang w:val="en-US"/>
        </w:rPr>
      </w:pPr>
      <w:r>
        <w:rPr>
          <w:lang w:val="en-US"/>
        </w:rPr>
        <w:t>[183]</w:t>
        <w:tab/>
        <w:t xml:space="preserve">C. Bouchard, ‘Childhood obesity: are genetic differences involved?’, </w:t>
      </w:r>
      <w:r>
        <w:rPr>
          <w:i/>
          <w:iCs/>
          <w:lang w:val="en-US"/>
        </w:rPr>
        <w:t>Am. J. Clin. Nutr.</w:t>
      </w:r>
      <w:r>
        <w:rPr>
          <w:lang w:val="en-US"/>
        </w:rPr>
        <w:t xml:space="preserve">, </w:t>
      </w:r>
      <w:r>
        <w:rPr/>
        <w:t>τ</w:t>
      </w:r>
      <w:r>
        <w:rPr>
          <w:lang w:val="en-US"/>
        </w:rPr>
        <w:t xml:space="preserve">. 89, </w:t>
      </w:r>
      <w:r>
        <w:rPr/>
        <w:t>τχ</w:t>
      </w:r>
      <w:r>
        <w:rPr>
          <w:lang w:val="en-US"/>
        </w:rPr>
        <w:t xml:space="preserve">. 5, </w:t>
      </w:r>
      <w:r>
        <w:rPr/>
        <w:t>σσ</w:t>
      </w:r>
      <w:r>
        <w:rPr>
          <w:lang w:val="en-US"/>
        </w:rPr>
        <w:t xml:space="preserve">. 1494S-1501S, </w:t>
      </w:r>
      <w:r>
        <w:rPr/>
        <w:t>Μαΐου</w:t>
      </w:r>
      <w:r>
        <w:rPr>
          <w:lang w:val="en-US"/>
        </w:rPr>
        <w:t xml:space="preserve"> 2009, doi: 10.3945/ajcn.2009.27113C.</w:t>
      </w:r>
    </w:p>
    <w:p>
      <w:pPr>
        <w:pStyle w:val="Normal"/>
        <w:widowControl w:val="false"/>
        <w:spacing w:before="0" w:after="240"/>
        <w:jc w:val="both"/>
        <w:rPr>
          <w:lang w:val="en-US"/>
        </w:rPr>
      </w:pPr>
      <w:r>
        <w:rPr>
          <w:lang w:val="en-US"/>
        </w:rPr>
        <w:t>[184]</w:t>
        <w:tab/>
        <w:t xml:space="preserve">E. Burch, ‘Nutrigenomics and Development: Childhood Obesity Susceptibility Genes and their Impact on Dietary Behavior and Nutrient Intake’, </w:t>
      </w:r>
      <w:r>
        <w:rPr/>
        <w:t>στο</w:t>
      </w:r>
      <w:r>
        <w:rPr>
          <w:lang w:val="en-US"/>
        </w:rPr>
        <w:t xml:space="preserve"> </w:t>
      </w:r>
      <w:r>
        <w:rPr>
          <w:i/>
          <w:iCs/>
          <w:lang w:val="en-US"/>
        </w:rPr>
        <w:t>Nutrigenomics and the Brain</w:t>
      </w:r>
      <w:r>
        <w:rPr>
          <w:lang w:val="en-US"/>
        </w:rPr>
        <w:t xml:space="preserve">, Springer, Singapore, 2022, </w:t>
      </w:r>
      <w:r>
        <w:rPr/>
        <w:t>σσ</w:t>
      </w:r>
      <w:r>
        <w:rPr>
          <w:lang w:val="en-US"/>
        </w:rPr>
        <w:t>. 135–143. doi: 10.1007/978-981-16-9205-5_10.</w:t>
      </w:r>
    </w:p>
    <w:p>
      <w:pPr>
        <w:pStyle w:val="Normal"/>
        <w:widowControl w:val="false"/>
        <w:spacing w:before="0" w:after="240"/>
        <w:jc w:val="both"/>
        <w:rPr>
          <w:lang w:val="en-US"/>
        </w:rPr>
      </w:pPr>
      <w:r>
        <w:rPr>
          <w:lang w:val="en-US"/>
        </w:rPr>
        <w:t>[185]</w:t>
        <w:tab/>
        <w:t xml:space="preserve">M. Doo </w:t>
      </w:r>
      <w:r>
        <w:rPr/>
        <w:t>και</w:t>
      </w:r>
      <w:r>
        <w:rPr>
          <w:lang w:val="en-US"/>
        </w:rPr>
        <w:t xml:space="preserve"> Y. Kim, ‘Obesity: Interactions of Genome and Nutrients Intake’, </w:t>
      </w:r>
      <w:r>
        <w:rPr>
          <w:i/>
          <w:iCs/>
          <w:lang w:val="en-US"/>
        </w:rPr>
        <w:t>Prev. Nutr. Food Sci.</w:t>
      </w:r>
      <w:r>
        <w:rPr>
          <w:lang w:val="en-US"/>
        </w:rPr>
        <w:t xml:space="preserve">, </w:t>
      </w:r>
      <w:r>
        <w:rPr/>
        <w:t>τ</w:t>
      </w:r>
      <w:r>
        <w:rPr>
          <w:lang w:val="en-US"/>
        </w:rPr>
        <w:t xml:space="preserve">. 20, </w:t>
      </w:r>
      <w:r>
        <w:rPr/>
        <w:t>τχ</w:t>
      </w:r>
      <w:r>
        <w:rPr>
          <w:lang w:val="en-US"/>
        </w:rPr>
        <w:t xml:space="preserve">. 1, </w:t>
      </w:r>
      <w:r>
        <w:rPr/>
        <w:t>σ</w:t>
      </w:r>
      <w:r>
        <w:rPr>
          <w:lang w:val="en-US"/>
        </w:rPr>
        <w:t xml:space="preserve">. 1, </w:t>
      </w:r>
      <w:r>
        <w:rPr/>
        <w:t>Μαρτίου</w:t>
      </w:r>
      <w:r>
        <w:rPr>
          <w:lang w:val="en-US"/>
        </w:rPr>
        <w:t xml:space="preserve"> 2015, doi: 10.3746/pnf.2015.20.1.1.</w:t>
      </w:r>
    </w:p>
    <w:p>
      <w:pPr>
        <w:pStyle w:val="Normal"/>
        <w:widowControl w:val="false"/>
        <w:spacing w:before="0" w:after="240"/>
        <w:jc w:val="both"/>
        <w:rPr>
          <w:lang w:val="en-US"/>
        </w:rPr>
      </w:pPr>
      <w:r>
        <w:rPr>
          <w:lang w:val="en-US"/>
        </w:rPr>
        <w:t>[186]</w:t>
        <w:tab/>
        <w:t xml:space="preserve">A. Vourdoumpa, G. Paltoglou, </w:t>
      </w:r>
      <w:r>
        <w:rPr/>
        <w:t>και</w:t>
      </w:r>
      <w:r>
        <w:rPr>
          <w:lang w:val="en-US"/>
        </w:rPr>
        <w:t xml:space="preserve"> E. Charmandari, ‘The Genetic Basis of Childhood Obesity: A Systematic Review’, </w:t>
      </w:r>
      <w:r>
        <w:rPr>
          <w:i/>
          <w:iCs/>
          <w:lang w:val="en-US"/>
        </w:rPr>
        <w:t>Nutrients</w:t>
      </w:r>
      <w:r>
        <w:rPr>
          <w:lang w:val="en-US"/>
        </w:rPr>
        <w:t xml:space="preserve">, </w:t>
      </w:r>
      <w:r>
        <w:rPr/>
        <w:t>τ</w:t>
      </w:r>
      <w:r>
        <w:rPr>
          <w:lang w:val="en-US"/>
        </w:rPr>
        <w:t xml:space="preserve">. 15, </w:t>
      </w:r>
      <w:r>
        <w:rPr/>
        <w:t>τχ</w:t>
      </w:r>
      <w:r>
        <w:rPr>
          <w:lang w:val="en-US"/>
        </w:rPr>
        <w:t xml:space="preserve">. 6, </w:t>
      </w:r>
      <w:r>
        <w:rPr/>
        <w:t>σ</w:t>
      </w:r>
      <w:r>
        <w:rPr>
          <w:lang w:val="en-US"/>
        </w:rPr>
        <w:t xml:space="preserve">. 1416, </w:t>
      </w:r>
      <w:r>
        <w:rPr/>
        <w:t>Μαρτίου</w:t>
      </w:r>
      <w:r>
        <w:rPr>
          <w:lang w:val="en-US"/>
        </w:rPr>
        <w:t xml:space="preserve"> 2023, doi: 10.3390/nu15061416.</w:t>
      </w:r>
    </w:p>
    <w:p>
      <w:pPr>
        <w:pStyle w:val="Normal"/>
        <w:widowControl w:val="false"/>
        <w:spacing w:before="0" w:after="240"/>
        <w:jc w:val="both"/>
        <w:rPr/>
      </w:pPr>
      <w:r>
        <w:rPr>
          <w:lang w:val="en-US"/>
        </w:rPr>
        <w:t>[187]</w:t>
        <w:tab/>
        <w:t xml:space="preserve">‘What is Pediatric Engineering?’, School of Biomedical Engineering, Science and Health Systems. </w:t>
      </w:r>
      <w:r>
        <w:rPr/>
        <w:t>Ημερομηνία πρόσβασης: 4 Δεκέμβριος 2023. [Έκδοση σε ψηφιακή μορφή]. Διαθέσιμο στο: https://drexel.edu/biomed/research-and-design/pediatric-engineering/</w:t>
      </w:r>
    </w:p>
    <w:p>
      <w:pPr>
        <w:pStyle w:val="Normal"/>
        <w:widowControl w:val="false"/>
        <w:spacing w:before="0" w:after="240"/>
        <w:jc w:val="both"/>
        <w:rPr>
          <w:lang w:val="en-US"/>
        </w:rPr>
      </w:pPr>
      <w:r>
        <w:rPr>
          <w:lang w:val="en-US"/>
        </w:rPr>
        <w:t>[188]</w:t>
        <w:tab/>
        <w:t xml:space="preserve">R. Rashmi, S. Umapathy, </w:t>
      </w:r>
      <w:r>
        <w:rPr/>
        <w:t>και</w:t>
      </w:r>
      <w:r>
        <w:rPr>
          <w:lang w:val="en-US"/>
        </w:rPr>
        <w:t xml:space="preserve"> P. T. Krishnan, ‘Thermal imaging method to evaluate childhood obesity based on machine learning techniques’, </w:t>
      </w:r>
      <w:r>
        <w:rPr>
          <w:i/>
          <w:iCs/>
          <w:lang w:val="en-US"/>
        </w:rPr>
        <w:t>Int. J. Imaging Syst. Technol.</w:t>
      </w:r>
      <w:r>
        <w:rPr>
          <w:lang w:val="en-US"/>
        </w:rPr>
        <w:t xml:space="preserve">, </w:t>
      </w:r>
      <w:r>
        <w:rPr/>
        <w:t>τ</w:t>
      </w:r>
      <w:r>
        <w:rPr>
          <w:lang w:val="en-US"/>
        </w:rPr>
        <w:t xml:space="preserve">. 31, </w:t>
      </w:r>
      <w:r>
        <w:rPr/>
        <w:t>τχ</w:t>
      </w:r>
      <w:r>
        <w:rPr>
          <w:lang w:val="en-US"/>
        </w:rPr>
        <w:t xml:space="preserve">. 3, </w:t>
      </w:r>
      <w:r>
        <w:rPr/>
        <w:t>σσ</w:t>
      </w:r>
      <w:r>
        <w:rPr>
          <w:lang w:val="en-US"/>
        </w:rPr>
        <w:t xml:space="preserve">. 1752–1768, </w:t>
      </w:r>
      <w:r>
        <w:rPr/>
        <w:t>Σεπτεμβρίου</w:t>
      </w:r>
      <w:r>
        <w:rPr>
          <w:lang w:val="en-US"/>
        </w:rPr>
        <w:t xml:space="preserve"> 2021, doi: 10.1002/ima.22572.</w:t>
      </w:r>
    </w:p>
    <w:p>
      <w:pPr>
        <w:pStyle w:val="Normal"/>
        <w:widowControl w:val="false"/>
        <w:spacing w:before="0" w:after="240"/>
        <w:jc w:val="both"/>
        <w:rPr>
          <w:lang w:val="en-US"/>
        </w:rPr>
      </w:pPr>
      <w:r>
        <w:rPr>
          <w:lang w:val="en-US"/>
        </w:rPr>
        <w:t>[189]</w:t>
        <w:tab/>
        <w:t xml:space="preserve">S. M, L. A, O. Cg, </w:t>
      </w:r>
      <w:r>
        <w:rPr/>
        <w:t>και</w:t>
      </w:r>
      <w:r>
        <w:rPr>
          <w:lang w:val="en-US"/>
        </w:rPr>
        <w:t xml:space="preserve"> W. N, ‘Simple tests for the diagnosis of childhood obesity: a systematic review and meta-analysis’, </w:t>
      </w:r>
      <w:r>
        <w:rPr>
          <w:i/>
          <w:iCs/>
          <w:lang w:val="en-US"/>
        </w:rPr>
        <w:t>Obes. Rev. Off. J. Int. Assoc. Study Obes.</w:t>
      </w:r>
      <w:r>
        <w:rPr>
          <w:lang w:val="en-US"/>
        </w:rPr>
        <w:t xml:space="preserve">, </w:t>
      </w:r>
      <w:r>
        <w:rPr/>
        <w:t>τ</w:t>
      </w:r>
      <w:r>
        <w:rPr>
          <w:lang w:val="en-US"/>
        </w:rPr>
        <w:t xml:space="preserve">. 17, </w:t>
      </w:r>
      <w:r>
        <w:rPr/>
        <w:t>τχ</w:t>
      </w:r>
      <w:r>
        <w:rPr>
          <w:lang w:val="en-US"/>
        </w:rPr>
        <w:t xml:space="preserve">. 12, </w:t>
      </w:r>
      <w:r>
        <w:rPr/>
        <w:t>Δεκεμβρίου</w:t>
      </w:r>
      <w:r>
        <w:rPr>
          <w:lang w:val="en-US"/>
        </w:rPr>
        <w:t xml:space="preserve"> 2016, doi: 10.1111/obr.12462.</w:t>
      </w:r>
    </w:p>
    <w:p>
      <w:pPr>
        <w:pStyle w:val="Normal"/>
        <w:widowControl w:val="false"/>
        <w:spacing w:before="0" w:after="240"/>
        <w:jc w:val="both"/>
        <w:rPr>
          <w:lang w:val="en-US"/>
        </w:rPr>
      </w:pPr>
      <w:r>
        <w:rPr>
          <w:lang w:val="en-US"/>
        </w:rPr>
        <w:t>[190]</w:t>
        <w:tab/>
        <w:t xml:space="preserve">M.-G. P </w:t>
      </w:r>
      <w:r>
        <w:rPr>
          <w:i/>
          <w:iCs/>
        </w:rPr>
        <w:t>κ</w:t>
      </w:r>
      <w:r>
        <w:rPr>
          <w:i/>
          <w:iCs/>
          <w:lang w:val="en-US"/>
        </w:rPr>
        <w:t>.</w:t>
      </w:r>
      <w:r>
        <w:rPr>
          <w:i/>
          <w:iCs/>
        </w:rPr>
        <w:t>ά</w:t>
      </w:r>
      <w:r>
        <w:rPr>
          <w:i/>
          <w:iCs/>
          <w:lang w:val="en-US"/>
        </w:rPr>
        <w:t>.</w:t>
      </w:r>
      <w:r>
        <w:rPr>
          <w:lang w:val="en-US"/>
        </w:rPr>
        <w:t xml:space="preserve">, ‘A systematic review on biomechanical characteristics of walking in children and adolescents with overweight/obesity: Possible implications for the development of musculoskeletal disorders’, </w:t>
      </w:r>
      <w:r>
        <w:rPr>
          <w:i/>
          <w:iCs/>
          <w:lang w:val="en-US"/>
        </w:rPr>
        <w:t>Obes. Rev. Off. J. Int. Assoc. Study Obes.</w:t>
      </w:r>
      <w:r>
        <w:rPr>
          <w:lang w:val="en-US"/>
        </w:rPr>
        <w:t xml:space="preserve">, </w:t>
      </w:r>
      <w:r>
        <w:rPr/>
        <w:t>τ</w:t>
      </w:r>
      <w:r>
        <w:rPr>
          <w:lang w:val="en-US"/>
        </w:rPr>
        <w:t xml:space="preserve">. 20, </w:t>
      </w:r>
      <w:r>
        <w:rPr/>
        <w:t>τχ</w:t>
      </w:r>
      <w:r>
        <w:rPr>
          <w:lang w:val="en-US"/>
        </w:rPr>
        <w:t xml:space="preserve">. 7, </w:t>
      </w:r>
      <w:r>
        <w:rPr/>
        <w:t>Ιουλίου</w:t>
      </w:r>
      <w:r>
        <w:rPr>
          <w:lang w:val="en-US"/>
        </w:rPr>
        <w:t xml:space="preserve"> 2019, doi: 10.1111/obr.12848.</w:t>
      </w:r>
    </w:p>
    <w:p>
      <w:pPr>
        <w:pStyle w:val="Normal"/>
        <w:widowControl w:val="false"/>
        <w:spacing w:before="0" w:after="240"/>
        <w:jc w:val="both"/>
        <w:rPr>
          <w:lang w:val="en-US"/>
        </w:rPr>
      </w:pPr>
      <w:r>
        <w:rPr>
          <w:lang w:val="en-US"/>
        </w:rPr>
        <w:t>[191]</w:t>
        <w:tab/>
        <w:t xml:space="preserve">K. Bowen-Jallow </w:t>
      </w:r>
      <w:r>
        <w:rPr>
          <w:i/>
          <w:iCs/>
        </w:rPr>
        <w:t>κ</w:t>
      </w:r>
      <w:r>
        <w:rPr>
          <w:i/>
          <w:iCs/>
          <w:lang w:val="en-US"/>
        </w:rPr>
        <w:t>.</w:t>
      </w:r>
      <w:r>
        <w:rPr>
          <w:i/>
          <w:iCs/>
        </w:rPr>
        <w:t>ά</w:t>
      </w:r>
      <w:r>
        <w:rPr>
          <w:i/>
          <w:iCs/>
          <w:lang w:val="en-US"/>
        </w:rPr>
        <w:t>.</w:t>
      </w:r>
      <w:r>
        <w:rPr>
          <w:lang w:val="en-US"/>
        </w:rPr>
        <w:t xml:space="preserve">, ‘Wearable Activity Tracking Device Use in an Adolescent Weight Management Clinic: A Randomized Controlled Pilot Trial’, </w:t>
      </w:r>
      <w:r>
        <w:rPr>
          <w:i/>
          <w:iCs/>
          <w:lang w:val="en-US"/>
        </w:rPr>
        <w:t>J. Obes.</w:t>
      </w:r>
      <w:r>
        <w:rPr>
          <w:lang w:val="en-US"/>
        </w:rPr>
        <w:t xml:space="preserve">, </w:t>
      </w:r>
      <w:r>
        <w:rPr/>
        <w:t>τ</w:t>
      </w:r>
      <w:r>
        <w:rPr>
          <w:lang w:val="en-US"/>
        </w:rPr>
        <w:t>. 2021, 2021, doi: 10.1155/2021/7625034.</w:t>
      </w:r>
    </w:p>
    <w:p>
      <w:pPr>
        <w:pStyle w:val="Normal"/>
        <w:widowControl w:val="false"/>
        <w:spacing w:before="0" w:after="240"/>
        <w:jc w:val="both"/>
        <w:rPr>
          <w:lang w:val="en-US"/>
        </w:rPr>
      </w:pPr>
      <w:r>
        <w:rPr>
          <w:lang w:val="en-US"/>
        </w:rPr>
        <w:t>[192]</w:t>
        <w:tab/>
        <w:t xml:space="preserve">W. Wang, J. Cheng, W. Song, </w:t>
      </w:r>
      <w:r>
        <w:rPr/>
        <w:t>και</w:t>
      </w:r>
      <w:r>
        <w:rPr>
          <w:lang w:val="en-US"/>
        </w:rPr>
        <w:t xml:space="preserve"> Y. Shen, ‘The Effectiveness of Wearable Devices as Physical Activity Interventions for Preventing and Treating Obesity in Children and Adolescents: Systematic Review and Meta-analysis’, </w:t>
      </w:r>
      <w:r>
        <w:rPr>
          <w:i/>
          <w:iCs/>
          <w:lang w:val="en-US"/>
        </w:rPr>
        <w:t>JMIR MHealth UHealth</w:t>
      </w:r>
      <w:r>
        <w:rPr>
          <w:lang w:val="en-US"/>
        </w:rPr>
        <w:t xml:space="preserve">, </w:t>
      </w:r>
      <w:r>
        <w:rPr/>
        <w:t>τ</w:t>
      </w:r>
      <w:r>
        <w:rPr>
          <w:lang w:val="en-US"/>
        </w:rPr>
        <w:t xml:space="preserve">. 10, </w:t>
      </w:r>
      <w:r>
        <w:rPr/>
        <w:t>τχ</w:t>
      </w:r>
      <w:r>
        <w:rPr>
          <w:lang w:val="en-US"/>
        </w:rPr>
        <w:t xml:space="preserve">. 4, </w:t>
      </w:r>
      <w:r>
        <w:rPr/>
        <w:t>Απριλίου</w:t>
      </w:r>
      <w:r>
        <w:rPr>
          <w:lang w:val="en-US"/>
        </w:rPr>
        <w:t xml:space="preserve"> 2022, doi: 10.2196/32435.</w:t>
      </w:r>
    </w:p>
    <w:p>
      <w:pPr>
        <w:pStyle w:val="Normal"/>
        <w:widowControl w:val="false"/>
        <w:spacing w:before="0" w:after="240"/>
        <w:jc w:val="both"/>
        <w:rPr>
          <w:lang w:val="en-US"/>
        </w:rPr>
      </w:pPr>
      <w:r>
        <w:rPr>
          <w:lang w:val="en-US"/>
        </w:rPr>
        <w:t>[193]</w:t>
        <w:tab/>
        <w:t xml:space="preserve">C. S. González-González, N. Gómez del Río, P. A. Toledo-Delgado, </w:t>
      </w:r>
      <w:r>
        <w:rPr/>
        <w:t>και</w:t>
      </w:r>
      <w:r>
        <w:rPr>
          <w:lang w:val="en-US"/>
        </w:rPr>
        <w:t xml:space="preserve"> F. J. García-Peñalvo, ‘Active Game-Based Solutions for the Treatment of Childhood Obesity’, </w:t>
      </w:r>
      <w:r>
        <w:rPr>
          <w:i/>
          <w:iCs/>
          <w:lang w:val="en-US"/>
        </w:rPr>
        <w:t>Sensors</w:t>
      </w:r>
      <w:r>
        <w:rPr>
          <w:lang w:val="en-US"/>
        </w:rPr>
        <w:t xml:space="preserve">, </w:t>
      </w:r>
      <w:r>
        <w:rPr/>
        <w:t>τ</w:t>
      </w:r>
      <w:r>
        <w:rPr>
          <w:lang w:val="en-US"/>
        </w:rPr>
        <w:t xml:space="preserve">. 21, </w:t>
      </w:r>
      <w:r>
        <w:rPr/>
        <w:t>τχ</w:t>
      </w:r>
      <w:r>
        <w:rPr>
          <w:lang w:val="en-US"/>
        </w:rPr>
        <w:t xml:space="preserve">. 4, Art. </w:t>
      </w:r>
      <w:r>
        <w:rPr/>
        <w:t>τχ</w:t>
      </w:r>
      <w:r>
        <w:rPr>
          <w:lang w:val="en-US"/>
        </w:rPr>
        <w:t xml:space="preserve">. 4, </w:t>
      </w:r>
      <w:r>
        <w:rPr/>
        <w:t>Ιανουαρίου</w:t>
      </w:r>
      <w:r>
        <w:rPr>
          <w:lang w:val="en-US"/>
        </w:rPr>
        <w:t xml:space="preserve"> 2021, doi: 10.3390/s21041266.</w:t>
      </w:r>
    </w:p>
    <w:p>
      <w:pPr>
        <w:pStyle w:val="Normal"/>
        <w:widowControl w:val="false"/>
        <w:spacing w:before="0" w:after="240"/>
        <w:jc w:val="both"/>
        <w:rPr>
          <w:lang w:val="en-US"/>
        </w:rPr>
      </w:pPr>
      <w:r>
        <w:rPr>
          <w:lang w:val="en-US"/>
        </w:rPr>
        <w:t>[194]</w:t>
        <w:tab/>
        <w:t xml:space="preserve">N. Gómez-del-Río, C. S. González-González, P. A. Toledo-Delgado, V. Muñoz-Cruz, </w:t>
      </w:r>
      <w:r>
        <w:rPr/>
        <w:t>και</w:t>
      </w:r>
      <w:r>
        <w:rPr>
          <w:lang w:val="en-US"/>
        </w:rPr>
        <w:t xml:space="preserve"> F. García-Peñalvo, ‘Health Promotion for Childhood Obesity: An Approach Based on Self-Tracking of Data’, </w:t>
      </w:r>
      <w:r>
        <w:rPr>
          <w:i/>
          <w:iCs/>
          <w:lang w:val="en-US"/>
        </w:rPr>
        <w:t>Sensors</w:t>
      </w:r>
      <w:r>
        <w:rPr>
          <w:lang w:val="en-US"/>
        </w:rPr>
        <w:t xml:space="preserve">, </w:t>
      </w:r>
      <w:r>
        <w:rPr/>
        <w:t>τ</w:t>
      </w:r>
      <w:r>
        <w:rPr>
          <w:lang w:val="en-US"/>
        </w:rPr>
        <w:t xml:space="preserve">. 20, </w:t>
      </w:r>
      <w:r>
        <w:rPr/>
        <w:t>τχ</w:t>
      </w:r>
      <w:r>
        <w:rPr>
          <w:lang w:val="en-US"/>
        </w:rPr>
        <w:t xml:space="preserve">. 13, Art. </w:t>
      </w:r>
      <w:r>
        <w:rPr/>
        <w:t>τχ</w:t>
      </w:r>
      <w:r>
        <w:rPr>
          <w:lang w:val="en-US"/>
        </w:rPr>
        <w:t xml:space="preserve">. 13, </w:t>
      </w:r>
      <w:r>
        <w:rPr/>
        <w:t>Ιανουαρίου</w:t>
      </w:r>
      <w:r>
        <w:rPr>
          <w:lang w:val="en-US"/>
        </w:rPr>
        <w:t xml:space="preserve"> 2020, doi: 10.3390/s20133778.</w:t>
      </w:r>
    </w:p>
    <w:p>
      <w:pPr>
        <w:pStyle w:val="Normal"/>
        <w:widowControl w:val="false"/>
        <w:spacing w:before="0" w:after="240"/>
        <w:jc w:val="both"/>
        <w:rPr>
          <w:lang w:val="en-US"/>
        </w:rPr>
      </w:pPr>
      <w:r>
        <w:rPr>
          <w:lang w:val="en-US"/>
        </w:rPr>
        <w:t>[195]</w:t>
        <w:tab/>
        <w:t>K. Sabina, ‘The Effects of Wearable Fitness Devices on Pediatric Obesity: An Integrative Literature Review’.</w:t>
      </w:r>
    </w:p>
    <w:p>
      <w:pPr>
        <w:pStyle w:val="Normal"/>
        <w:widowControl w:val="false"/>
        <w:spacing w:before="0" w:after="240"/>
        <w:jc w:val="both"/>
        <w:rPr>
          <w:lang w:val="en-US"/>
        </w:rPr>
      </w:pPr>
      <w:r>
        <w:rPr>
          <w:lang w:val="en-US"/>
        </w:rPr>
        <w:t>[196]</w:t>
        <w:tab/>
        <w:t xml:space="preserve">C. Lam </w:t>
      </w:r>
      <w:r>
        <w:rPr>
          <w:i/>
          <w:iCs/>
        </w:rPr>
        <w:t>κ</w:t>
      </w:r>
      <w:r>
        <w:rPr>
          <w:i/>
          <w:iCs/>
          <w:lang w:val="en-US"/>
        </w:rPr>
        <w:t>.</w:t>
      </w:r>
      <w:r>
        <w:rPr>
          <w:i/>
          <w:iCs/>
        </w:rPr>
        <w:t>ά</w:t>
      </w:r>
      <w:r>
        <w:rPr>
          <w:i/>
          <w:iCs/>
          <w:lang w:val="en-US"/>
        </w:rPr>
        <w:t>.</w:t>
      </w:r>
      <w:r>
        <w:rPr>
          <w:lang w:val="en-US"/>
        </w:rPr>
        <w:t xml:space="preserve">, ‘Internet of things–Enabled technologies as an intervention for childhood obesity: A systematic review’, </w:t>
      </w:r>
      <w:r>
        <w:rPr>
          <w:i/>
          <w:iCs/>
          <w:lang w:val="en-US"/>
        </w:rPr>
        <w:t>PLOS Digit. Health</w:t>
      </w:r>
      <w:r>
        <w:rPr>
          <w:lang w:val="en-US"/>
        </w:rPr>
        <w:t xml:space="preserve">, </w:t>
      </w:r>
      <w:r>
        <w:rPr/>
        <w:t>τ</w:t>
      </w:r>
      <w:r>
        <w:rPr>
          <w:lang w:val="en-US"/>
        </w:rPr>
        <w:t xml:space="preserve">. 1, </w:t>
      </w:r>
      <w:r>
        <w:rPr/>
        <w:t>τχ</w:t>
      </w:r>
      <w:r>
        <w:rPr>
          <w:lang w:val="en-US"/>
        </w:rPr>
        <w:t xml:space="preserve">. 4, </w:t>
      </w:r>
      <w:r>
        <w:rPr/>
        <w:t>σ</w:t>
      </w:r>
      <w:r>
        <w:rPr>
          <w:lang w:val="en-US"/>
        </w:rPr>
        <w:t xml:space="preserve">. e0000024, </w:t>
      </w:r>
      <w:r>
        <w:rPr/>
        <w:t>Απριλίου</w:t>
      </w:r>
      <w:r>
        <w:rPr>
          <w:lang w:val="en-US"/>
        </w:rPr>
        <w:t xml:space="preserve"> 2022, doi: 10.1371/journal.pdig.0000024.</w:t>
      </w:r>
    </w:p>
    <w:p>
      <w:pPr>
        <w:pStyle w:val="Normal"/>
        <w:widowControl w:val="false"/>
        <w:spacing w:before="0" w:after="240"/>
        <w:jc w:val="both"/>
        <w:rPr>
          <w:lang w:val="en-US"/>
        </w:rPr>
      </w:pPr>
      <w:r>
        <w:rPr>
          <w:lang w:val="en-US"/>
        </w:rPr>
        <w:t>[197]</w:t>
        <w:tab/>
        <w:t>S. Abd Rahman, ‘A systems biology approach towards child obesity and obesity-related diseases: integration of clinical, genetic, hormonal and NMR metabonomic factors’, PhD Thesis, The University of Queensland, 2015. doi: 10.14264/uql.2015.734.</w:t>
      </w:r>
    </w:p>
    <w:p>
      <w:pPr>
        <w:pStyle w:val="Normal"/>
        <w:widowControl w:val="false"/>
        <w:spacing w:before="0" w:after="240"/>
        <w:jc w:val="both"/>
        <w:rPr>
          <w:lang w:val="en-US"/>
        </w:rPr>
      </w:pPr>
      <w:r>
        <w:rPr>
          <w:lang w:val="en-US"/>
        </w:rPr>
        <w:t>[198]</w:t>
        <w:tab/>
        <w:t xml:space="preserve">‘Systems biology approach identifies key genes and related pathways in childhood obesity’, </w:t>
      </w:r>
      <w:r>
        <w:rPr>
          <w:i/>
          <w:iCs/>
          <w:lang w:val="en-US"/>
        </w:rPr>
        <w:t>Gene</w:t>
      </w:r>
      <w:r>
        <w:rPr>
          <w:lang w:val="en-US"/>
        </w:rPr>
        <w:t xml:space="preserve">, </w:t>
      </w:r>
      <w:r>
        <w:rPr/>
        <w:t>τ</w:t>
      </w:r>
      <w:r>
        <w:rPr>
          <w:lang w:val="en-US"/>
        </w:rPr>
        <w:t xml:space="preserve">. 830, </w:t>
      </w:r>
      <w:r>
        <w:rPr/>
        <w:t>σ</w:t>
      </w:r>
      <w:r>
        <w:rPr>
          <w:lang w:val="en-US"/>
        </w:rPr>
        <w:t xml:space="preserve">. 146512, </w:t>
      </w:r>
      <w:r>
        <w:rPr/>
        <w:t>Ιουλίου</w:t>
      </w:r>
      <w:r>
        <w:rPr>
          <w:lang w:val="en-US"/>
        </w:rPr>
        <w:t xml:space="preserve"> 2022, doi: 10.1016/j.gene.2022.146512.</w:t>
      </w:r>
    </w:p>
    <w:p>
      <w:pPr>
        <w:pStyle w:val="Normal"/>
        <w:widowControl w:val="false"/>
        <w:spacing w:before="0" w:after="240"/>
        <w:jc w:val="both"/>
        <w:rPr>
          <w:lang w:val="en-US"/>
        </w:rPr>
      </w:pPr>
      <w:r>
        <w:rPr>
          <w:lang w:val="en-US"/>
        </w:rPr>
        <w:t>[199]</w:t>
        <w:tab/>
        <w:t xml:space="preserve">D. Crispim, F. M. Pellenz, </w:t>
      </w:r>
      <w:r>
        <w:rPr/>
        <w:t>και</w:t>
      </w:r>
      <w:r>
        <w:rPr>
          <w:lang w:val="en-US"/>
        </w:rPr>
        <w:t xml:space="preserve"> T. S. Assmann, ‘Identification of Key Genes and Pathways for Childhood Obesity Using System Biology Approach Based on Comprehensive Gene Information’, </w:t>
      </w:r>
      <w:r>
        <w:rPr>
          <w:i/>
          <w:iCs/>
          <w:lang w:val="en-US"/>
        </w:rPr>
        <w:t>J. Endocr. Soc.</w:t>
      </w:r>
      <w:r>
        <w:rPr>
          <w:lang w:val="en-US"/>
        </w:rPr>
        <w:t xml:space="preserve">, </w:t>
      </w:r>
      <w:r>
        <w:rPr/>
        <w:t>τ</w:t>
      </w:r>
      <w:r>
        <w:rPr>
          <w:lang w:val="en-US"/>
        </w:rPr>
        <w:t xml:space="preserve">. 5, </w:t>
      </w:r>
      <w:r>
        <w:rPr/>
        <w:t>τχ</w:t>
      </w:r>
      <w:r>
        <w:rPr>
          <w:lang w:val="en-US"/>
        </w:rPr>
        <w:t xml:space="preserve">. Supplement_1, </w:t>
      </w:r>
      <w:r>
        <w:rPr/>
        <w:t>σσ</w:t>
      </w:r>
      <w:r>
        <w:rPr>
          <w:lang w:val="en-US"/>
        </w:rPr>
        <w:t xml:space="preserve">. A49–A50, </w:t>
      </w:r>
      <w:r>
        <w:rPr/>
        <w:t>Μαΐου</w:t>
      </w:r>
      <w:r>
        <w:rPr>
          <w:lang w:val="en-US"/>
        </w:rPr>
        <w:t xml:space="preserve"> 2021, doi: 10.1210/jendso/bvab048.098.</w:t>
      </w:r>
    </w:p>
    <w:p>
      <w:pPr>
        <w:pStyle w:val="Normal"/>
        <w:widowControl w:val="false"/>
        <w:spacing w:before="0" w:after="240"/>
        <w:jc w:val="both"/>
        <w:rPr>
          <w:lang w:val="en-US"/>
        </w:rPr>
      </w:pPr>
      <w:r>
        <w:rPr>
          <w:lang w:val="en-US"/>
        </w:rPr>
        <w:t>[200]</w:t>
        <w:tab/>
        <w:t xml:space="preserve">F. Zhou, G. Tian, Y. Cui, S. He, </w:t>
      </w:r>
      <w:r>
        <w:rPr/>
        <w:t>και</w:t>
      </w:r>
      <w:r>
        <w:rPr>
          <w:lang w:val="en-US"/>
        </w:rPr>
        <w:t xml:space="preserve"> Y. Yan, ‘Development of genome-wide association studies on childhood obesity and its indicators: A scoping review and enrichment analysis’, </w:t>
      </w:r>
      <w:r>
        <w:rPr>
          <w:i/>
          <w:iCs/>
          <w:lang w:val="en-US"/>
        </w:rPr>
        <w:t>Pediatr. Obes.</w:t>
      </w:r>
      <w:r>
        <w:rPr>
          <w:lang w:val="en-US"/>
        </w:rPr>
        <w:t xml:space="preserve">, </w:t>
      </w:r>
      <w:r>
        <w:rPr/>
        <w:t>τ</w:t>
      </w:r>
      <w:r>
        <w:rPr>
          <w:lang w:val="en-US"/>
        </w:rPr>
        <w:t xml:space="preserve">. 18, </w:t>
      </w:r>
      <w:r>
        <w:rPr/>
        <w:t>τχ</w:t>
      </w:r>
      <w:r>
        <w:rPr>
          <w:lang w:val="en-US"/>
        </w:rPr>
        <w:t xml:space="preserve">. 12, </w:t>
      </w:r>
      <w:r>
        <w:rPr/>
        <w:t>σ</w:t>
      </w:r>
      <w:r>
        <w:rPr>
          <w:lang w:val="en-US"/>
        </w:rPr>
        <w:t xml:space="preserve">. e13077, </w:t>
      </w:r>
      <w:r>
        <w:rPr/>
        <w:t>Δεκεμβρίου</w:t>
      </w:r>
      <w:r>
        <w:rPr>
          <w:lang w:val="en-US"/>
        </w:rPr>
        <w:t xml:space="preserve"> 2023, doi: 10.1111/ijpo.13077.</w:t>
      </w:r>
    </w:p>
    <w:p>
      <w:pPr>
        <w:pStyle w:val="Normal"/>
        <w:widowControl w:val="false"/>
        <w:spacing w:before="0" w:after="240"/>
        <w:jc w:val="both"/>
        <w:rPr>
          <w:lang w:val="en-US"/>
        </w:rPr>
      </w:pPr>
      <w:r>
        <w:rPr>
          <w:lang w:val="en-US"/>
        </w:rPr>
        <w:t>[201]</w:t>
        <w:tab/>
        <w:t xml:space="preserve">M. D </w:t>
      </w:r>
      <w:r>
        <w:rPr>
          <w:i/>
          <w:iCs/>
        </w:rPr>
        <w:t>κ</w:t>
      </w:r>
      <w:r>
        <w:rPr>
          <w:i/>
          <w:iCs/>
          <w:lang w:val="en-US"/>
        </w:rPr>
        <w:t>.</w:t>
      </w:r>
      <w:r>
        <w:rPr>
          <w:i/>
          <w:iCs/>
        </w:rPr>
        <w:t>ά</w:t>
      </w:r>
      <w:r>
        <w:rPr>
          <w:i/>
          <w:iCs/>
          <w:lang w:val="en-US"/>
        </w:rPr>
        <w:t>.</w:t>
      </w:r>
      <w:r>
        <w:rPr>
          <w:lang w:val="en-US"/>
        </w:rPr>
        <w:t xml:space="preserve">, ‘Genome-wide association study for early-onset and morbid adult obesity identifies three new risk loci in European populations’, </w:t>
      </w:r>
      <w:r>
        <w:rPr>
          <w:i/>
          <w:iCs/>
          <w:lang w:val="en-US"/>
        </w:rPr>
        <w:t>Nat. Genet.</w:t>
      </w:r>
      <w:r>
        <w:rPr>
          <w:lang w:val="en-US"/>
        </w:rPr>
        <w:t xml:space="preserve">, </w:t>
      </w:r>
      <w:r>
        <w:rPr/>
        <w:t>τ</w:t>
      </w:r>
      <w:r>
        <w:rPr>
          <w:lang w:val="en-US"/>
        </w:rPr>
        <w:t xml:space="preserve">. 41, </w:t>
      </w:r>
      <w:r>
        <w:rPr/>
        <w:t>τχ</w:t>
      </w:r>
      <w:r>
        <w:rPr>
          <w:lang w:val="en-US"/>
        </w:rPr>
        <w:t xml:space="preserve">. 2, </w:t>
      </w:r>
      <w:r>
        <w:rPr/>
        <w:t>Φεβρουαρίου</w:t>
      </w:r>
      <w:r>
        <w:rPr>
          <w:lang w:val="en-US"/>
        </w:rPr>
        <w:t xml:space="preserve"> 2009, doi: 10.1038/ng.301.</w:t>
      </w:r>
    </w:p>
    <w:p>
      <w:pPr>
        <w:pStyle w:val="Normal"/>
        <w:widowControl w:val="false"/>
        <w:spacing w:before="0" w:after="240"/>
        <w:jc w:val="both"/>
        <w:rPr>
          <w:lang w:val="en-US"/>
        </w:rPr>
      </w:pPr>
      <w:r>
        <w:rPr>
          <w:lang w:val="en-US"/>
        </w:rPr>
        <w:t>[202]</w:t>
        <w:tab/>
        <w:t xml:space="preserve">M. Mg </w:t>
      </w:r>
      <w:r>
        <w:rPr>
          <w:i/>
          <w:iCs/>
        </w:rPr>
        <w:t>κ</w:t>
      </w:r>
      <w:r>
        <w:rPr>
          <w:i/>
          <w:iCs/>
          <w:lang w:val="en-US"/>
        </w:rPr>
        <w:t>.</w:t>
      </w:r>
      <w:r>
        <w:rPr>
          <w:i/>
          <w:iCs/>
        </w:rPr>
        <w:t>ά</w:t>
      </w:r>
      <w:r>
        <w:rPr>
          <w:i/>
          <w:iCs/>
          <w:lang w:val="en-US"/>
        </w:rPr>
        <w:t>.</w:t>
      </w:r>
      <w:r>
        <w:rPr>
          <w:lang w:val="en-US"/>
        </w:rPr>
        <w:t xml:space="preserve">, ‘Genome-wide scan for loci of adolescent obesity and their relationship with blood pressure’, </w:t>
      </w:r>
      <w:r>
        <w:rPr>
          <w:i/>
          <w:iCs/>
          <w:lang w:val="en-US"/>
        </w:rPr>
        <w:t>J. Clin. Endocrinol. Metab.</w:t>
      </w:r>
      <w:r>
        <w:rPr>
          <w:lang w:val="en-US"/>
        </w:rPr>
        <w:t xml:space="preserve">, </w:t>
      </w:r>
      <w:r>
        <w:rPr/>
        <w:t>τ</w:t>
      </w:r>
      <w:r>
        <w:rPr>
          <w:lang w:val="en-US"/>
        </w:rPr>
        <w:t xml:space="preserve">. 97, </w:t>
      </w:r>
      <w:r>
        <w:rPr/>
        <w:t>τχ</w:t>
      </w:r>
      <w:r>
        <w:rPr>
          <w:lang w:val="en-US"/>
        </w:rPr>
        <w:t xml:space="preserve">. 1, </w:t>
      </w:r>
      <w:r>
        <w:rPr/>
        <w:t>Ιανουαρίου</w:t>
      </w:r>
      <w:r>
        <w:rPr>
          <w:lang w:val="en-US"/>
        </w:rPr>
        <w:t xml:space="preserve"> 2012, doi: 10.1210/jc.2011-1801.</w:t>
      </w:r>
    </w:p>
    <w:p>
      <w:pPr>
        <w:pStyle w:val="Normal"/>
        <w:widowControl w:val="false"/>
        <w:spacing w:before="0" w:after="240"/>
        <w:jc w:val="both"/>
        <w:rPr>
          <w:lang w:val="en-US"/>
        </w:rPr>
      </w:pPr>
      <w:r>
        <w:rPr>
          <w:lang w:val="en-US"/>
        </w:rPr>
        <w:t>[203]</w:t>
        <w:tab/>
        <w:t xml:space="preserve">H. A </w:t>
      </w:r>
      <w:r>
        <w:rPr>
          <w:i/>
          <w:iCs/>
        </w:rPr>
        <w:t>κ</w:t>
      </w:r>
      <w:r>
        <w:rPr>
          <w:i/>
          <w:iCs/>
          <w:lang w:val="en-US"/>
        </w:rPr>
        <w:t>.</w:t>
      </w:r>
      <w:r>
        <w:rPr>
          <w:i/>
          <w:iCs/>
        </w:rPr>
        <w:t>ά</w:t>
      </w:r>
      <w:r>
        <w:rPr>
          <w:i/>
          <w:iCs/>
          <w:lang w:val="en-US"/>
        </w:rPr>
        <w:t>.</w:t>
      </w:r>
      <w:r>
        <w:rPr>
          <w:lang w:val="en-US"/>
        </w:rPr>
        <w:t xml:space="preserve">, ‘Opioid receptor mu 1 gene, fat intake and obesity in adolescence’, </w:t>
      </w:r>
      <w:r>
        <w:rPr>
          <w:i/>
          <w:iCs/>
          <w:lang w:val="en-US"/>
        </w:rPr>
        <w:t>Mol. Psychiatry</w:t>
      </w:r>
      <w:r>
        <w:rPr>
          <w:lang w:val="en-US"/>
        </w:rPr>
        <w:t xml:space="preserve">, </w:t>
      </w:r>
      <w:r>
        <w:rPr/>
        <w:t>τ</w:t>
      </w:r>
      <w:r>
        <w:rPr>
          <w:lang w:val="en-US"/>
        </w:rPr>
        <w:t xml:space="preserve">. 19, </w:t>
      </w:r>
      <w:r>
        <w:rPr/>
        <w:t>τχ</w:t>
      </w:r>
      <w:r>
        <w:rPr>
          <w:lang w:val="en-US"/>
        </w:rPr>
        <w:t xml:space="preserve">. 1, </w:t>
      </w:r>
      <w:r>
        <w:rPr/>
        <w:t>Ιανουαρίου</w:t>
      </w:r>
      <w:r>
        <w:rPr>
          <w:lang w:val="en-US"/>
        </w:rPr>
        <w:t xml:space="preserve"> 2014, doi: 10.1038/mp.2012.179.</w:t>
      </w:r>
    </w:p>
    <w:p>
      <w:pPr>
        <w:pStyle w:val="Normal"/>
        <w:widowControl w:val="false"/>
        <w:spacing w:before="0" w:after="240"/>
        <w:jc w:val="both"/>
        <w:rPr>
          <w:lang w:val="en-US"/>
        </w:rPr>
      </w:pPr>
      <w:r>
        <w:rPr>
          <w:lang w:val="en-US"/>
        </w:rPr>
        <w:t>[204]</w:t>
        <w:tab/>
        <w:t xml:space="preserve">B. Namjou </w:t>
      </w:r>
      <w:r>
        <w:rPr>
          <w:i/>
          <w:iCs/>
        </w:rPr>
        <w:t>κ</w:t>
      </w:r>
      <w:r>
        <w:rPr>
          <w:i/>
          <w:iCs/>
          <w:lang w:val="en-US"/>
        </w:rPr>
        <w:t>.</w:t>
      </w:r>
      <w:r>
        <w:rPr>
          <w:i/>
          <w:iCs/>
        </w:rPr>
        <w:t>ά</w:t>
      </w:r>
      <w:r>
        <w:rPr>
          <w:i/>
          <w:iCs/>
          <w:lang w:val="en-US"/>
        </w:rPr>
        <w:t>.</w:t>
      </w:r>
      <w:r>
        <w:rPr>
          <w:lang w:val="en-US"/>
        </w:rPr>
        <w:t xml:space="preserve">, ‘EMR-linked GWAS study: investigation of variation landscape of loci for body mass index in children’, </w:t>
      </w:r>
      <w:r>
        <w:rPr>
          <w:i/>
          <w:iCs/>
          <w:lang w:val="en-US"/>
        </w:rPr>
        <w:t>Front. Genet.</w:t>
      </w:r>
      <w:r>
        <w:rPr>
          <w:lang w:val="en-US"/>
        </w:rPr>
        <w:t xml:space="preserve">, </w:t>
      </w:r>
      <w:r>
        <w:rPr/>
        <w:t>τ</w:t>
      </w:r>
      <w:r>
        <w:rPr>
          <w:lang w:val="en-US"/>
        </w:rPr>
        <w:t xml:space="preserve">. 4, </w:t>
      </w:r>
      <w:r>
        <w:rPr/>
        <w:t>σ</w:t>
      </w:r>
      <w:r>
        <w:rPr>
          <w:lang w:val="en-US"/>
        </w:rPr>
        <w:t xml:space="preserve">. 68876, </w:t>
      </w:r>
      <w:r>
        <w:rPr/>
        <w:t>Δεκεμβρίου</w:t>
      </w:r>
      <w:r>
        <w:rPr>
          <w:lang w:val="en-US"/>
        </w:rPr>
        <w:t xml:space="preserve"> 2013, doi: 10.3389/fgene.2013.00268.</w:t>
      </w:r>
    </w:p>
    <w:p>
      <w:pPr>
        <w:pStyle w:val="Normal"/>
        <w:widowControl w:val="false"/>
        <w:spacing w:before="0" w:after="240"/>
        <w:jc w:val="both"/>
        <w:rPr>
          <w:lang w:val="en-US"/>
        </w:rPr>
      </w:pPr>
      <w:r>
        <w:rPr>
          <w:lang w:val="en-US"/>
        </w:rPr>
        <w:t>[205]</w:t>
        <w:tab/>
        <w:t xml:space="preserve">S. E </w:t>
      </w:r>
      <w:r>
        <w:rPr>
          <w:i/>
          <w:iCs/>
        </w:rPr>
        <w:t>κ</w:t>
      </w:r>
      <w:r>
        <w:rPr>
          <w:i/>
          <w:iCs/>
          <w:lang w:val="en-US"/>
        </w:rPr>
        <w:t>.</w:t>
      </w:r>
      <w:r>
        <w:rPr>
          <w:i/>
          <w:iCs/>
        </w:rPr>
        <w:t>ά</w:t>
      </w:r>
      <w:r>
        <w:rPr>
          <w:i/>
          <w:iCs/>
          <w:lang w:val="en-US"/>
        </w:rPr>
        <w:t>.</w:t>
      </w:r>
      <w:r>
        <w:rPr>
          <w:lang w:val="en-US"/>
        </w:rPr>
        <w:t xml:space="preserve">, ‘Genome-wide association study of height-adjusted BMI in childhood identifies functional variant in ADCY3’, </w:t>
      </w:r>
      <w:r>
        <w:rPr>
          <w:i/>
          <w:iCs/>
          <w:lang w:val="en-US"/>
        </w:rPr>
        <w:t>Obes. Silver Spring Md</w:t>
      </w:r>
      <w:r>
        <w:rPr>
          <w:lang w:val="en-US"/>
        </w:rPr>
        <w:t xml:space="preserve">, </w:t>
      </w:r>
      <w:r>
        <w:rPr/>
        <w:t>τ</w:t>
      </w:r>
      <w:r>
        <w:rPr>
          <w:lang w:val="en-US"/>
        </w:rPr>
        <w:t xml:space="preserve">. 22, </w:t>
      </w:r>
      <w:r>
        <w:rPr/>
        <w:t>τχ</w:t>
      </w:r>
      <w:r>
        <w:rPr>
          <w:lang w:val="en-US"/>
        </w:rPr>
        <w:t xml:space="preserve">. 10, </w:t>
      </w:r>
      <w:r>
        <w:rPr/>
        <w:t>Οκτωβρίου</w:t>
      </w:r>
      <w:r>
        <w:rPr>
          <w:lang w:val="en-US"/>
        </w:rPr>
        <w:t xml:space="preserve"> 2014, doi: 10.1002/oby.20840.</w:t>
      </w:r>
    </w:p>
    <w:p>
      <w:pPr>
        <w:pStyle w:val="Normal"/>
        <w:widowControl w:val="false"/>
        <w:spacing w:before="0" w:after="240"/>
        <w:jc w:val="both"/>
        <w:rPr>
          <w:lang w:val="en-US"/>
        </w:rPr>
      </w:pPr>
      <w:r>
        <w:rPr>
          <w:lang w:val="en-US"/>
        </w:rPr>
        <w:t>[206]</w:t>
        <w:tab/>
        <w:t xml:space="preserve">W. Nm </w:t>
      </w:r>
      <w:r>
        <w:rPr>
          <w:i/>
          <w:iCs/>
        </w:rPr>
        <w:t>κ</w:t>
      </w:r>
      <w:r>
        <w:rPr>
          <w:i/>
          <w:iCs/>
          <w:lang w:val="en-US"/>
        </w:rPr>
        <w:t>.</w:t>
      </w:r>
      <w:r>
        <w:rPr>
          <w:i/>
          <w:iCs/>
        </w:rPr>
        <w:t>ά</w:t>
      </w:r>
      <w:r>
        <w:rPr>
          <w:i/>
          <w:iCs/>
          <w:lang w:val="en-US"/>
        </w:rPr>
        <w:t>.</w:t>
      </w:r>
      <w:r>
        <w:rPr>
          <w:lang w:val="en-US"/>
        </w:rPr>
        <w:t xml:space="preserve">, ‘A genome-wide association study of body mass index across early life and childhood’, </w:t>
      </w:r>
      <w:r>
        <w:rPr>
          <w:i/>
          <w:iCs/>
          <w:lang w:val="en-US"/>
        </w:rPr>
        <w:t>Int. J. Epidemiol.</w:t>
      </w:r>
      <w:r>
        <w:rPr>
          <w:lang w:val="en-US"/>
        </w:rPr>
        <w:t xml:space="preserve">, </w:t>
      </w:r>
      <w:r>
        <w:rPr/>
        <w:t>τ</w:t>
      </w:r>
      <w:r>
        <w:rPr>
          <w:lang w:val="en-US"/>
        </w:rPr>
        <w:t xml:space="preserve">. 44, </w:t>
      </w:r>
      <w:r>
        <w:rPr/>
        <w:t>τχ</w:t>
      </w:r>
      <w:r>
        <w:rPr>
          <w:lang w:val="en-US"/>
        </w:rPr>
        <w:t xml:space="preserve">. 2, </w:t>
      </w:r>
      <w:r>
        <w:rPr/>
        <w:t>Απριλίου</w:t>
      </w:r>
      <w:r>
        <w:rPr>
          <w:lang w:val="en-US"/>
        </w:rPr>
        <w:t xml:space="preserve"> 2015, doi: 10.1093/ije/dyv077.</w:t>
      </w:r>
    </w:p>
    <w:p>
      <w:pPr>
        <w:pStyle w:val="Normal"/>
        <w:widowControl w:val="false"/>
        <w:spacing w:before="0" w:after="240"/>
        <w:jc w:val="both"/>
        <w:rPr>
          <w:lang w:val="en-US"/>
        </w:rPr>
      </w:pPr>
      <w:r>
        <w:rPr>
          <w:lang w:val="en-US"/>
        </w:rPr>
        <w:t>[207]</w:t>
        <w:tab/>
        <w:t xml:space="preserve">F. Jf </w:t>
      </w:r>
      <w:r>
        <w:rPr>
          <w:i/>
          <w:iCs/>
        </w:rPr>
        <w:t>κ</w:t>
      </w:r>
      <w:r>
        <w:rPr>
          <w:i/>
          <w:iCs/>
          <w:lang w:val="en-US"/>
        </w:rPr>
        <w:t>.</w:t>
      </w:r>
      <w:r>
        <w:rPr>
          <w:i/>
          <w:iCs/>
        </w:rPr>
        <w:t>ά</w:t>
      </w:r>
      <w:r>
        <w:rPr>
          <w:i/>
          <w:iCs/>
          <w:lang w:val="en-US"/>
        </w:rPr>
        <w:t>.</w:t>
      </w:r>
      <w:r>
        <w:rPr>
          <w:lang w:val="en-US"/>
        </w:rPr>
        <w:t xml:space="preserve">, ‘Genome-wide association analysis identifies three new susceptibility loci for childhood body mass index’, </w:t>
      </w:r>
      <w:r>
        <w:rPr>
          <w:i/>
          <w:iCs/>
          <w:lang w:val="en-US"/>
        </w:rPr>
        <w:t>Hum. Mol. Genet.</w:t>
      </w:r>
      <w:r>
        <w:rPr>
          <w:lang w:val="en-US"/>
        </w:rPr>
        <w:t xml:space="preserve">, </w:t>
      </w:r>
      <w:r>
        <w:rPr/>
        <w:t>τ</w:t>
      </w:r>
      <w:r>
        <w:rPr>
          <w:lang w:val="en-US"/>
        </w:rPr>
        <w:t xml:space="preserve">. 25, </w:t>
      </w:r>
      <w:r>
        <w:rPr/>
        <w:t>τχ</w:t>
      </w:r>
      <w:r>
        <w:rPr>
          <w:lang w:val="en-US"/>
        </w:rPr>
        <w:t xml:space="preserve">. 2, </w:t>
      </w:r>
      <w:r>
        <w:rPr/>
        <w:t>Ιανουαρίου</w:t>
      </w:r>
      <w:r>
        <w:rPr>
          <w:lang w:val="en-US"/>
        </w:rPr>
        <w:t xml:space="preserve"> 2016, doi: 10.1093/hmg/ddv472.</w:t>
      </w:r>
    </w:p>
    <w:p>
      <w:pPr>
        <w:pStyle w:val="Normal"/>
        <w:widowControl w:val="false"/>
        <w:spacing w:before="0" w:after="240"/>
        <w:jc w:val="both"/>
        <w:rPr>
          <w:lang w:val="en-US"/>
        </w:rPr>
      </w:pPr>
      <w:r>
        <w:rPr>
          <w:lang w:val="en-US"/>
        </w:rPr>
        <w:t>[208]</w:t>
        <w:tab/>
        <w:t xml:space="preserve">H. Jy </w:t>
      </w:r>
      <w:r>
        <w:rPr>
          <w:i/>
          <w:iCs/>
        </w:rPr>
        <w:t>κ</w:t>
      </w:r>
      <w:r>
        <w:rPr>
          <w:i/>
          <w:iCs/>
          <w:lang w:val="en-US"/>
        </w:rPr>
        <w:t>.</w:t>
      </w:r>
      <w:r>
        <w:rPr>
          <w:i/>
          <w:iCs/>
        </w:rPr>
        <w:t>ά</w:t>
      </w:r>
      <w:r>
        <w:rPr>
          <w:i/>
          <w:iCs/>
          <w:lang w:val="en-US"/>
        </w:rPr>
        <w:t>.</w:t>
      </w:r>
      <w:r>
        <w:rPr>
          <w:lang w:val="en-US"/>
        </w:rPr>
        <w:t xml:space="preserve">, ‘An integrative study identifies KCNC2 as a novel predisposing factor for childhood obesity and the risk of diabetes in the Korean population’, </w:t>
      </w:r>
      <w:r>
        <w:rPr>
          <w:i/>
          <w:iCs/>
          <w:lang w:val="en-US"/>
        </w:rPr>
        <w:t>Sci. Rep.</w:t>
      </w:r>
      <w:r>
        <w:rPr>
          <w:lang w:val="en-US"/>
        </w:rPr>
        <w:t xml:space="preserve">, </w:t>
      </w:r>
      <w:r>
        <w:rPr/>
        <w:t>τ</w:t>
      </w:r>
      <w:r>
        <w:rPr>
          <w:lang w:val="en-US"/>
        </w:rPr>
        <w:t xml:space="preserve">. 6, </w:t>
      </w:r>
      <w:r>
        <w:rPr/>
        <w:t>Σεπτεμβρίου</w:t>
      </w:r>
      <w:r>
        <w:rPr>
          <w:lang w:val="en-US"/>
        </w:rPr>
        <w:t xml:space="preserve"> 2016, doi: 10.1038/srep33043.</w:t>
      </w:r>
    </w:p>
    <w:p>
      <w:pPr>
        <w:pStyle w:val="Normal"/>
        <w:widowControl w:val="false"/>
        <w:spacing w:before="0" w:after="240"/>
        <w:jc w:val="both"/>
        <w:rPr>
          <w:lang w:val="en-US"/>
        </w:rPr>
      </w:pPr>
      <w:r>
        <w:rPr>
          <w:lang w:val="en-US"/>
        </w:rPr>
        <w:t>[209]</w:t>
        <w:tab/>
        <w:t xml:space="preserve">C. A. A </w:t>
      </w:r>
      <w:r>
        <w:rPr>
          <w:i/>
          <w:iCs/>
        </w:rPr>
        <w:t>κ</w:t>
      </w:r>
      <w:r>
        <w:rPr>
          <w:i/>
          <w:iCs/>
          <w:lang w:val="en-US"/>
        </w:rPr>
        <w:t>.</w:t>
      </w:r>
      <w:r>
        <w:rPr>
          <w:i/>
          <w:iCs/>
        </w:rPr>
        <w:t>ά</w:t>
      </w:r>
      <w:r>
        <w:rPr>
          <w:i/>
          <w:iCs/>
          <w:lang w:val="en-US"/>
        </w:rPr>
        <w:t>.</w:t>
      </w:r>
      <w:r>
        <w:rPr>
          <w:lang w:val="en-US"/>
        </w:rPr>
        <w:t xml:space="preserve">, ‘GWAS on longitudinal growth traits reveals different genetic factors influencing infant, child, and adult BMI’, </w:t>
      </w:r>
      <w:r>
        <w:rPr>
          <w:i/>
          <w:iCs/>
          <w:lang w:val="en-US"/>
        </w:rPr>
        <w:t>Sci. Adv.</w:t>
      </w:r>
      <w:r>
        <w:rPr>
          <w:lang w:val="en-US"/>
        </w:rPr>
        <w:t xml:space="preserve">, </w:t>
      </w:r>
      <w:r>
        <w:rPr/>
        <w:t>τ</w:t>
      </w:r>
      <w:r>
        <w:rPr>
          <w:lang w:val="en-US"/>
        </w:rPr>
        <w:t xml:space="preserve">. 5, </w:t>
      </w:r>
      <w:r>
        <w:rPr/>
        <w:t>τχ</w:t>
      </w:r>
      <w:r>
        <w:rPr>
          <w:lang w:val="en-US"/>
        </w:rPr>
        <w:t xml:space="preserve">. 9, </w:t>
      </w:r>
      <w:r>
        <w:rPr/>
        <w:t>Απριλίου</w:t>
      </w:r>
      <w:r>
        <w:rPr>
          <w:lang w:val="en-US"/>
        </w:rPr>
        <w:t xml:space="preserve"> 2019, doi: 10.1126/sciadv.aaw3095.</w:t>
      </w:r>
    </w:p>
    <w:p>
      <w:pPr>
        <w:pStyle w:val="Normal"/>
        <w:widowControl w:val="false"/>
        <w:spacing w:before="0" w:after="240"/>
        <w:jc w:val="both"/>
        <w:rPr>
          <w:lang w:val="en-US"/>
        </w:rPr>
      </w:pPr>
      <w:r>
        <w:rPr>
          <w:lang w:val="en-US"/>
        </w:rPr>
        <w:t>[210]</w:t>
        <w:tab/>
        <w:t xml:space="preserve">Ø. Helgeland </w:t>
      </w:r>
      <w:r>
        <w:rPr>
          <w:i/>
          <w:iCs/>
        </w:rPr>
        <w:t>κ</w:t>
      </w:r>
      <w:r>
        <w:rPr>
          <w:i/>
          <w:iCs/>
          <w:lang w:val="en-US"/>
        </w:rPr>
        <w:t>.</w:t>
      </w:r>
      <w:r>
        <w:rPr>
          <w:i/>
          <w:iCs/>
        </w:rPr>
        <w:t>ά</w:t>
      </w:r>
      <w:r>
        <w:rPr>
          <w:i/>
          <w:iCs/>
          <w:lang w:val="en-US"/>
        </w:rPr>
        <w:t>.</w:t>
      </w:r>
      <w:r>
        <w:rPr>
          <w:lang w:val="en-US"/>
        </w:rPr>
        <w:t xml:space="preserve">, ‘Genome-wide association study reveals dynamic role of genetic variation in infant and early childhood growth’, </w:t>
      </w:r>
      <w:r>
        <w:rPr>
          <w:i/>
          <w:iCs/>
          <w:lang w:val="en-US"/>
        </w:rPr>
        <w:t>Nat. Commun.</w:t>
      </w:r>
      <w:r>
        <w:rPr>
          <w:lang w:val="en-US"/>
        </w:rPr>
        <w:t xml:space="preserve">, </w:t>
      </w:r>
      <w:r>
        <w:rPr/>
        <w:t>τ</w:t>
      </w:r>
      <w:r>
        <w:rPr>
          <w:lang w:val="en-US"/>
        </w:rPr>
        <w:t xml:space="preserve">. 10, </w:t>
      </w:r>
      <w:r>
        <w:rPr/>
        <w:t>τχ</w:t>
      </w:r>
      <w:r>
        <w:rPr>
          <w:lang w:val="en-US"/>
        </w:rPr>
        <w:t xml:space="preserve">. 1, Art. </w:t>
      </w:r>
      <w:r>
        <w:rPr/>
        <w:t>τχ</w:t>
      </w:r>
      <w:r>
        <w:rPr>
          <w:lang w:val="en-US"/>
        </w:rPr>
        <w:t xml:space="preserve">. 1, </w:t>
      </w:r>
      <w:r>
        <w:rPr/>
        <w:t>Οκτωβρίου</w:t>
      </w:r>
      <w:r>
        <w:rPr>
          <w:lang w:val="en-US"/>
        </w:rPr>
        <w:t xml:space="preserve"> 2019, doi: 10.1038/s41467-019-12308-0.</w:t>
      </w:r>
    </w:p>
    <w:p>
      <w:pPr>
        <w:pStyle w:val="Normal"/>
        <w:widowControl w:val="false"/>
        <w:spacing w:before="0" w:after="240"/>
        <w:jc w:val="both"/>
        <w:rPr>
          <w:lang w:val="en-US"/>
        </w:rPr>
      </w:pPr>
      <w:r>
        <w:rPr>
          <w:lang w:val="en-US"/>
        </w:rPr>
        <w:t>[211]</w:t>
        <w:tab/>
        <w:t xml:space="preserve">C.-U. P </w:t>
      </w:r>
      <w:r>
        <w:rPr>
          <w:i/>
          <w:iCs/>
        </w:rPr>
        <w:t>κ</w:t>
      </w:r>
      <w:r>
        <w:rPr>
          <w:i/>
          <w:iCs/>
          <w:lang w:val="en-US"/>
        </w:rPr>
        <w:t>.</w:t>
      </w:r>
      <w:r>
        <w:rPr>
          <w:i/>
          <w:iCs/>
        </w:rPr>
        <w:t>ά</w:t>
      </w:r>
      <w:r>
        <w:rPr>
          <w:i/>
          <w:iCs/>
          <w:lang w:val="en-US"/>
        </w:rPr>
        <w:t>.</w:t>
      </w:r>
      <w:r>
        <w:rPr>
          <w:lang w:val="en-US"/>
        </w:rPr>
        <w:t xml:space="preserve">, ‘Genome-Wide Association Study of Body Mass Index and Body Fat in Mexican-Mestizo Children’, </w:t>
      </w:r>
      <w:r>
        <w:rPr>
          <w:i/>
          <w:iCs/>
          <w:lang w:val="en-US"/>
        </w:rPr>
        <w:t>Genes</w:t>
      </w:r>
      <w:r>
        <w:rPr>
          <w:lang w:val="en-US"/>
        </w:rPr>
        <w:t xml:space="preserve">, </w:t>
      </w:r>
      <w:r>
        <w:rPr/>
        <w:t>τ</w:t>
      </w:r>
      <w:r>
        <w:rPr>
          <w:lang w:val="en-US"/>
        </w:rPr>
        <w:t xml:space="preserve">. 10, </w:t>
      </w:r>
      <w:r>
        <w:rPr/>
        <w:t>τχ</w:t>
      </w:r>
      <w:r>
        <w:rPr>
          <w:lang w:val="en-US"/>
        </w:rPr>
        <w:t xml:space="preserve">. 11, </w:t>
      </w:r>
      <w:r>
        <w:rPr/>
        <w:t>Νοεμβρίου</w:t>
      </w:r>
      <w:r>
        <w:rPr>
          <w:lang w:val="en-US"/>
        </w:rPr>
        <w:t xml:space="preserve"> 2019, doi: 10.3390/genes10110945.</w:t>
      </w:r>
    </w:p>
    <w:p>
      <w:pPr>
        <w:pStyle w:val="Normal"/>
        <w:widowControl w:val="false"/>
        <w:spacing w:before="0" w:after="240"/>
        <w:jc w:val="both"/>
        <w:rPr>
          <w:lang w:val="en-US"/>
        </w:rPr>
      </w:pPr>
      <w:r>
        <w:rPr>
          <w:lang w:val="en-US"/>
        </w:rPr>
        <w:t>[212]</w:t>
        <w:tab/>
        <w:t xml:space="preserve">V. S </w:t>
      </w:r>
      <w:r>
        <w:rPr>
          <w:i/>
          <w:iCs/>
        </w:rPr>
        <w:t>κ</w:t>
      </w:r>
      <w:r>
        <w:rPr>
          <w:i/>
          <w:iCs/>
          <w:lang w:val="en-US"/>
        </w:rPr>
        <w:t>.</w:t>
      </w:r>
      <w:r>
        <w:rPr>
          <w:i/>
          <w:iCs/>
        </w:rPr>
        <w:t>ά</w:t>
      </w:r>
      <w:r>
        <w:rPr>
          <w:i/>
          <w:iCs/>
          <w:lang w:val="en-US"/>
        </w:rPr>
        <w:t>.</w:t>
      </w:r>
      <w:r>
        <w:rPr>
          <w:lang w:val="en-US"/>
        </w:rPr>
        <w:t xml:space="preserve">, ‘Novel loci for childhood body mass index and shared heritability with adult cardiometabolic traits’, </w:t>
      </w:r>
      <w:r>
        <w:rPr>
          <w:i/>
          <w:iCs/>
          <w:lang w:val="en-US"/>
        </w:rPr>
        <w:t>PLoS Genet.</w:t>
      </w:r>
      <w:r>
        <w:rPr>
          <w:lang w:val="en-US"/>
        </w:rPr>
        <w:t xml:space="preserve">, </w:t>
      </w:r>
      <w:r>
        <w:rPr/>
        <w:t>τ</w:t>
      </w:r>
      <w:r>
        <w:rPr>
          <w:lang w:val="en-US"/>
        </w:rPr>
        <w:t xml:space="preserve">. 16, </w:t>
      </w:r>
      <w:r>
        <w:rPr/>
        <w:t>τχ</w:t>
      </w:r>
      <w:r>
        <w:rPr>
          <w:lang w:val="en-US"/>
        </w:rPr>
        <w:t xml:space="preserve">. 10, </w:t>
      </w:r>
      <w:r>
        <w:rPr/>
        <w:t>Δεκεμβρίου</w:t>
      </w:r>
      <w:r>
        <w:rPr>
          <w:lang w:val="en-US"/>
        </w:rPr>
        <w:t xml:space="preserve"> 2020, doi: 10.1371/journal.pgen.1008718.</w:t>
      </w:r>
    </w:p>
    <w:p>
      <w:pPr>
        <w:pStyle w:val="Normal"/>
        <w:widowControl w:val="false"/>
        <w:spacing w:before="0" w:after="240"/>
        <w:jc w:val="both"/>
        <w:rPr>
          <w:lang w:val="en-US"/>
        </w:rPr>
      </w:pPr>
      <w:r>
        <w:rPr>
          <w:lang w:val="en-US"/>
        </w:rPr>
        <w:t>[213]</w:t>
        <w:tab/>
        <w:t xml:space="preserve">S. Lee </w:t>
      </w:r>
      <w:r>
        <w:rPr>
          <w:i/>
          <w:iCs/>
        </w:rPr>
        <w:t>κ</w:t>
      </w:r>
      <w:r>
        <w:rPr>
          <w:i/>
          <w:iCs/>
          <w:lang w:val="en-US"/>
        </w:rPr>
        <w:t>.</w:t>
      </w:r>
      <w:r>
        <w:rPr>
          <w:i/>
          <w:iCs/>
        </w:rPr>
        <w:t>ά</w:t>
      </w:r>
      <w:r>
        <w:rPr>
          <w:i/>
          <w:iCs/>
          <w:lang w:val="en-US"/>
        </w:rPr>
        <w:t>.</w:t>
      </w:r>
      <w:r>
        <w:rPr>
          <w:lang w:val="en-US"/>
        </w:rPr>
        <w:t xml:space="preserve">, ‘Novel recessive locus for body mass index in childhood asthma’, </w:t>
      </w:r>
      <w:r>
        <w:rPr>
          <w:i/>
          <w:iCs/>
          <w:lang w:val="en-US"/>
        </w:rPr>
        <w:t>Thorax</w:t>
      </w:r>
      <w:r>
        <w:rPr>
          <w:lang w:val="en-US"/>
        </w:rPr>
        <w:t xml:space="preserve">, </w:t>
      </w:r>
      <w:r>
        <w:rPr/>
        <w:t>τ</w:t>
      </w:r>
      <w:r>
        <w:rPr>
          <w:lang w:val="en-US"/>
        </w:rPr>
        <w:t xml:space="preserve">. 76, </w:t>
      </w:r>
      <w:r>
        <w:rPr/>
        <w:t>τχ</w:t>
      </w:r>
      <w:r>
        <w:rPr>
          <w:lang w:val="en-US"/>
        </w:rPr>
        <w:t xml:space="preserve">. 12, </w:t>
      </w:r>
      <w:r>
        <w:rPr/>
        <w:t>σσ</w:t>
      </w:r>
      <w:r>
        <w:rPr>
          <w:lang w:val="en-US"/>
        </w:rPr>
        <w:t xml:space="preserve">. 1227–1230, </w:t>
      </w:r>
      <w:r>
        <w:rPr/>
        <w:t>Δεκεμβρίου</w:t>
      </w:r>
      <w:r>
        <w:rPr>
          <w:lang w:val="en-US"/>
        </w:rPr>
        <w:t xml:space="preserve"> 2021, doi: 10.1136/thoraxjnl-2020-215742.</w:t>
      </w:r>
    </w:p>
    <w:p>
      <w:pPr>
        <w:pStyle w:val="Normal"/>
        <w:widowControl w:val="false"/>
        <w:spacing w:before="0" w:after="240"/>
        <w:jc w:val="both"/>
        <w:rPr>
          <w:lang w:val="en-US"/>
        </w:rPr>
      </w:pPr>
      <w:r>
        <w:rPr>
          <w:lang w:val="en-US"/>
        </w:rPr>
        <w:t>[214]</w:t>
        <w:tab/>
        <w:t xml:space="preserve">P. Z </w:t>
      </w:r>
      <w:r>
        <w:rPr>
          <w:i/>
          <w:iCs/>
        </w:rPr>
        <w:t>κ</w:t>
      </w:r>
      <w:r>
        <w:rPr>
          <w:i/>
          <w:iCs/>
          <w:lang w:val="en-US"/>
        </w:rPr>
        <w:t>.</w:t>
      </w:r>
      <w:r>
        <w:rPr>
          <w:i/>
          <w:iCs/>
        </w:rPr>
        <w:t>ά</w:t>
      </w:r>
      <w:r>
        <w:rPr>
          <w:i/>
          <w:iCs/>
          <w:lang w:val="en-US"/>
        </w:rPr>
        <w:t>.</w:t>
      </w:r>
      <w:r>
        <w:rPr>
          <w:lang w:val="en-US"/>
        </w:rPr>
        <w:t xml:space="preserve">, ‘Genes, maternal smoking, and the offspring brain and body during adolescence: design of the Saguenay Youth Study’, </w:t>
      </w:r>
      <w:r>
        <w:rPr>
          <w:i/>
          <w:iCs/>
          <w:lang w:val="en-US"/>
        </w:rPr>
        <w:t>Hum. Brain Mapp.</w:t>
      </w:r>
      <w:r>
        <w:rPr>
          <w:lang w:val="en-US"/>
        </w:rPr>
        <w:t xml:space="preserve">, </w:t>
      </w:r>
      <w:r>
        <w:rPr/>
        <w:t>τ</w:t>
      </w:r>
      <w:r>
        <w:rPr>
          <w:lang w:val="en-US"/>
        </w:rPr>
        <w:t xml:space="preserve">. 28, </w:t>
      </w:r>
      <w:r>
        <w:rPr/>
        <w:t>τχ</w:t>
      </w:r>
      <w:r>
        <w:rPr>
          <w:lang w:val="en-US"/>
        </w:rPr>
        <w:t xml:space="preserve">. 6, </w:t>
      </w:r>
      <w:r>
        <w:rPr/>
        <w:t>Ιουνίου</w:t>
      </w:r>
      <w:r>
        <w:rPr>
          <w:lang w:val="en-US"/>
        </w:rPr>
        <w:t xml:space="preserve"> 2007, doi: 10.1002/hbm.20402.</w:t>
      </w:r>
    </w:p>
    <w:p>
      <w:pPr>
        <w:pStyle w:val="Normal"/>
        <w:widowControl w:val="false"/>
        <w:spacing w:before="0" w:after="240"/>
        <w:jc w:val="both"/>
        <w:rPr>
          <w:lang w:val="en-US"/>
        </w:rPr>
      </w:pPr>
      <w:r>
        <w:rPr>
          <w:lang w:val="en-US"/>
        </w:rPr>
        <w:t>[215]</w:t>
        <w:tab/>
        <w:t xml:space="preserve">A. G. Comuzzie </w:t>
      </w:r>
      <w:r>
        <w:rPr>
          <w:i/>
          <w:iCs/>
        </w:rPr>
        <w:t>κ</w:t>
      </w:r>
      <w:r>
        <w:rPr>
          <w:i/>
          <w:iCs/>
          <w:lang w:val="en-US"/>
        </w:rPr>
        <w:t>.</w:t>
      </w:r>
      <w:r>
        <w:rPr>
          <w:i/>
          <w:iCs/>
        </w:rPr>
        <w:t>ά</w:t>
      </w:r>
      <w:r>
        <w:rPr>
          <w:i/>
          <w:iCs/>
          <w:lang w:val="en-US"/>
        </w:rPr>
        <w:t>.</w:t>
      </w:r>
      <w:r>
        <w:rPr>
          <w:lang w:val="en-US"/>
        </w:rPr>
        <w:t xml:space="preserve">, ‘Novel Genetic Loci Identified for the Pathophysiology of Childhood Obesity in the Hispanic Population’, </w:t>
      </w:r>
      <w:r>
        <w:rPr>
          <w:i/>
          <w:iCs/>
          <w:lang w:val="en-US"/>
        </w:rPr>
        <w:t>PLOS ONE</w:t>
      </w:r>
      <w:r>
        <w:rPr>
          <w:lang w:val="en-US"/>
        </w:rPr>
        <w:t xml:space="preserve">, </w:t>
      </w:r>
      <w:r>
        <w:rPr/>
        <w:t>τ</w:t>
      </w:r>
      <w:r>
        <w:rPr>
          <w:lang w:val="en-US"/>
        </w:rPr>
        <w:t xml:space="preserve">. 7, </w:t>
      </w:r>
      <w:r>
        <w:rPr/>
        <w:t>τχ</w:t>
      </w:r>
      <w:r>
        <w:rPr>
          <w:lang w:val="en-US"/>
        </w:rPr>
        <w:t xml:space="preserve">. 12, </w:t>
      </w:r>
      <w:r>
        <w:rPr/>
        <w:t>σ</w:t>
      </w:r>
      <w:r>
        <w:rPr>
          <w:lang w:val="en-US"/>
        </w:rPr>
        <w:t xml:space="preserve">. e51954, </w:t>
      </w:r>
      <w:r>
        <w:rPr/>
        <w:t>Νοεμβρίου</w:t>
      </w:r>
      <w:r>
        <w:rPr>
          <w:lang w:val="en-US"/>
        </w:rPr>
        <w:t xml:space="preserve"> 2012, doi: 10.1371/journal.pone.0051954.</w:t>
      </w:r>
    </w:p>
    <w:p>
      <w:pPr>
        <w:pStyle w:val="Normal"/>
        <w:widowControl w:val="false"/>
        <w:spacing w:before="0" w:after="240"/>
        <w:jc w:val="both"/>
        <w:rPr>
          <w:lang w:val="en-US"/>
        </w:rPr>
      </w:pPr>
      <w:r>
        <w:rPr>
          <w:lang w:val="en-US"/>
        </w:rPr>
        <w:t>[216]</w:t>
        <w:tab/>
        <w:t xml:space="preserve">E. T. Warner </w:t>
      </w:r>
      <w:r>
        <w:rPr>
          <w:i/>
          <w:iCs/>
        </w:rPr>
        <w:t>κ</w:t>
      </w:r>
      <w:r>
        <w:rPr>
          <w:i/>
          <w:iCs/>
          <w:lang w:val="en-US"/>
        </w:rPr>
        <w:t>.</w:t>
      </w:r>
      <w:r>
        <w:rPr>
          <w:i/>
          <w:iCs/>
        </w:rPr>
        <w:t>ά</w:t>
      </w:r>
      <w:r>
        <w:rPr>
          <w:i/>
          <w:iCs/>
          <w:lang w:val="en-US"/>
        </w:rPr>
        <w:t>.</w:t>
      </w:r>
      <w:r>
        <w:rPr>
          <w:lang w:val="en-US"/>
        </w:rPr>
        <w:t xml:space="preserve">, ‘A Genome-Wide Association Study of Childhood Body Fatness’, </w:t>
      </w:r>
      <w:r>
        <w:rPr>
          <w:i/>
          <w:iCs/>
          <w:lang w:val="en-US"/>
        </w:rPr>
        <w:t>Obes. Silver Spring Md</w:t>
      </w:r>
      <w:r>
        <w:rPr>
          <w:lang w:val="en-US"/>
        </w:rPr>
        <w:t xml:space="preserve">, </w:t>
      </w:r>
      <w:r>
        <w:rPr/>
        <w:t>τ</w:t>
      </w:r>
      <w:r>
        <w:rPr>
          <w:lang w:val="en-US"/>
        </w:rPr>
        <w:t xml:space="preserve">. 29, </w:t>
      </w:r>
      <w:r>
        <w:rPr/>
        <w:t>τχ</w:t>
      </w:r>
      <w:r>
        <w:rPr>
          <w:lang w:val="en-US"/>
        </w:rPr>
        <w:t xml:space="preserve">. 2, </w:t>
      </w:r>
      <w:r>
        <w:rPr/>
        <w:t>σ</w:t>
      </w:r>
      <w:r>
        <w:rPr>
          <w:lang w:val="en-US"/>
        </w:rPr>
        <w:t xml:space="preserve">. 446, </w:t>
      </w:r>
      <w:r>
        <w:rPr/>
        <w:t>Φεβρουαρίου</w:t>
      </w:r>
      <w:r>
        <w:rPr>
          <w:lang w:val="en-US"/>
        </w:rPr>
        <w:t xml:space="preserve"> 2021, doi: 10.1002/oby.23070.</w:t>
      </w:r>
    </w:p>
    <w:p>
      <w:pPr>
        <w:pStyle w:val="Normal"/>
        <w:widowControl w:val="false"/>
        <w:spacing w:before="0" w:after="240"/>
        <w:jc w:val="both"/>
        <w:rPr>
          <w:lang w:val="en-US"/>
        </w:rPr>
      </w:pPr>
      <w:r>
        <w:rPr>
          <w:lang w:val="en-US"/>
        </w:rPr>
        <w:t>[217]</w:t>
        <w:tab/>
        <w:t xml:space="preserve">H. A </w:t>
      </w:r>
      <w:r>
        <w:rPr>
          <w:i/>
          <w:iCs/>
        </w:rPr>
        <w:t>κ</w:t>
      </w:r>
      <w:r>
        <w:rPr>
          <w:i/>
          <w:iCs/>
          <w:lang w:val="en-US"/>
        </w:rPr>
        <w:t>.</w:t>
      </w:r>
      <w:r>
        <w:rPr>
          <w:i/>
          <w:iCs/>
        </w:rPr>
        <w:t>ά</w:t>
      </w:r>
      <w:r>
        <w:rPr>
          <w:i/>
          <w:iCs/>
          <w:lang w:val="en-US"/>
        </w:rPr>
        <w:t>.</w:t>
      </w:r>
      <w:r>
        <w:rPr>
          <w:lang w:val="en-US"/>
        </w:rPr>
        <w:t xml:space="preserve">, ‘Genome wide association (GWA) study for early onset extreme obesity supports the role of fat mass and obesity associated gene (FTO) variants’, </w:t>
      </w:r>
      <w:r>
        <w:rPr>
          <w:i/>
          <w:iCs/>
          <w:lang w:val="en-US"/>
        </w:rPr>
        <w:t>PloS One</w:t>
      </w:r>
      <w:r>
        <w:rPr>
          <w:lang w:val="en-US"/>
        </w:rPr>
        <w:t xml:space="preserve">, </w:t>
      </w:r>
      <w:r>
        <w:rPr/>
        <w:t>τ</w:t>
      </w:r>
      <w:r>
        <w:rPr>
          <w:lang w:val="en-US"/>
        </w:rPr>
        <w:t xml:space="preserve">. 2, </w:t>
      </w:r>
      <w:r>
        <w:rPr/>
        <w:t>τχ</w:t>
      </w:r>
      <w:r>
        <w:rPr>
          <w:lang w:val="en-US"/>
        </w:rPr>
        <w:t xml:space="preserve">. 12, </w:t>
      </w:r>
      <w:r>
        <w:rPr/>
        <w:t>Δεκεμβρίου</w:t>
      </w:r>
      <w:r>
        <w:rPr>
          <w:lang w:val="en-US"/>
        </w:rPr>
        <w:t xml:space="preserve"> 2007, doi: 10.1371/journal.pone.0001361.</w:t>
      </w:r>
    </w:p>
    <w:p>
      <w:pPr>
        <w:pStyle w:val="Normal"/>
        <w:widowControl w:val="false"/>
        <w:spacing w:before="0" w:after="240"/>
        <w:jc w:val="both"/>
        <w:rPr>
          <w:lang w:val="en-US"/>
        </w:rPr>
      </w:pPr>
      <w:r>
        <w:rPr>
          <w:lang w:val="en-US"/>
        </w:rPr>
        <w:t>[218]</w:t>
        <w:tab/>
        <w:t xml:space="preserve">S. A </w:t>
      </w:r>
      <w:r>
        <w:rPr>
          <w:i/>
          <w:iCs/>
        </w:rPr>
        <w:t>κ</w:t>
      </w:r>
      <w:r>
        <w:rPr>
          <w:i/>
          <w:iCs/>
          <w:lang w:val="en-US"/>
        </w:rPr>
        <w:t>.</w:t>
      </w:r>
      <w:r>
        <w:rPr>
          <w:i/>
          <w:iCs/>
        </w:rPr>
        <w:t>ά</w:t>
      </w:r>
      <w:r>
        <w:rPr>
          <w:i/>
          <w:iCs/>
          <w:lang w:val="en-US"/>
        </w:rPr>
        <w:t>.</w:t>
      </w:r>
      <w:r>
        <w:rPr>
          <w:lang w:val="en-US"/>
        </w:rPr>
        <w:t xml:space="preserve">, ‘Two new Loci for body-weight regulation identified in a joint analysis of genome-wide association studies for early-onset extreme obesity in French and german study groups’, </w:t>
      </w:r>
      <w:r>
        <w:rPr>
          <w:i/>
          <w:iCs/>
          <w:lang w:val="en-US"/>
        </w:rPr>
        <w:t>PLoS Genet.</w:t>
      </w:r>
      <w:r>
        <w:rPr>
          <w:lang w:val="en-US"/>
        </w:rPr>
        <w:t xml:space="preserve">, </w:t>
      </w:r>
      <w:r>
        <w:rPr/>
        <w:t>τ</w:t>
      </w:r>
      <w:r>
        <w:rPr>
          <w:lang w:val="en-US"/>
        </w:rPr>
        <w:t xml:space="preserve">. 6, </w:t>
      </w:r>
      <w:r>
        <w:rPr/>
        <w:t>τχ</w:t>
      </w:r>
      <w:r>
        <w:rPr>
          <w:lang w:val="en-US"/>
        </w:rPr>
        <w:t xml:space="preserve">. 4, </w:t>
      </w:r>
      <w:r>
        <w:rPr/>
        <w:t>Απριλίου</w:t>
      </w:r>
      <w:r>
        <w:rPr>
          <w:lang w:val="en-US"/>
        </w:rPr>
        <w:t xml:space="preserve"> 2010, doi: 10.1371/journal.pgen.1000916.</w:t>
      </w:r>
    </w:p>
    <w:p>
      <w:pPr>
        <w:pStyle w:val="Normal"/>
        <w:widowControl w:val="false"/>
        <w:spacing w:before="0" w:after="240"/>
        <w:jc w:val="both"/>
        <w:rPr>
          <w:lang w:val="en-US"/>
        </w:rPr>
      </w:pPr>
      <w:r>
        <w:rPr>
          <w:lang w:val="en-US"/>
        </w:rPr>
        <w:t>[219]</w:t>
        <w:tab/>
        <w:t xml:space="preserve">B. Jp </w:t>
      </w:r>
      <w:r>
        <w:rPr>
          <w:i/>
          <w:iCs/>
        </w:rPr>
        <w:t>κ</w:t>
      </w:r>
      <w:r>
        <w:rPr>
          <w:i/>
          <w:iCs/>
          <w:lang w:val="en-US"/>
        </w:rPr>
        <w:t>.</w:t>
      </w:r>
      <w:r>
        <w:rPr>
          <w:i/>
          <w:iCs/>
        </w:rPr>
        <w:t>ά</w:t>
      </w:r>
      <w:r>
        <w:rPr>
          <w:i/>
          <w:iCs/>
          <w:lang w:val="en-US"/>
        </w:rPr>
        <w:t>.</w:t>
      </w:r>
      <w:r>
        <w:rPr>
          <w:lang w:val="en-US"/>
        </w:rPr>
        <w:t xml:space="preserve">, ‘A genome-wide association meta-analysis identifies new childhood obesity loci’, </w:t>
      </w:r>
      <w:r>
        <w:rPr>
          <w:i/>
          <w:iCs/>
          <w:lang w:val="en-US"/>
        </w:rPr>
        <w:t>Nat. Genet.</w:t>
      </w:r>
      <w:r>
        <w:rPr>
          <w:lang w:val="en-US"/>
        </w:rPr>
        <w:t xml:space="preserve">, </w:t>
      </w:r>
      <w:r>
        <w:rPr/>
        <w:t>τ</w:t>
      </w:r>
      <w:r>
        <w:rPr>
          <w:lang w:val="en-US"/>
        </w:rPr>
        <w:t xml:space="preserve">. 44, </w:t>
      </w:r>
      <w:r>
        <w:rPr/>
        <w:t>τχ</w:t>
      </w:r>
      <w:r>
        <w:rPr>
          <w:lang w:val="en-US"/>
        </w:rPr>
        <w:t xml:space="preserve">. 5, </w:t>
      </w:r>
      <w:r>
        <w:rPr/>
        <w:t>Δεκεμβρίου</w:t>
      </w:r>
      <w:r>
        <w:rPr>
          <w:lang w:val="en-US"/>
        </w:rPr>
        <w:t xml:space="preserve"> 2012, doi: 10.1038/ng.2247.</w:t>
      </w:r>
    </w:p>
    <w:p>
      <w:pPr>
        <w:pStyle w:val="Normal"/>
        <w:widowControl w:val="false"/>
        <w:spacing w:before="0" w:after="240"/>
        <w:jc w:val="both"/>
        <w:rPr>
          <w:lang w:val="en-US"/>
        </w:rPr>
      </w:pPr>
      <w:r>
        <w:rPr>
          <w:lang w:val="en-US"/>
        </w:rPr>
        <w:t>[220]</w:t>
        <w:tab/>
        <w:t xml:space="preserve">W. E </w:t>
      </w:r>
      <w:r>
        <w:rPr>
          <w:i/>
          <w:iCs/>
        </w:rPr>
        <w:t>κ</w:t>
      </w:r>
      <w:r>
        <w:rPr>
          <w:i/>
          <w:iCs/>
          <w:lang w:val="en-US"/>
        </w:rPr>
        <w:t>.</w:t>
      </w:r>
      <w:r>
        <w:rPr>
          <w:i/>
          <w:iCs/>
        </w:rPr>
        <w:t>ά</w:t>
      </w:r>
      <w:r>
        <w:rPr>
          <w:i/>
          <w:iCs/>
          <w:lang w:val="en-US"/>
        </w:rPr>
        <w:t>.</w:t>
      </w:r>
      <w:r>
        <w:rPr>
          <w:lang w:val="en-US"/>
        </w:rPr>
        <w:t xml:space="preserve">, ‘Genome-wide SNP and CNV analysis identifies common and low-frequency variants associated with severe early-onset obesity’, </w:t>
      </w:r>
      <w:r>
        <w:rPr>
          <w:i/>
          <w:iCs/>
          <w:lang w:val="en-US"/>
        </w:rPr>
        <w:t>Nat. Genet.</w:t>
      </w:r>
      <w:r>
        <w:rPr>
          <w:lang w:val="en-US"/>
        </w:rPr>
        <w:t xml:space="preserve">, </w:t>
      </w:r>
      <w:r>
        <w:rPr/>
        <w:t>τ</w:t>
      </w:r>
      <w:r>
        <w:rPr>
          <w:lang w:val="en-US"/>
        </w:rPr>
        <w:t xml:space="preserve">. 45, </w:t>
      </w:r>
      <w:r>
        <w:rPr/>
        <w:t>τχ</w:t>
      </w:r>
      <w:r>
        <w:rPr>
          <w:lang w:val="en-US"/>
        </w:rPr>
        <w:t xml:space="preserve">. 5, </w:t>
      </w:r>
      <w:r>
        <w:rPr/>
        <w:t>Δεκεμβρίου</w:t>
      </w:r>
      <w:r>
        <w:rPr>
          <w:lang w:val="en-US"/>
        </w:rPr>
        <w:t xml:space="preserve"> 2013, doi: 10.1038/ng.2607.</w:t>
      </w:r>
    </w:p>
    <w:p>
      <w:pPr>
        <w:pStyle w:val="Normal"/>
        <w:widowControl w:val="false"/>
        <w:spacing w:before="0" w:after="240"/>
        <w:jc w:val="both"/>
        <w:rPr>
          <w:lang w:val="en-US"/>
        </w:rPr>
      </w:pPr>
      <w:r>
        <w:rPr>
          <w:lang w:val="en-US"/>
        </w:rPr>
        <w:t>[221]</w:t>
        <w:tab/>
        <w:t xml:space="preserve">B. Jp </w:t>
      </w:r>
      <w:r>
        <w:rPr>
          <w:i/>
          <w:iCs/>
        </w:rPr>
        <w:t>κ</w:t>
      </w:r>
      <w:r>
        <w:rPr>
          <w:i/>
          <w:iCs/>
          <w:lang w:val="en-US"/>
        </w:rPr>
        <w:t>.</w:t>
      </w:r>
      <w:r>
        <w:rPr>
          <w:i/>
          <w:iCs/>
        </w:rPr>
        <w:t>ά</w:t>
      </w:r>
      <w:r>
        <w:rPr>
          <w:i/>
          <w:iCs/>
          <w:lang w:val="en-US"/>
        </w:rPr>
        <w:t>.</w:t>
      </w:r>
      <w:r>
        <w:rPr>
          <w:lang w:val="en-US"/>
        </w:rPr>
        <w:t xml:space="preserve">, ‘A trans-ancestral meta-analysis of genome-wide association studies reveals loci associated with childhood obesity’, </w:t>
      </w:r>
      <w:r>
        <w:rPr>
          <w:i/>
          <w:iCs/>
          <w:lang w:val="en-US"/>
        </w:rPr>
        <w:t>Hum. Mol. Genet.</w:t>
      </w:r>
      <w:r>
        <w:rPr>
          <w:lang w:val="en-US"/>
        </w:rPr>
        <w:t xml:space="preserve">, </w:t>
      </w:r>
      <w:r>
        <w:rPr/>
        <w:t>τ</w:t>
      </w:r>
      <w:r>
        <w:rPr>
          <w:lang w:val="en-US"/>
        </w:rPr>
        <w:t xml:space="preserve">. 28, </w:t>
      </w:r>
      <w:r>
        <w:rPr/>
        <w:t>τχ</w:t>
      </w:r>
      <w:r>
        <w:rPr>
          <w:lang w:val="en-US"/>
        </w:rPr>
        <w:t xml:space="preserve">. 19, </w:t>
      </w:r>
      <w:r>
        <w:rPr/>
        <w:t>Ιανουαρίου</w:t>
      </w:r>
      <w:r>
        <w:rPr>
          <w:lang w:val="en-US"/>
        </w:rPr>
        <w:t xml:space="preserve"> 2019, doi: 10.1093/hmg/ddz161.</w:t>
      </w:r>
    </w:p>
    <w:p>
      <w:pPr>
        <w:pStyle w:val="Normal"/>
        <w:widowControl w:val="false"/>
        <w:spacing w:before="0" w:after="240"/>
        <w:jc w:val="both"/>
        <w:rPr>
          <w:lang w:val="en-US"/>
        </w:rPr>
      </w:pPr>
      <w:r>
        <w:rPr>
          <w:lang w:val="en-US"/>
        </w:rPr>
        <w:t>[222]</w:t>
        <w:tab/>
        <w:t xml:space="preserve">K. Ej, H. Rc, </w:t>
      </w:r>
      <w:r>
        <w:rPr/>
        <w:t>και</w:t>
      </w:r>
      <w:r>
        <w:rPr>
          <w:lang w:val="en-US"/>
        </w:rPr>
        <w:t xml:space="preserve"> P. Mc, ‘Paediatric biobanking: Dutch experts reflecting on appropriate legal standards for practice’, </w:t>
      </w:r>
      <w:r>
        <w:rPr>
          <w:i/>
          <w:iCs/>
          <w:lang w:val="en-US"/>
        </w:rPr>
        <w:t>Eur. J. Pediatr.</w:t>
      </w:r>
      <w:r>
        <w:rPr>
          <w:lang w:val="en-US"/>
        </w:rPr>
        <w:t xml:space="preserve">, </w:t>
      </w:r>
      <w:r>
        <w:rPr/>
        <w:t>τ</w:t>
      </w:r>
      <w:r>
        <w:rPr>
          <w:lang w:val="en-US"/>
        </w:rPr>
        <w:t xml:space="preserve">. 176, </w:t>
      </w:r>
      <w:r>
        <w:rPr/>
        <w:t>τχ</w:t>
      </w:r>
      <w:r>
        <w:rPr>
          <w:lang w:val="en-US"/>
        </w:rPr>
        <w:t xml:space="preserve">. 1, </w:t>
      </w:r>
      <w:r>
        <w:rPr/>
        <w:t>Ιανουαρίου</w:t>
      </w:r>
      <w:r>
        <w:rPr>
          <w:lang w:val="en-US"/>
        </w:rPr>
        <w:t xml:space="preserve"> 2017, doi: 10.1007/s00431-016-2810-y.</w:t>
      </w:r>
    </w:p>
    <w:p>
      <w:pPr>
        <w:pStyle w:val="Normal"/>
        <w:widowControl w:val="false"/>
        <w:spacing w:before="0" w:after="240"/>
        <w:jc w:val="both"/>
        <w:rPr>
          <w:lang w:val="en-US"/>
        </w:rPr>
      </w:pPr>
      <w:r>
        <w:rPr>
          <w:lang w:val="en-US"/>
        </w:rPr>
        <w:t>[223]</w:t>
        <w:tab/>
        <w:t xml:space="preserve">V. D. H. R, D. H. E, C. A, N. V, V. C. K, </w:t>
      </w:r>
      <w:r>
        <w:rPr/>
        <w:t>και</w:t>
      </w:r>
      <w:r>
        <w:rPr>
          <w:lang w:val="en-US"/>
        </w:rPr>
        <w:t xml:space="preserve"> S. G, ‘Biobank@VITO: Biobanking the General Population in Flanders’, </w:t>
      </w:r>
      <w:r>
        <w:rPr>
          <w:i/>
          <w:iCs/>
          <w:lang w:val="en-US"/>
        </w:rPr>
        <w:t>Front. Med.</w:t>
      </w:r>
      <w:r>
        <w:rPr>
          <w:lang w:val="en-US"/>
        </w:rPr>
        <w:t xml:space="preserve">, </w:t>
      </w:r>
      <w:r>
        <w:rPr/>
        <w:t>τ</w:t>
      </w:r>
      <w:r>
        <w:rPr>
          <w:lang w:val="en-US"/>
        </w:rPr>
        <w:t xml:space="preserve">. 7, </w:t>
      </w:r>
      <w:r>
        <w:rPr/>
        <w:t>Φεβρουαρίου</w:t>
      </w:r>
      <w:r>
        <w:rPr>
          <w:lang w:val="en-US"/>
        </w:rPr>
        <w:t xml:space="preserve"> 2020, doi: 10.3389/fmed.2020.00037.</w:t>
      </w:r>
    </w:p>
    <w:p>
      <w:pPr>
        <w:pStyle w:val="Normal"/>
        <w:widowControl w:val="false"/>
        <w:spacing w:before="0" w:after="240"/>
        <w:jc w:val="both"/>
        <w:rPr/>
      </w:pPr>
      <w:r>
        <w:rPr>
          <w:lang w:val="en-US"/>
        </w:rPr>
        <w:t>[224]</w:t>
        <w:tab/>
        <w:t xml:space="preserve">‘ABCD-studie’. </w:t>
      </w:r>
      <w:r>
        <w:rPr/>
        <w:t>Ημερομηνία</w:t>
      </w:r>
      <w:r>
        <w:rPr>
          <w:lang w:val="en-US"/>
        </w:rPr>
        <w:t xml:space="preserve"> </w:t>
      </w:r>
      <w:r>
        <w:rPr/>
        <w:t>πρόσβασης</w:t>
      </w:r>
      <w:r>
        <w:rPr>
          <w:lang w:val="en-US"/>
        </w:rPr>
        <w:t xml:space="preserve">: 6 </w:t>
      </w:r>
      <w:r>
        <w:rPr/>
        <w:t>Δεκέμβριος</w:t>
      </w:r>
      <w:r>
        <w:rPr>
          <w:lang w:val="en-US"/>
        </w:rPr>
        <w:t xml:space="preserve"> 2023. </w:t>
      </w:r>
      <w:r>
        <w:rPr/>
        <w:t>[Έκδοση σε ψηφιακή μορφή]. Διαθέσιμο στο: http://www.amc.nl/web/abcd-studie-2.htm</w:t>
      </w:r>
    </w:p>
    <w:p>
      <w:pPr>
        <w:pStyle w:val="Normal"/>
        <w:widowControl w:val="false"/>
        <w:spacing w:before="0" w:after="240"/>
        <w:jc w:val="both"/>
        <w:rPr/>
      </w:pPr>
      <w:r>
        <w:rPr>
          <w:lang w:val="en-US"/>
        </w:rPr>
        <w:t>[225]</w:t>
        <w:tab/>
        <w:t xml:space="preserve">X. K </w:t>
      </w:r>
      <w:r>
        <w:rPr>
          <w:i/>
          <w:iCs/>
        </w:rPr>
        <w:t>κ</w:t>
      </w:r>
      <w:r>
        <w:rPr>
          <w:i/>
          <w:iCs/>
          <w:lang w:val="en-US"/>
        </w:rPr>
        <w:t>.</w:t>
      </w:r>
      <w:r>
        <w:rPr>
          <w:i/>
          <w:iCs/>
        </w:rPr>
        <w:t>ά</w:t>
      </w:r>
      <w:r>
        <w:rPr>
          <w:i/>
          <w:iCs/>
          <w:lang w:val="en-US"/>
        </w:rPr>
        <w:t>.</w:t>
      </w:r>
      <w:r>
        <w:rPr>
          <w:lang w:val="en-US"/>
        </w:rPr>
        <w:t xml:space="preserve">, ‘Genome-wide association study of smoking trajectory and meta-analysis of smoking status in 842,000 individuals’, </w:t>
      </w:r>
      <w:r>
        <w:rPr>
          <w:i/>
          <w:iCs/>
          <w:lang w:val="en-US"/>
        </w:rPr>
        <w:t xml:space="preserve">Nat. </w:t>
      </w:r>
      <w:r>
        <w:rPr>
          <w:i/>
          <w:iCs/>
        </w:rPr>
        <w:t>Commun.</w:t>
      </w:r>
      <w:r>
        <w:rPr/>
        <w:t>, τ. 11, τχ. 1, Οκτωβρίου 2020, doi: 10.1038/s41467-020-18489-3.</w:t>
      </w:r>
    </w:p>
    <w:p>
      <w:pPr>
        <w:pStyle w:val="Normal"/>
        <w:spacing w:lineRule="auto" w:line="276" w:before="0" w:after="240"/>
        <w:jc w:val="both"/>
        <w:rPr/>
      </w:pPr>
      <w:r/>
      <w:r>
        <w:rPr/>
        <w:fldChar w:fldCharType="end"/>
      </w:r>
      <w:r>
        <w:rPr/>
      </w:r>
    </w:p>
    <w:sectPr>
      <w:headerReference w:type="even" r:id="rId34"/>
      <w:headerReference w:type="default" r:id="rId35"/>
      <w:headerReference w:type="first" r:id="rId36"/>
      <w:footerReference w:type="even" r:id="rId37"/>
      <w:footerReference w:type="default" r:id="rId38"/>
      <w:footerReference w:type="first" r:id="rId39"/>
      <w:type w:val="nextPage"/>
      <w:pgSz w:w="11906" w:h="16838"/>
      <w:pgMar w:left="1797" w:right="1797" w:gutter="0" w:header="720" w:top="1440" w:footer="720" w:bottom="1440"/>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a1"/>
    <w:family w:val="roman"/>
    <w:pitch w:val="variable"/>
  </w:font>
  <w:font w:name="Calibri">
    <w:charset w:val="a1"/>
    <w:family w:val="roman"/>
    <w:pitch w:val="variable"/>
  </w:font>
  <w:font w:name="Times New Roman">
    <w:charset w:val="a1"/>
    <w:family w:val="roman"/>
    <w:pitch w:val="variable"/>
  </w:font>
  <w:font w:name="Cambria">
    <w:charset w:val="a1"/>
    <w:family w:val="roman"/>
    <w:pitch w:val="variable"/>
  </w:font>
  <w:font w:name="HellasTimes">
    <w:charset w:val="a1"/>
    <w:family w:val="roman"/>
    <w:pitch w:val="variable"/>
  </w:font>
  <w:font w:name="Tahoma">
    <w:charset w:val="a1"/>
    <w:family w:val="roman"/>
    <w:pitch w:val="variable"/>
  </w:font>
  <w:font w:name="Century Gothic">
    <w:charset w:val="a1"/>
    <w:family w:val="roman"/>
    <w:pitch w:val="variable"/>
  </w:font>
  <w:font w:name="Liberation Sans">
    <w:altName w:val="Arial"/>
    <w:charset w:val="a1"/>
    <w:family w:val="swiss"/>
    <w:pitch w:val="variable"/>
  </w:font>
  <w:font w:name="Times-Roman">
    <w:altName w:val="Times New Roman"/>
    <w:charset w:val="a1"/>
    <w:family w:val="roman"/>
    <w:pitch w:val="variable"/>
  </w:font>
  <w:font w:name="Times-Italic">
    <w:charset w:val="a1"/>
    <w:family w:val="roman"/>
    <w:pitch w:val="variable"/>
  </w:font>
  <w:font w:name="Times">
    <w:altName w:val="Times New Roman"/>
    <w:charset w:val="a1"/>
    <w:family w:val="roman"/>
    <w:pitch w:val="variable"/>
  </w:font>
  <w:font w:name="Cambria Math">
    <w:charset w:val="a1"/>
    <w:family w:val="roman"/>
    <w:pitch w:val="variable"/>
  </w:font>
  <w:font w:name="Helvetica">
    <w:altName w:val="Arial"/>
    <w:charset w:val="a1"/>
    <w:family w:val="roman"/>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pBdr>
        <w:bottom w:val="nil"/>
      </w:pBdr>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pBdr>
        <w:bottom w:val="nil"/>
      </w:pBdr>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pBdr>
        <w:bottom w:val="nil"/>
      </w:pBdr>
      <w:rPr/>
    </w:pPr>
    <w:r>
      <w:rPr/>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pBdr>
        <w:bottom w:val="nil"/>
      </w:pBdr>
      <w:rPr/>
    </w:pPr>
    <w:r>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pBdr>
        <w:bottom w:val="nil"/>
      </w:pBdr>
      <w:rPr/>
    </w:pPr>
    <w:r>
      <w:rPr/>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rFonts w:ascii="Times New Roman" w:hAnsi="Times New Roman"/>
        <w:caps/>
        <w:color w:themeColor="text1" w:val="000000"/>
      </w:rPr>
    </w:pPr>
    <w:r>
      <w:rPr/>
      <w:fldChar w:fldCharType="begin"/>
    </w:r>
    <w:r>
      <w:rPr/>
      <w:instrText xml:space="preserve"> PAGE </w:instrText>
    </w:r>
    <w:r>
      <w:rPr/>
      <w:fldChar w:fldCharType="separate"/>
    </w:r>
    <w:r>
      <w:rPr/>
      <w:t>0</w:t>
    </w:r>
    <w:r>
      <w:rPr/>
      <w:fldChar w:fldCharType="end"/>
    </w:r>
  </w:p>
  <w:p>
    <w:pPr>
      <w:pStyle w:val="Footer"/>
      <w:pBdr>
        <w:bottom w:val="nil"/>
      </w:pBdr>
      <w:ind w:right="360"/>
      <w:jc w:val="center"/>
      <w:rPr/>
    </w:pPr>
    <w:r>
      <w:rPr/>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rFonts w:ascii="Times New Roman" w:hAnsi="Times New Roman"/>
        <w:caps/>
        <w:color w:themeColor="text1" w:val="000000"/>
      </w:rPr>
    </w:pPr>
    <w:r>
      <w:rPr/>
      <w:fldChar w:fldCharType="begin"/>
    </w:r>
    <w:r>
      <w:rPr/>
      <w:instrText xml:space="preserve"> PAGE </w:instrText>
    </w:r>
    <w:r>
      <w:rPr/>
      <w:fldChar w:fldCharType="separate"/>
    </w:r>
    <w:r>
      <w:rPr/>
      <w:t>21</w:t>
    </w:r>
    <w:r>
      <w:rPr/>
      <w:fldChar w:fldCharType="end"/>
    </w:r>
  </w:p>
  <w:p>
    <w:pPr>
      <w:pStyle w:val="Footer"/>
      <w:pBdr>
        <w:bottom w:val="nil"/>
      </w:pBdr>
      <w:ind w:right="360"/>
      <w:jc w:val="center"/>
      <w:rPr/>
    </w:pPr>
    <w:r>
      <w:rPr/>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rFonts w:ascii="Times New Roman" w:hAnsi="Times New Roman"/>
        <w:caps/>
        <w:color w:themeColor="text1" w:val="000000"/>
      </w:rPr>
    </w:pPr>
    <w:r>
      <w:rPr/>
      <w:fldChar w:fldCharType="begin"/>
    </w:r>
    <w:r>
      <w:rPr/>
      <w:instrText xml:space="preserve"> PAGE </w:instrText>
    </w:r>
    <w:r>
      <w:rPr/>
      <w:fldChar w:fldCharType="separate"/>
    </w:r>
    <w:r>
      <w:rPr/>
      <w:t>21</w:t>
    </w:r>
    <w:r>
      <w:rPr/>
      <w:fldChar w:fldCharType="end"/>
    </w:r>
  </w:p>
  <w:p>
    <w:pPr>
      <w:pStyle w:val="Footer"/>
      <w:pBdr>
        <w:bottom w:val="nil"/>
      </w:pBdr>
      <w:ind w:right="360"/>
      <w:jc w:val="center"/>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pBdr>
        <w:bottom w:val="nil"/>
      </w:pBdr>
      <w:rPr>
        <w:rFonts w:ascii="Times New Roman" w:hAnsi="Times New Roman"/>
        <w:lang w:val="el-GR"/>
      </w:rPr>
    </w:pPr>
    <w:r>
      <w:rPr>
        <w:rFonts w:ascii="Times New Roman" w:hAnsi="Times New Roman"/>
        <w:lang w:val="el-G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pBdr>
        <w:bottom w:val="nil"/>
      </w:pBdr>
      <w:rPr>
        <w:rFonts w:ascii="Times New Roman" w:hAnsi="Times New Roman"/>
        <w:lang w:val="el-GR"/>
      </w:rPr>
    </w:pPr>
    <w:r>
      <w:rPr>
        <w:rFonts w:ascii="Times New Roman" w:hAnsi="Times New Roman"/>
        <w:lang w:val="el-GR"/>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pBdr>
        <w:bottom w:val="nil"/>
      </w:pBdr>
      <w:rPr/>
    </w:pPr>
    <w:r>
      <w:rPr/>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pBdr>
        <w:bottom w:val="nil"/>
      </w:pBdr>
      <w:rPr/>
    </w:pPr>
    <w:r>
      <w:rPr/>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pBdr>
        <w:bottom w:val="nil"/>
      </w:pBdr>
      <w:rPr/>
    </w:pPr>
    <w:r>
      <w:rPr/>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pBdr>
        <w:bottom w:val="nil"/>
      </w:pBdr>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lvl w:ilvl="0">
      <w:start w:val="1"/>
      <w:numFmt w:val="bullet"/>
      <w:lvlText w:val=""/>
      <w:lvlJc w:val="left"/>
      <w:pPr>
        <w:tabs>
          <w:tab w:val="num" w:pos="0"/>
        </w:tabs>
        <w:ind w:left="1200" w:hanging="360"/>
      </w:pPr>
      <w:rPr>
        <w:rFonts w:ascii="Symbol" w:hAnsi="Symbol" w:cs="Symbol" w:hint="default"/>
      </w:rPr>
    </w:lvl>
    <w:lvl w:ilvl="1">
      <w:start w:val="1"/>
      <w:numFmt w:val="bullet"/>
      <w:lvlText w:val="o"/>
      <w:lvlJc w:val="left"/>
      <w:pPr>
        <w:tabs>
          <w:tab w:val="num" w:pos="0"/>
        </w:tabs>
        <w:ind w:left="1920" w:hanging="360"/>
      </w:pPr>
      <w:rPr>
        <w:rFonts w:ascii="Courier New" w:hAnsi="Courier New" w:cs="Courier New" w:hint="default"/>
      </w:rPr>
    </w:lvl>
    <w:lvl w:ilvl="2">
      <w:start w:val="1"/>
      <w:numFmt w:val="bullet"/>
      <w:lvlText w:val=""/>
      <w:lvlJc w:val="left"/>
      <w:pPr>
        <w:tabs>
          <w:tab w:val="num" w:pos="0"/>
        </w:tabs>
        <w:ind w:left="2640" w:hanging="360"/>
      </w:pPr>
      <w:rPr>
        <w:rFonts w:ascii="Wingdings" w:hAnsi="Wingdings" w:cs="Wingdings" w:hint="default"/>
      </w:rPr>
    </w:lvl>
    <w:lvl w:ilvl="3">
      <w:start w:val="1"/>
      <w:numFmt w:val="bullet"/>
      <w:lvlText w:val=""/>
      <w:lvlJc w:val="left"/>
      <w:pPr>
        <w:tabs>
          <w:tab w:val="num" w:pos="0"/>
        </w:tabs>
        <w:ind w:left="3360" w:hanging="360"/>
      </w:pPr>
      <w:rPr>
        <w:rFonts w:ascii="Symbol" w:hAnsi="Symbol" w:cs="Symbol" w:hint="default"/>
      </w:rPr>
    </w:lvl>
    <w:lvl w:ilvl="4">
      <w:start w:val="1"/>
      <w:numFmt w:val="bullet"/>
      <w:lvlText w:val="o"/>
      <w:lvlJc w:val="left"/>
      <w:pPr>
        <w:tabs>
          <w:tab w:val="num" w:pos="0"/>
        </w:tabs>
        <w:ind w:left="4080" w:hanging="360"/>
      </w:pPr>
      <w:rPr>
        <w:rFonts w:ascii="Courier New" w:hAnsi="Courier New" w:cs="Courier New" w:hint="default"/>
      </w:rPr>
    </w:lvl>
    <w:lvl w:ilvl="5">
      <w:start w:val="1"/>
      <w:numFmt w:val="bullet"/>
      <w:lvlText w:val=""/>
      <w:lvlJc w:val="left"/>
      <w:pPr>
        <w:tabs>
          <w:tab w:val="num" w:pos="0"/>
        </w:tabs>
        <w:ind w:left="4800" w:hanging="360"/>
      </w:pPr>
      <w:rPr>
        <w:rFonts w:ascii="Wingdings" w:hAnsi="Wingdings" w:cs="Wingdings" w:hint="default"/>
      </w:rPr>
    </w:lvl>
    <w:lvl w:ilvl="6">
      <w:start w:val="1"/>
      <w:numFmt w:val="bullet"/>
      <w:lvlText w:val=""/>
      <w:lvlJc w:val="left"/>
      <w:pPr>
        <w:tabs>
          <w:tab w:val="num" w:pos="0"/>
        </w:tabs>
        <w:ind w:left="5520" w:hanging="360"/>
      </w:pPr>
      <w:rPr>
        <w:rFonts w:ascii="Symbol" w:hAnsi="Symbol" w:cs="Symbol" w:hint="default"/>
      </w:rPr>
    </w:lvl>
    <w:lvl w:ilvl="7">
      <w:start w:val="1"/>
      <w:numFmt w:val="bullet"/>
      <w:lvlText w:val="o"/>
      <w:lvlJc w:val="left"/>
      <w:pPr>
        <w:tabs>
          <w:tab w:val="num" w:pos="0"/>
        </w:tabs>
        <w:ind w:left="6240" w:hanging="360"/>
      </w:pPr>
      <w:rPr>
        <w:rFonts w:ascii="Courier New" w:hAnsi="Courier New" w:cs="Courier New" w:hint="default"/>
      </w:rPr>
    </w:lvl>
    <w:lvl w:ilvl="8">
      <w:start w:val="1"/>
      <w:numFmt w:val="bullet"/>
      <w:lvlText w:val=""/>
      <w:lvlJc w:val="left"/>
      <w:pPr>
        <w:tabs>
          <w:tab w:val="num" w:pos="0"/>
        </w:tabs>
        <w:ind w:left="6960" w:hanging="360"/>
      </w:pPr>
      <w:rPr>
        <w:rFonts w:ascii="Wingdings" w:hAnsi="Wingdings" w:cs="Wingdings" w:hint="default"/>
      </w:rPr>
    </w:lvl>
  </w:abstractNum>
  <w:abstractNum w:abstractNumId="5">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w="http://schemas.openxmlformats.org/wordprocessingml/2006/main">
  <w:zoom w:percent="128"/>
  <w:defaultTabStop w:val="720"/>
  <w:autoHyphenation w:val="true"/>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el-G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Times New Roman"/>
        <w:lang w:val="el-GR" w:eastAsia="el-GR"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uiPriority="0"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082046"/>
    <w:pPr>
      <w:widowControl/>
      <w:bidi w:val="0"/>
      <w:spacing w:before="0" w:after="0"/>
      <w:jc w:val="left"/>
    </w:pPr>
    <w:rPr>
      <w:rFonts w:ascii="Times New Roman" w:hAnsi="Times New Roman" w:eastAsia="Times New Roman" w:cs="Times New Roman"/>
      <w:color w:val="auto"/>
      <w:kern w:val="0"/>
      <w:sz w:val="24"/>
      <w:szCs w:val="24"/>
      <w:lang w:val="el-GR" w:eastAsia="el-GR" w:bidi="ar-SA"/>
    </w:rPr>
  </w:style>
  <w:style w:type="paragraph" w:styleId="Heading1">
    <w:name w:val="Heading 1"/>
    <w:basedOn w:val="Normal"/>
    <w:next w:val="Normal"/>
    <w:link w:val="1Char"/>
    <w:uiPriority w:val="9"/>
    <w:qFormat/>
    <w:rsid w:val="00093123"/>
    <w:pPr>
      <w:keepNext w:val="true"/>
      <w:spacing w:lineRule="auto" w:line="360" w:before="240" w:after="60"/>
      <w:jc w:val="both"/>
      <w:outlineLvl w:val="0"/>
    </w:pPr>
    <w:rPr>
      <w:rFonts w:ascii="Cambria" w:hAnsi="Cambria"/>
      <w:b/>
      <w:bCs/>
      <w:kern w:val="2"/>
      <w:sz w:val="32"/>
      <w:szCs w:val="32"/>
      <w:lang w:eastAsia="en-US"/>
    </w:rPr>
  </w:style>
  <w:style w:type="paragraph" w:styleId="Heading2">
    <w:name w:val="Heading 2"/>
    <w:basedOn w:val="Normal"/>
    <w:next w:val="Normal"/>
    <w:link w:val="2Char"/>
    <w:uiPriority w:val="9"/>
    <w:unhideWhenUsed/>
    <w:qFormat/>
    <w:rsid w:val="00a310ca"/>
    <w:pPr>
      <w:keepNext w:val="true"/>
      <w:spacing w:lineRule="auto" w:line="360" w:before="240" w:after="60"/>
      <w:jc w:val="both"/>
      <w:outlineLvl w:val="1"/>
    </w:pPr>
    <w:rPr>
      <w:b/>
      <w:bCs/>
      <w:i/>
      <w:iCs/>
      <w:sz w:val="28"/>
      <w:szCs w:val="28"/>
      <w:lang w:eastAsia="en-US"/>
    </w:rPr>
  </w:style>
  <w:style w:type="paragraph" w:styleId="Heading3">
    <w:name w:val="Heading 3"/>
    <w:basedOn w:val="Normal"/>
    <w:next w:val="Normal"/>
    <w:link w:val="3Char"/>
    <w:uiPriority w:val="9"/>
    <w:unhideWhenUsed/>
    <w:qFormat/>
    <w:rsid w:val="00a310ca"/>
    <w:pPr>
      <w:keepNext w:val="true"/>
      <w:spacing w:lineRule="auto" w:line="360" w:before="240" w:after="60"/>
      <w:jc w:val="both"/>
      <w:outlineLvl w:val="2"/>
    </w:pPr>
    <w:rPr>
      <w:rFonts w:eastAsia="" w:cs="" w:cstheme="majorBidi" w:eastAsiaTheme="majorEastAsia"/>
      <w:b/>
      <w:bCs/>
      <w:sz w:val="22"/>
      <w:szCs w:val="26"/>
      <w:lang w:eastAsia="en-US"/>
    </w:rPr>
  </w:style>
  <w:style w:type="paragraph" w:styleId="Heading4">
    <w:name w:val="Heading 4"/>
    <w:basedOn w:val="Normal"/>
    <w:next w:val="Normal"/>
    <w:link w:val="4Char"/>
    <w:uiPriority w:val="9"/>
    <w:unhideWhenUsed/>
    <w:qFormat/>
    <w:rsid w:val="00025b34"/>
    <w:pPr>
      <w:keepNext w:val="true"/>
      <w:keepLines/>
      <w:spacing w:lineRule="auto" w:line="360" w:before="40" w:after="0"/>
      <w:jc w:val="both"/>
      <w:outlineLvl w:val="3"/>
    </w:pPr>
    <w:rPr>
      <w:rFonts w:eastAsia="" w:cs="" w:cstheme="majorBidi" w:eastAsiaTheme="majorEastAsia"/>
      <w:i/>
      <w:iCs/>
      <w:color w:themeColor="text1" w:val="000000"/>
      <w:szCs w:val="20"/>
      <w:lang w:eastAsia="en-US"/>
    </w:rPr>
  </w:style>
  <w:style w:type="character" w:styleId="DefaultParagraphFont" w:default="1">
    <w:name w:val="Default Paragraph Font"/>
    <w:uiPriority w:val="1"/>
    <w:semiHidden/>
    <w:unhideWhenUsed/>
    <w:qFormat/>
    <w:rPr/>
  </w:style>
  <w:style w:type="character" w:styleId="Char" w:customStyle="1">
    <w:name w:val="Κεφαλίδα Char"/>
    <w:qFormat/>
    <w:rsid w:val="00cc6da9"/>
    <w:rPr>
      <w:rFonts w:ascii="HellasTimes" w:hAnsi="HellasTimes" w:eastAsia="Times New Roman"/>
      <w:lang w:val="en-GB" w:eastAsia="en-US" w:bidi="ar-SA"/>
    </w:rPr>
  </w:style>
  <w:style w:type="character" w:styleId="Char1" w:customStyle="1">
    <w:name w:val="Υποσέλιδο Char"/>
    <w:uiPriority w:val="99"/>
    <w:qFormat/>
    <w:rsid w:val="00cc6da9"/>
    <w:rPr>
      <w:rFonts w:ascii="HellasTimes" w:hAnsi="HellasTimes" w:eastAsia="Times New Roman" w:cs="Times New Roman"/>
      <w:sz w:val="20"/>
      <w:szCs w:val="20"/>
      <w:lang w:val="en-GB"/>
    </w:rPr>
  </w:style>
  <w:style w:type="character" w:styleId="Char2" w:customStyle="1">
    <w:name w:val="Κείμενο πλαισίου Char"/>
    <w:link w:val="BalloonText"/>
    <w:uiPriority w:val="99"/>
    <w:semiHidden/>
    <w:qFormat/>
    <w:rsid w:val="00cc6da9"/>
    <w:rPr>
      <w:rFonts w:ascii="Tahoma" w:hAnsi="Tahoma" w:eastAsia="Times New Roman" w:cs="Tahoma"/>
      <w:sz w:val="16"/>
      <w:szCs w:val="16"/>
    </w:rPr>
  </w:style>
  <w:style w:type="character" w:styleId="Pagenumber">
    <w:name w:val="page number"/>
    <w:basedOn w:val="DefaultParagraphFont"/>
    <w:qFormat/>
    <w:rsid w:val="00c63e75"/>
    <w:rPr/>
  </w:style>
  <w:style w:type="character" w:styleId="1Char" w:customStyle="1">
    <w:name w:val="Επικεφαλίδα 1 Char"/>
    <w:uiPriority w:val="9"/>
    <w:qFormat/>
    <w:rsid w:val="00093123"/>
    <w:rPr>
      <w:rFonts w:ascii="Cambria" w:hAnsi="Cambria" w:eastAsia="Times New Roman" w:cs="Times New Roman"/>
      <w:b/>
      <w:bCs/>
      <w:kern w:val="2"/>
      <w:sz w:val="32"/>
      <w:szCs w:val="32"/>
      <w:lang w:eastAsia="en-US"/>
    </w:rPr>
  </w:style>
  <w:style w:type="character" w:styleId="Hyperlink">
    <w:name w:val="Hyperlink"/>
    <w:uiPriority w:val="99"/>
    <w:unhideWhenUsed/>
    <w:rsid w:val="00093123"/>
    <w:rPr>
      <w:color w:val="0000FF"/>
      <w:u w:val="single"/>
    </w:rPr>
  </w:style>
  <w:style w:type="character" w:styleId="Char3" w:customStyle="1">
    <w:name w:val="Κείμενο υποσημείωσης Char"/>
    <w:uiPriority w:val="99"/>
    <w:semiHidden/>
    <w:qFormat/>
    <w:rsid w:val="005f62aa"/>
    <w:rPr>
      <w:rFonts w:ascii="Times New Roman" w:hAnsi="Times New Roman" w:eastAsia="Times New Roman"/>
      <w:lang w:eastAsia="en-US"/>
    </w:rPr>
  </w:style>
  <w:style w:type="character" w:styleId="Style10">
    <w:name w:val="Χαρακτήρες υποσημείωσης"/>
    <w:uiPriority w:val="99"/>
    <w:semiHidden/>
    <w:unhideWhenUsed/>
    <w:qFormat/>
    <w:rsid w:val="005f62aa"/>
    <w:rPr>
      <w:vertAlign w:val="superscript"/>
    </w:rPr>
  </w:style>
  <w:style w:type="character" w:styleId="FootnoteReference">
    <w:name w:val="Footnote Reference"/>
    <w:rPr>
      <w:vertAlign w:val="superscript"/>
    </w:rPr>
  </w:style>
  <w:style w:type="character" w:styleId="Char4" w:customStyle="1">
    <w:name w:val="Σώμα κειμένου Char"/>
    <w:uiPriority w:val="1"/>
    <w:qFormat/>
    <w:rsid w:val="008c509f"/>
    <w:rPr>
      <w:rFonts w:ascii="Century Gothic" w:hAnsi="Century Gothic" w:eastAsia="Century Gothic" w:cs="Century Gothic"/>
      <w:lang w:bidi="el-GR"/>
    </w:rPr>
  </w:style>
  <w:style w:type="character" w:styleId="Char5" w:customStyle="1">
    <w:name w:val="Υπότιτλος Char"/>
    <w:uiPriority w:val="11"/>
    <w:qFormat/>
    <w:rsid w:val="008051fd"/>
    <w:rPr>
      <w:rFonts w:ascii="Cambria" w:hAnsi="Cambria" w:eastAsia="Times New Roman" w:cs="Times New Roman"/>
      <w:sz w:val="24"/>
      <w:szCs w:val="24"/>
      <w:lang w:eastAsia="en-US"/>
    </w:rPr>
  </w:style>
  <w:style w:type="character" w:styleId="2Char" w:customStyle="1">
    <w:name w:val="Επικεφαλίδα 2 Char"/>
    <w:uiPriority w:val="9"/>
    <w:qFormat/>
    <w:rsid w:val="00a310ca"/>
    <w:rPr>
      <w:rFonts w:ascii="Times New Roman" w:hAnsi="Times New Roman" w:eastAsia="Times New Roman"/>
      <w:b/>
      <w:bCs/>
      <w:i/>
      <w:iCs/>
      <w:sz w:val="28"/>
      <w:szCs w:val="28"/>
      <w:lang w:eastAsia="en-US"/>
    </w:rPr>
  </w:style>
  <w:style w:type="character" w:styleId="Style11">
    <w:name w:val="Χαρακτήρες σημείωσης τέλους"/>
    <w:uiPriority w:val="99"/>
    <w:semiHidden/>
    <w:unhideWhenUsed/>
    <w:qFormat/>
    <w:rsid w:val="004900b0"/>
    <w:rPr>
      <w:vertAlign w:val="superscript"/>
    </w:rPr>
  </w:style>
  <w:style w:type="character" w:styleId="EndnoteReference">
    <w:name w:val="Endnote Reference"/>
    <w:rPr>
      <w:vertAlign w:val="superscript"/>
    </w:rPr>
  </w:style>
  <w:style w:type="character" w:styleId="1" w:customStyle="1">
    <w:name w:val="Ανεπίλυτη αναφορά1"/>
    <w:uiPriority w:val="99"/>
    <w:semiHidden/>
    <w:unhideWhenUsed/>
    <w:qFormat/>
    <w:rsid w:val="006b355f"/>
    <w:rPr>
      <w:color w:val="605E5C"/>
      <w:shd w:fill="E1DFDD" w:val="clear"/>
    </w:rPr>
  </w:style>
  <w:style w:type="character" w:styleId="3Char" w:customStyle="1">
    <w:name w:val="Επικεφαλίδα 3 Char"/>
    <w:basedOn w:val="DefaultParagraphFont"/>
    <w:uiPriority w:val="9"/>
    <w:qFormat/>
    <w:rsid w:val="00a310ca"/>
    <w:rPr>
      <w:rFonts w:ascii="Times New Roman" w:hAnsi="Times New Roman" w:eastAsia="" w:cs="" w:cstheme="majorBidi" w:eastAsiaTheme="majorEastAsia"/>
      <w:b/>
      <w:bCs/>
      <w:sz w:val="22"/>
      <w:szCs w:val="26"/>
      <w:lang w:eastAsia="en-US"/>
    </w:rPr>
  </w:style>
  <w:style w:type="character" w:styleId="BibliographyChar" w:customStyle="1">
    <w:name w:val="Bibliography Char"/>
    <w:basedOn w:val="DefaultParagraphFont"/>
    <w:link w:val="11"/>
    <w:qFormat/>
    <w:rsid w:val="003b7779"/>
    <w:rPr>
      <w:rFonts w:ascii="Times New Roman" w:hAnsi="Times New Roman" w:eastAsia="Times New Roman"/>
      <w:sz w:val="24"/>
      <w:szCs w:val="24"/>
      <w:lang w:val="en-US" w:eastAsia="en-US"/>
    </w:rPr>
  </w:style>
  <w:style w:type="character" w:styleId="UnresolvedMention">
    <w:name w:val="Unresolved Mention"/>
    <w:basedOn w:val="DefaultParagraphFont"/>
    <w:uiPriority w:val="99"/>
    <w:semiHidden/>
    <w:unhideWhenUsed/>
    <w:qFormat/>
    <w:rPr>
      <w:color w:val="605E5C"/>
      <w:shd w:fill="E1DFDD" w:val="clear"/>
    </w:rPr>
  </w:style>
  <w:style w:type="character" w:styleId="Ref-lnk" w:customStyle="1">
    <w:name w:val="ref-lnk"/>
    <w:basedOn w:val="DefaultParagraphFont"/>
    <w:qFormat/>
    <w:rsid w:val="000f4f17"/>
    <w:rPr/>
  </w:style>
  <w:style w:type="character" w:styleId="FollowedHyperlink">
    <w:name w:val="FollowedHyperlink"/>
    <w:basedOn w:val="DefaultParagraphFont"/>
    <w:uiPriority w:val="99"/>
    <w:semiHidden/>
    <w:unhideWhenUsed/>
    <w:rsid w:val="000f4f17"/>
    <w:rPr>
      <w:color w:val="800080"/>
      <w:u w:val="single"/>
    </w:rPr>
  </w:style>
  <w:style w:type="character" w:styleId="Captionlabel" w:customStyle="1">
    <w:name w:val="captionlabel"/>
    <w:basedOn w:val="DefaultParagraphFont"/>
    <w:qFormat/>
    <w:rsid w:val="000f4f17"/>
    <w:rPr/>
  </w:style>
  <w:style w:type="character" w:styleId="4Char" w:customStyle="1">
    <w:name w:val="Επικεφαλίδα 4 Char"/>
    <w:basedOn w:val="DefaultParagraphFont"/>
    <w:uiPriority w:val="9"/>
    <w:qFormat/>
    <w:rsid w:val="00025b34"/>
    <w:rPr>
      <w:rFonts w:ascii="Times New Roman" w:hAnsi="Times New Roman" w:eastAsia="" w:cs="" w:cstheme="majorBidi" w:eastAsiaTheme="majorEastAsia"/>
      <w:i/>
      <w:iCs/>
      <w:color w:themeColor="text1" w:val="000000"/>
      <w:sz w:val="24"/>
      <w:lang w:eastAsia="en-US"/>
    </w:rPr>
  </w:style>
  <w:style w:type="character" w:styleId="Style12">
    <w:name w:val="Σύνδεση ευρετηρίου"/>
    <w:qFormat/>
    <w:rPr/>
  </w:style>
  <w:style w:type="paragraph" w:styleId="Style13">
    <w:name w:val="Επικεφαλίδα"/>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link w:val="Char4"/>
    <w:uiPriority w:val="1"/>
    <w:qFormat/>
    <w:rsid w:val="008c509f"/>
    <w:pPr>
      <w:widowControl w:val="false"/>
    </w:pPr>
    <w:rPr>
      <w:rFonts w:ascii="Century Gothic" w:hAnsi="Century Gothic" w:eastAsia="Century Gothic" w:cs="Century Gothic"/>
      <w:sz w:val="20"/>
      <w:szCs w:val="20"/>
      <w:lang w:eastAsia="en-US" w:bidi="el-GR"/>
    </w:rPr>
  </w:style>
  <w:style w:type="paragraph" w:styleId="List">
    <w:name w:val="List"/>
    <w:basedOn w:val="BodyText"/>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Style14">
    <w:name w:val="Ευρετήριο"/>
    <w:basedOn w:val="Normal"/>
    <w:qFormat/>
    <w:pPr>
      <w:suppressLineNumbers/>
    </w:pPr>
    <w:rPr>
      <w:rFonts w:cs="Lucida Sans"/>
    </w:rPr>
  </w:style>
  <w:style w:type="paragraph" w:styleId="Style15">
    <w:name w:val="Κεφαλίδα και υποσέλιδο"/>
    <w:basedOn w:val="Normal"/>
    <w:qFormat/>
    <w:pPr/>
    <w:rPr/>
  </w:style>
  <w:style w:type="paragraph" w:styleId="Header">
    <w:name w:val="Header"/>
    <w:link w:val="Char"/>
    <w:rsid w:val="00cc6da9"/>
    <w:pPr>
      <w:widowControl/>
      <w:pBdr>
        <w:bottom w:val="single" w:sz="6" w:space="1" w:color="000000"/>
      </w:pBdr>
      <w:tabs>
        <w:tab w:val="clear" w:pos="720"/>
        <w:tab w:val="center" w:pos="4153" w:leader="none"/>
        <w:tab w:val="right" w:pos="8306" w:leader="none"/>
      </w:tabs>
      <w:bidi w:val="0"/>
      <w:spacing w:before="0" w:after="0"/>
      <w:jc w:val="left"/>
    </w:pPr>
    <w:rPr>
      <w:rFonts w:ascii="HellasTimes" w:hAnsi="HellasTimes" w:eastAsia="Times New Roman" w:cs="Times New Roman"/>
      <w:color w:val="auto"/>
      <w:kern w:val="0"/>
      <w:sz w:val="20"/>
      <w:szCs w:val="20"/>
      <w:lang w:val="en-GB" w:eastAsia="en-US" w:bidi="ar-SA"/>
    </w:rPr>
  </w:style>
  <w:style w:type="paragraph" w:styleId="Footer">
    <w:name w:val="Footer"/>
    <w:basedOn w:val="Header"/>
    <w:link w:val="Char1"/>
    <w:uiPriority w:val="99"/>
    <w:rsid w:val="00cc6da9"/>
    <w:pPr/>
    <w:rPr/>
  </w:style>
  <w:style w:type="paragraph" w:styleId="BalloonText">
    <w:name w:val="Balloon Text"/>
    <w:basedOn w:val="Normal"/>
    <w:link w:val="Char2"/>
    <w:uiPriority w:val="99"/>
    <w:semiHidden/>
    <w:unhideWhenUsed/>
    <w:qFormat/>
    <w:rsid w:val="00cc6da9"/>
    <w:pPr>
      <w:jc w:val="both"/>
    </w:pPr>
    <w:rPr>
      <w:rFonts w:ascii="Tahoma" w:hAnsi="Tahoma"/>
      <w:sz w:val="16"/>
      <w:szCs w:val="16"/>
      <w:lang w:eastAsia="en-US"/>
    </w:rPr>
  </w:style>
  <w:style w:type="paragraph" w:styleId="IndexHeading">
    <w:name w:val="Index Heading"/>
    <w:basedOn w:val="Style13"/>
    <w:pPr/>
    <w:rPr/>
  </w:style>
  <w:style w:type="paragraph" w:styleId="TOCHeading">
    <w:name w:val="TOC Heading"/>
    <w:basedOn w:val="Heading1"/>
    <w:next w:val="Normal"/>
    <w:uiPriority w:val="39"/>
    <w:unhideWhenUsed/>
    <w:qFormat/>
    <w:rsid w:val="00093123"/>
    <w:pPr>
      <w:keepLines/>
      <w:spacing w:lineRule="auto" w:line="276" w:before="480" w:after="0"/>
      <w:jc w:val="left"/>
      <w:outlineLvl w:val="9"/>
    </w:pPr>
    <w:rPr>
      <w:color w:val="365F91"/>
      <w:kern w:val="0"/>
      <w:sz w:val="28"/>
      <w:szCs w:val="28"/>
      <w:lang w:val="en-US"/>
    </w:rPr>
  </w:style>
  <w:style w:type="paragraph" w:styleId="TOC1">
    <w:name w:val="TOC 1"/>
    <w:basedOn w:val="Normal"/>
    <w:next w:val="Normal"/>
    <w:autoRedefine/>
    <w:uiPriority w:val="39"/>
    <w:unhideWhenUsed/>
    <w:qFormat/>
    <w:rsid w:val="002d2f5a"/>
    <w:pPr>
      <w:spacing w:before="240" w:after="120"/>
    </w:pPr>
    <w:rPr>
      <w:rFonts w:ascii="Calibri" w:hAnsi="Calibri" w:cs="Calibri" w:asciiTheme="minorHAnsi" w:cstheme="minorHAnsi" w:hAnsiTheme="minorHAnsi"/>
      <w:b/>
      <w:bCs/>
      <w:sz w:val="20"/>
      <w:szCs w:val="20"/>
    </w:rPr>
  </w:style>
  <w:style w:type="paragraph" w:styleId="TOC2">
    <w:name w:val="TOC 2"/>
    <w:basedOn w:val="Normal"/>
    <w:next w:val="Normal"/>
    <w:autoRedefine/>
    <w:uiPriority w:val="39"/>
    <w:unhideWhenUsed/>
    <w:qFormat/>
    <w:rsid w:val="00d96e60"/>
    <w:pPr>
      <w:spacing w:before="120" w:after="0"/>
      <w:ind w:left="240"/>
    </w:pPr>
    <w:rPr>
      <w:rFonts w:ascii="Calibri" w:hAnsi="Calibri" w:cs="Calibri" w:asciiTheme="minorHAnsi" w:cstheme="minorHAnsi" w:hAnsiTheme="minorHAnsi"/>
      <w:i/>
      <w:iCs/>
      <w:sz w:val="20"/>
      <w:szCs w:val="20"/>
    </w:rPr>
  </w:style>
  <w:style w:type="paragraph" w:styleId="TOC3">
    <w:name w:val="TOC 3"/>
    <w:basedOn w:val="Normal"/>
    <w:next w:val="Normal"/>
    <w:autoRedefine/>
    <w:uiPriority w:val="39"/>
    <w:unhideWhenUsed/>
    <w:qFormat/>
    <w:rsid w:val="00ce4cae"/>
    <w:pPr>
      <w:ind w:left="480"/>
    </w:pPr>
    <w:rPr>
      <w:rFonts w:ascii="Calibri" w:hAnsi="Calibri" w:cs="Calibri" w:asciiTheme="minorHAnsi" w:cstheme="minorHAnsi" w:hAnsiTheme="minorHAnsi"/>
      <w:sz w:val="20"/>
      <w:szCs w:val="20"/>
    </w:rPr>
  </w:style>
  <w:style w:type="paragraph" w:styleId="TOC4">
    <w:name w:val="TOC 4"/>
    <w:basedOn w:val="Normal"/>
    <w:next w:val="Normal"/>
    <w:autoRedefine/>
    <w:uiPriority w:val="39"/>
    <w:unhideWhenUsed/>
    <w:rsid w:val="00093123"/>
    <w:pPr>
      <w:ind w:left="720"/>
    </w:pPr>
    <w:rPr>
      <w:rFonts w:ascii="Calibri" w:hAnsi="Calibri" w:cs="Calibri" w:asciiTheme="minorHAnsi" w:cstheme="minorHAnsi" w:hAnsiTheme="minorHAnsi"/>
      <w:sz w:val="20"/>
      <w:szCs w:val="20"/>
    </w:rPr>
  </w:style>
  <w:style w:type="paragraph" w:styleId="TOC5">
    <w:name w:val="TOC 5"/>
    <w:basedOn w:val="Normal"/>
    <w:next w:val="Normal"/>
    <w:autoRedefine/>
    <w:uiPriority w:val="39"/>
    <w:unhideWhenUsed/>
    <w:rsid w:val="00093123"/>
    <w:pPr>
      <w:ind w:left="960"/>
    </w:pPr>
    <w:rPr>
      <w:rFonts w:ascii="Calibri" w:hAnsi="Calibri" w:cs="Calibri" w:asciiTheme="minorHAnsi" w:cstheme="minorHAnsi" w:hAnsiTheme="minorHAnsi"/>
      <w:sz w:val="20"/>
      <w:szCs w:val="20"/>
    </w:rPr>
  </w:style>
  <w:style w:type="paragraph" w:styleId="TOC6">
    <w:name w:val="TOC 6"/>
    <w:basedOn w:val="Normal"/>
    <w:next w:val="Normal"/>
    <w:autoRedefine/>
    <w:uiPriority w:val="39"/>
    <w:unhideWhenUsed/>
    <w:rsid w:val="00093123"/>
    <w:pPr>
      <w:ind w:left="1200"/>
    </w:pPr>
    <w:rPr>
      <w:rFonts w:ascii="Calibri" w:hAnsi="Calibri" w:cs="Calibri" w:asciiTheme="minorHAnsi" w:cstheme="minorHAnsi" w:hAnsiTheme="minorHAnsi"/>
      <w:sz w:val="20"/>
      <w:szCs w:val="20"/>
    </w:rPr>
  </w:style>
  <w:style w:type="paragraph" w:styleId="TOC7">
    <w:name w:val="TOC 7"/>
    <w:basedOn w:val="Normal"/>
    <w:next w:val="Normal"/>
    <w:autoRedefine/>
    <w:uiPriority w:val="39"/>
    <w:unhideWhenUsed/>
    <w:rsid w:val="00093123"/>
    <w:pPr>
      <w:ind w:left="1440"/>
    </w:pPr>
    <w:rPr>
      <w:rFonts w:ascii="Calibri" w:hAnsi="Calibri" w:cs="Calibri" w:asciiTheme="minorHAnsi" w:cstheme="minorHAnsi" w:hAnsiTheme="minorHAnsi"/>
      <w:sz w:val="20"/>
      <w:szCs w:val="20"/>
    </w:rPr>
  </w:style>
  <w:style w:type="paragraph" w:styleId="TOC8">
    <w:name w:val="TOC 8"/>
    <w:basedOn w:val="Normal"/>
    <w:next w:val="Normal"/>
    <w:autoRedefine/>
    <w:uiPriority w:val="39"/>
    <w:unhideWhenUsed/>
    <w:rsid w:val="00093123"/>
    <w:pPr>
      <w:ind w:left="1680"/>
    </w:pPr>
    <w:rPr>
      <w:rFonts w:ascii="Calibri" w:hAnsi="Calibri" w:cs="Calibri" w:asciiTheme="minorHAnsi" w:cstheme="minorHAnsi" w:hAnsiTheme="minorHAnsi"/>
      <w:sz w:val="20"/>
      <w:szCs w:val="20"/>
    </w:rPr>
  </w:style>
  <w:style w:type="paragraph" w:styleId="TOC9">
    <w:name w:val="TOC 9"/>
    <w:basedOn w:val="Normal"/>
    <w:next w:val="Normal"/>
    <w:autoRedefine/>
    <w:uiPriority w:val="39"/>
    <w:unhideWhenUsed/>
    <w:rsid w:val="00093123"/>
    <w:pPr>
      <w:ind w:left="1920"/>
    </w:pPr>
    <w:rPr>
      <w:rFonts w:ascii="Calibri" w:hAnsi="Calibri" w:cs="Calibri" w:asciiTheme="minorHAnsi" w:cstheme="minorHAnsi" w:hAnsiTheme="minorHAnsi"/>
      <w:sz w:val="20"/>
      <w:szCs w:val="20"/>
    </w:rPr>
  </w:style>
  <w:style w:type="paragraph" w:styleId="FootnoteText">
    <w:name w:val="Footnote Text"/>
    <w:basedOn w:val="Normal"/>
    <w:link w:val="Char3"/>
    <w:uiPriority w:val="99"/>
    <w:semiHidden/>
    <w:unhideWhenUsed/>
    <w:rsid w:val="005f62aa"/>
    <w:pPr>
      <w:spacing w:lineRule="auto" w:line="360" w:before="0" w:after="60"/>
      <w:jc w:val="both"/>
    </w:pPr>
    <w:rPr>
      <w:sz w:val="20"/>
      <w:szCs w:val="20"/>
      <w:lang w:eastAsia="en-US"/>
    </w:rPr>
  </w:style>
  <w:style w:type="paragraph" w:styleId="Caption1">
    <w:name w:val="caption1"/>
    <w:basedOn w:val="Normal"/>
    <w:next w:val="Normal"/>
    <w:uiPriority w:val="35"/>
    <w:unhideWhenUsed/>
    <w:qFormat/>
    <w:rsid w:val="006c1b0a"/>
    <w:pPr>
      <w:spacing w:lineRule="auto" w:line="360" w:before="0" w:after="60"/>
      <w:jc w:val="both"/>
    </w:pPr>
    <w:rPr>
      <w:b/>
      <w:bCs/>
      <w:sz w:val="20"/>
      <w:szCs w:val="20"/>
      <w:lang w:eastAsia="en-US"/>
    </w:rPr>
  </w:style>
  <w:style w:type="paragraph" w:styleId="TableofFigures">
    <w:name w:val="Table of Figures"/>
    <w:basedOn w:val="Normal"/>
    <w:next w:val="Normal"/>
    <w:uiPriority w:val="99"/>
    <w:unhideWhenUsed/>
    <w:rsid w:val="00d9403f"/>
    <w:pPr>
      <w:spacing w:lineRule="auto" w:line="360" w:before="0" w:after="60"/>
      <w:jc w:val="both"/>
    </w:pPr>
    <w:rPr>
      <w:sz w:val="22"/>
      <w:szCs w:val="20"/>
      <w:lang w:eastAsia="en-US"/>
    </w:rPr>
  </w:style>
  <w:style w:type="paragraph" w:styleId="Subtitle">
    <w:name w:val="Subtitle"/>
    <w:basedOn w:val="Normal"/>
    <w:next w:val="Normal"/>
    <w:link w:val="Char5"/>
    <w:uiPriority w:val="11"/>
    <w:qFormat/>
    <w:rsid w:val="008051fd"/>
    <w:pPr>
      <w:spacing w:lineRule="auto" w:line="360" w:before="0" w:after="60"/>
      <w:jc w:val="center"/>
      <w:outlineLvl w:val="1"/>
    </w:pPr>
    <w:rPr>
      <w:rFonts w:ascii="Cambria" w:hAnsi="Cambria"/>
      <w:lang w:eastAsia="en-US"/>
    </w:rPr>
  </w:style>
  <w:style w:type="paragraph" w:styleId="ListParagraph">
    <w:name w:val="List Paragraph"/>
    <w:basedOn w:val="Normal"/>
    <w:uiPriority w:val="34"/>
    <w:qFormat/>
    <w:rsid w:val="00511871"/>
    <w:pPr>
      <w:spacing w:before="0" w:after="0"/>
      <w:ind w:left="720"/>
      <w:contextualSpacing/>
    </w:pPr>
    <w:rPr>
      <w:rFonts w:ascii="Calibri" w:hAnsi="Calibri" w:eastAsia="Calibri"/>
      <w:lang w:eastAsia="en-US"/>
    </w:rPr>
  </w:style>
  <w:style w:type="paragraph" w:styleId="11" w:customStyle="1">
    <w:name w:val="Βιβλιογραφία1"/>
    <w:basedOn w:val="Normal"/>
    <w:link w:val="BibliographyChar"/>
    <w:qFormat/>
    <w:rsid w:val="003b7779"/>
    <w:pPr>
      <w:widowControl w:val="false"/>
      <w:tabs>
        <w:tab w:val="clear" w:pos="720"/>
        <w:tab w:val="left" w:pos="500" w:leader="none"/>
      </w:tabs>
      <w:ind w:hanging="504" w:left="504"/>
      <w:jc w:val="both"/>
    </w:pPr>
    <w:rPr>
      <w:lang w:val="en-US" w:eastAsia="en-US"/>
    </w:rPr>
  </w:style>
  <w:style w:type="paragraph" w:styleId="NormalWeb">
    <w:name w:val="Normal (Web)"/>
    <w:basedOn w:val="Normal"/>
    <w:uiPriority w:val="99"/>
    <w:semiHidden/>
    <w:unhideWhenUsed/>
    <w:qFormat/>
    <w:rsid w:val="00c15e6c"/>
    <w:pPr>
      <w:spacing w:beforeAutospacing="1" w:afterAutospacing="1"/>
    </w:pPr>
    <w:rPr/>
  </w:style>
  <w:style w:type="paragraph" w:styleId="Msonormal" w:customStyle="1">
    <w:name w:val="msonormal"/>
    <w:basedOn w:val="Normal"/>
    <w:qFormat/>
    <w:rsid w:val="000f4f17"/>
    <w:pPr>
      <w:spacing w:beforeAutospacing="1" w:afterAutospacing="1"/>
    </w:pPr>
    <w:rPr/>
  </w:style>
  <w:style w:type="paragraph" w:styleId="Captiontext" w:customStyle="1">
    <w:name w:val="captiontext"/>
    <w:basedOn w:val="Normal"/>
    <w:qFormat/>
    <w:rsid w:val="000f4f17"/>
    <w:pPr>
      <w:spacing w:beforeAutospacing="1" w:afterAutospacing="1"/>
    </w:pPr>
    <w:rPr/>
  </w:style>
  <w:style w:type="paragraph" w:styleId="6" w:customStyle="1">
    <w:name w:val="στυλ6"/>
    <w:basedOn w:val="Heading4"/>
    <w:qFormat/>
    <w:rsid w:val="007b0e7b"/>
    <w:pPr/>
    <w:rPr>
      <w:rFonts w:eastAsia="Calibri" w:cs="Times New Roman"/>
      <w:lang w:eastAsia="el-GR"/>
    </w:rPr>
  </w:style>
  <w:style w:type="paragraph" w:styleId="12" w:customStyle="1">
    <w:name w:val="Στυλ1"/>
    <w:basedOn w:val="Heading4"/>
    <w:qFormat/>
    <w:rsid w:val="00aa2254"/>
    <w:pPr/>
    <w:rPr>
      <w:rFonts w:eastAsia="Calibri"/>
    </w:rPr>
  </w:style>
  <w:style w:type="paragraph" w:styleId="2" w:customStyle="1">
    <w:name w:val="Στυλ2"/>
    <w:basedOn w:val="Heading4"/>
    <w:autoRedefine/>
    <w:qFormat/>
    <w:rsid w:val="00aa2254"/>
    <w:pPr/>
    <w:rPr/>
  </w:style>
  <w:style w:type="paragraph" w:styleId="3" w:customStyle="1">
    <w:name w:val="Στυλ3"/>
    <w:basedOn w:val="Heading4"/>
    <w:autoRedefine/>
    <w:qFormat/>
    <w:rsid w:val="0005357c"/>
    <w:pPr/>
    <w:rPr/>
  </w:style>
  <w:style w:type="numbering" w:styleId="NoList" w:default="1">
    <w:name w:val="No List"/>
    <w:uiPriority w:val="99"/>
    <w:semiHidden/>
    <w:unhideWhenUsed/>
    <w:qFormat/>
  </w:style>
  <w:style w:type="table" w:default="1" w:styleId="a1">
    <w:name w:val="Normal Table"/>
    <w:uiPriority w:val="99"/>
    <w:semiHidden/>
    <w:unhideWhenUsed/>
    <w:tblPr>
      <w:tblCellMar>
        <w:top w:w="0" w:type="dxa"/>
        <w:left w:w="108" w:type="dxa"/>
        <w:bottom w:w="0" w:type="dxa"/>
        <w:right w:w="108" w:type="dxa"/>
      </w:tblCellMar>
    </w:tblPr>
  </w:style>
  <w:style w:type="table" w:styleId="ae">
    <w:name w:val="Table Grid"/>
    <w:basedOn w:val="a1"/>
    <w:uiPriority w:val="59"/>
    <w:rsid w:val="00b62d0e"/>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eader" Target="header1.xml"/><Relationship Id="rId4" Type="http://schemas.openxmlformats.org/officeDocument/2006/relationships/header" Target="header2.xml"/><Relationship Id="rId5" Type="http://schemas.openxmlformats.org/officeDocument/2006/relationships/header" Target="header3.xml"/><Relationship Id="rId6" Type="http://schemas.openxmlformats.org/officeDocument/2006/relationships/footer" Target="footer1.xml"/><Relationship Id="rId7" Type="http://schemas.openxmlformats.org/officeDocument/2006/relationships/footer" Target="footer2.xml"/><Relationship Id="rId8" Type="http://schemas.openxmlformats.org/officeDocument/2006/relationships/footer" Target="footer3.xml"/><Relationship Id="rId9" Type="http://schemas.openxmlformats.org/officeDocument/2006/relationships/header" Target="header4.xml"/><Relationship Id="rId10" Type="http://schemas.openxmlformats.org/officeDocument/2006/relationships/header" Target="header5.xml"/><Relationship Id="rId11" Type="http://schemas.openxmlformats.org/officeDocument/2006/relationships/header" Target="header6.xml"/><Relationship Id="rId12" Type="http://schemas.openxmlformats.org/officeDocument/2006/relationships/footer" Target="footer4.xml"/><Relationship Id="rId13" Type="http://schemas.openxmlformats.org/officeDocument/2006/relationships/footer" Target="footer5.xml"/><Relationship Id="rId14" Type="http://schemas.openxmlformats.org/officeDocument/2006/relationships/footer" Target="footer6.xml"/><Relationship Id="rId15" Type="http://schemas.openxmlformats.org/officeDocument/2006/relationships/image" Target="media/image1.png"/><Relationship Id="rId16" Type="http://schemas.openxmlformats.org/officeDocument/2006/relationships/image" Target="media/image2.png"/><Relationship Id="rId17" Type="http://schemas.openxmlformats.org/officeDocument/2006/relationships/image" Target="media/image3.jpeg"/><Relationship Id="rId18" Type="http://schemas.openxmlformats.org/officeDocument/2006/relationships/hyperlink" Target="https://www.ncbi.nlm.nih.gov/pubmed/" TargetMode="External"/><Relationship Id="rId19" Type="http://schemas.openxmlformats.org/officeDocument/2006/relationships/hyperlink" Target="http://www.sciencedirect.com/" TargetMode="External"/><Relationship Id="rId20" Type="http://schemas.openxmlformats.org/officeDocument/2006/relationships/hyperlink" Target="https://scholar.google.gr/" TargetMode="External"/><Relationship Id="rId21" Type="http://schemas.openxmlformats.org/officeDocument/2006/relationships/hyperlink" Target="http://ieeexplore.ieee.org/" TargetMode="External"/><Relationship Id="rId22" Type="http://schemas.openxmlformats.org/officeDocument/2006/relationships/image" Target="media/image4.png"/><Relationship Id="rId23" Type="http://schemas.openxmlformats.org/officeDocument/2006/relationships/image" Target="media/image5.png"/><Relationship Id="rId24" Type="http://schemas.openxmlformats.org/officeDocument/2006/relationships/image" Target="media/image6.png"/><Relationship Id="rId25" Type="http://schemas.openxmlformats.org/officeDocument/2006/relationships/image" Target="media/image7.png"/><Relationship Id="rId26" Type="http://schemas.openxmlformats.org/officeDocument/2006/relationships/image" Target="media/image8.png"/><Relationship Id="rId27" Type="http://schemas.openxmlformats.org/officeDocument/2006/relationships/image" Target="media/image9.png"/><Relationship Id="rId28" Type="http://schemas.openxmlformats.org/officeDocument/2006/relationships/image" Target="media/image10.png"/><Relationship Id="rId29" Type="http://schemas.openxmlformats.org/officeDocument/2006/relationships/image" Target="media/image11.png"/><Relationship Id="rId30" Type="http://schemas.openxmlformats.org/officeDocument/2006/relationships/image" Target="media/image12.png"/><Relationship Id="rId31" Type="http://schemas.openxmlformats.org/officeDocument/2006/relationships/image" Target="media/image13.png"/><Relationship Id="rId32" Type="http://schemas.openxmlformats.org/officeDocument/2006/relationships/image" Target="media/image14.png"/><Relationship Id="rId33" Type="http://schemas.openxmlformats.org/officeDocument/2006/relationships/image" Target="media/image15.png"/><Relationship Id="rId34" Type="http://schemas.openxmlformats.org/officeDocument/2006/relationships/header" Target="header7.xml"/><Relationship Id="rId35" Type="http://schemas.openxmlformats.org/officeDocument/2006/relationships/header" Target="header8.xml"/><Relationship Id="rId36" Type="http://schemas.openxmlformats.org/officeDocument/2006/relationships/header" Target="header9.xml"/><Relationship Id="rId37" Type="http://schemas.openxmlformats.org/officeDocument/2006/relationships/footer" Target="footer7.xml"/><Relationship Id="rId38" Type="http://schemas.openxmlformats.org/officeDocument/2006/relationships/footer" Target="footer8.xml"/><Relationship Id="rId39" Type="http://schemas.openxmlformats.org/officeDocument/2006/relationships/footer" Target="footer9.xml"/><Relationship Id="rId40" Type="http://schemas.openxmlformats.org/officeDocument/2006/relationships/numbering" Target="numbering.xml"/><Relationship Id="rId41" Type="http://schemas.openxmlformats.org/officeDocument/2006/relationships/fontTable" Target="fontTable.xml"/><Relationship Id="rId42" Type="http://schemas.openxmlformats.org/officeDocument/2006/relationships/settings" Target="settings.xml"/><Relationship Id="rId43" Type="http://schemas.openxmlformats.org/officeDocument/2006/relationships/theme" Target="theme/theme1.xml"/><Relationship Id="rId44" Type="http://schemas.openxmlformats.org/officeDocument/2006/relationships/customXml" Target="../customXml/item1.xml"/>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itchFamily="0" charset="1"/>
        <a:ea typeface=""/>
        <a:cs typeface=""/>
      </a:majorFont>
      <a:minorFont>
        <a:latin typeface="Calibri"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shade val="51000"/>
              </a:schemeClr>
            </a:gs>
            <a:gs pos="80000">
              <a:schemeClr val="phClr">
                <a:shade val="93000"/>
              </a:schemeClr>
            </a:gs>
            <a:gs pos="100000">
              <a:schemeClr val="phClr">
                <a:shade val="94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340CAD7-D751-4A36-9400-386141389F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Application>LibreOffice/24.2.2.2$Windows_X86_64 LibreOffice_project/d56cc158d8a96260b836f100ef4b4ef25d6f1a01</Application>
  <AppVersion>15.0000</AppVersion>
  <Pages>108</Pages>
  <Words>29301</Words>
  <Characters>181040</Characters>
  <CharactersWithSpaces>209611</CharactersWithSpaces>
  <Paragraphs>916</Paragraphs>
  <Company>Hewlett-Packard</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2023-12-31T09:25:00Z</dcterms:created>
  <dc:creator>Δημήτρης</dc:creator>
  <dc:description/>
  <dc:language>el-GR</dc:language>
  <cp:lastModifiedBy/>
  <cp:lastPrinted>2023-11-18T17:52:00Z</cp:lastPrinted>
  <dcterms:modified xsi:type="dcterms:W3CDTF">2024-05-17T10:31:30Z</dcterms:modified>
  <cp:revision>6</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Citation Style_1">
    <vt:lpwstr>http://www.zotero.org/styles/ieee</vt:lpwstr>
  </property>
  <property fmtid="{D5CDD505-2E9C-101B-9397-08002B2CF9AE}" pid="3" name="Mendeley Document_1">
    <vt:lpwstr>True</vt:lpwstr>
  </property>
  <property fmtid="{D5CDD505-2E9C-101B-9397-08002B2CF9AE}" pid="4" name="Mendeley Recent Style Id 0_1">
    <vt:lpwstr>http://www.zotero.org/styles/american-medical-association</vt:lpwstr>
  </property>
  <property fmtid="{D5CDD505-2E9C-101B-9397-08002B2CF9AE}" pid="5" name="Mendeley Recent Style Id 1_1">
    <vt:lpwstr>http://www.zotero.org/styles/american-political-science-association</vt:lpwstr>
  </property>
  <property fmtid="{D5CDD505-2E9C-101B-9397-08002B2CF9AE}" pid="6" name="Mendeley Recent Style Id 2_1">
    <vt:lpwstr>http://www.zotero.org/styles/apa</vt:lpwstr>
  </property>
  <property fmtid="{D5CDD505-2E9C-101B-9397-08002B2CF9AE}" pid="7" name="Mendeley Recent Style Id 3_1">
    <vt:lpwstr>http://www.zotero.org/styles/american-sociological-association</vt:lpwstr>
  </property>
  <property fmtid="{D5CDD505-2E9C-101B-9397-08002B2CF9AE}" pid="8" name="Mendeley Recent Style Id 4_1">
    <vt:lpwstr>http://www.zotero.org/styles/chicago-author-date</vt:lpwstr>
  </property>
  <property fmtid="{D5CDD505-2E9C-101B-9397-08002B2CF9AE}" pid="9" name="Mendeley Recent Style Id 5_1">
    <vt:lpwstr>http://www.zotero.org/styles/harvard-cite-them-right</vt:lpwstr>
  </property>
  <property fmtid="{D5CDD505-2E9C-101B-9397-08002B2CF9AE}" pid="10" name="Mendeley Recent Style Id 6_1">
    <vt:lpwstr>http://www.zotero.org/styles/ieee</vt:lpwstr>
  </property>
  <property fmtid="{D5CDD505-2E9C-101B-9397-08002B2CF9AE}" pid="11" name="Mendeley Recent Style Id 7_1">
    <vt:lpwstr>http://www.zotero.org/styles/modern-humanities-research-association</vt:lpwstr>
  </property>
  <property fmtid="{D5CDD505-2E9C-101B-9397-08002B2CF9AE}" pid="12" name="Mendeley Recent Style Id 8_1">
    <vt:lpwstr>http://www.zotero.org/styles/modern-language-association</vt:lpwstr>
  </property>
  <property fmtid="{D5CDD505-2E9C-101B-9397-08002B2CF9AE}" pid="13" name="Mendeley Recent Style Id 9_1">
    <vt:lpwstr>http://www.zotero.org/styles/nature</vt:lpwstr>
  </property>
  <property fmtid="{D5CDD505-2E9C-101B-9397-08002B2CF9AE}" pid="14" name="Mendeley Recent Style Name 0_1">
    <vt:lpwstr>American Medical Association</vt:lpwstr>
  </property>
  <property fmtid="{D5CDD505-2E9C-101B-9397-08002B2CF9AE}" pid="15" name="Mendeley Recent Style Name 1_1">
    <vt:lpwstr>American Political Science Association</vt:lpwstr>
  </property>
  <property fmtid="{D5CDD505-2E9C-101B-9397-08002B2CF9AE}" pid="16" name="Mendeley Recent Style Name 2_1">
    <vt:lpwstr>American Psychological Association 6th edition</vt:lpwstr>
  </property>
  <property fmtid="{D5CDD505-2E9C-101B-9397-08002B2CF9AE}" pid="17" name="Mendeley Recent Style Name 3_1">
    <vt:lpwstr>American Sociological Association</vt:lpwstr>
  </property>
  <property fmtid="{D5CDD505-2E9C-101B-9397-08002B2CF9AE}" pid="18" name="Mendeley Recent Style Name 4_1">
    <vt:lpwstr>Chicago Manual of Style 17th edition (author-date)</vt:lpwstr>
  </property>
  <property fmtid="{D5CDD505-2E9C-101B-9397-08002B2CF9AE}" pid="19" name="Mendeley Recent Style Name 5_1">
    <vt:lpwstr>Cite Them Right 10th edition - Harvard</vt:lpwstr>
  </property>
  <property fmtid="{D5CDD505-2E9C-101B-9397-08002B2CF9AE}" pid="20" name="Mendeley Recent Style Name 6_1">
    <vt:lpwstr>IEEE</vt:lpwstr>
  </property>
  <property fmtid="{D5CDD505-2E9C-101B-9397-08002B2CF9AE}" pid="21" name="Mendeley Recent Style Name 7_1">
    <vt:lpwstr>Modern Humanities Research Association 3rd edition (note with bibliography)</vt:lpwstr>
  </property>
  <property fmtid="{D5CDD505-2E9C-101B-9397-08002B2CF9AE}" pid="22" name="Mendeley Recent Style Name 8_1">
    <vt:lpwstr>Modern Language Association 8th edition</vt:lpwstr>
  </property>
  <property fmtid="{D5CDD505-2E9C-101B-9397-08002B2CF9AE}" pid="23" name="Mendeley Recent Style Name 9_1">
    <vt:lpwstr>Nature</vt:lpwstr>
  </property>
  <property fmtid="{D5CDD505-2E9C-101B-9397-08002B2CF9AE}" pid="24" name="Mendeley Unique User Id_1">
    <vt:lpwstr>fa539a69-1e26-3daa-a209-237fcf9f3341</vt:lpwstr>
  </property>
  <property fmtid="{D5CDD505-2E9C-101B-9397-08002B2CF9AE}" pid="25" name="ZOTERO_PREF_1">
    <vt:lpwstr>&lt;data data-version="3" zotero-version="6.0.30"&gt;&lt;session id="sr3tF9El"/&gt;&lt;style id="http://www.zotero.org/styles/ieee" locale="el-GR" hasBibliography="1" bibliographyStyleHasBeenSet="1"/&gt;&lt;prefs&gt;&lt;pref name="fieldType" value="Field"/&gt;&lt;pref name="automaticJour</vt:lpwstr>
  </property>
  <property fmtid="{D5CDD505-2E9C-101B-9397-08002B2CF9AE}" pid="26" name="ZOTERO_PREF_2">
    <vt:lpwstr>nalAbbreviations" value="true"/&gt;&lt;pref name="dontAskDelayCitationUpdates" value="true"/&gt;&lt;/prefs&gt;&lt;/data&gt;</vt:lpwstr>
  </property>
</Properties>
</file>