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514D6" w14:textId="70066E4A" w:rsidR="004E69CD" w:rsidRPr="00730D74" w:rsidRDefault="00730D74" w:rsidP="004E69CD">
      <w:pPr>
        <w:spacing w:before="240"/>
        <w:jc w:val="center"/>
        <w:rPr>
          <w:lang w:val="en-US"/>
        </w:rPr>
      </w:pPr>
      <w:bookmarkStart w:id="0" w:name="_Hlk199063415"/>
      <w:bookmarkEnd w:id="0"/>
      <w:r>
        <w:rPr>
          <w:noProof/>
          <w14:ligatures w14:val="standardContextual"/>
        </w:rPr>
        <w:drawing>
          <wp:inline distT="0" distB="0" distL="0" distR="0" wp14:anchorId="04A60D63" wp14:editId="135D7076">
            <wp:extent cx="954157" cy="903325"/>
            <wp:effectExtent l="0" t="0" r="0" b="0"/>
            <wp:docPr id="6" name="Εικόνα 1" descr="ΕΜΠ: Αιφνιδιαστήκαμε από τις εξαγγελίες περί ενοποίησης Αρχαιολογικο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ΜΠ: Αιφνιδιαστήκαμε από τις εξαγγελίες περί ενοποίησης Αρχαιολογικού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7917" cy="935286"/>
                    </a:xfrm>
                    <a:prstGeom prst="rect">
                      <a:avLst/>
                    </a:prstGeom>
                    <a:noFill/>
                    <a:ln>
                      <a:noFill/>
                    </a:ln>
                  </pic:spPr>
                </pic:pic>
              </a:graphicData>
            </a:graphic>
          </wp:inline>
        </w:drawing>
      </w:r>
    </w:p>
    <w:p w14:paraId="32DD1702" w14:textId="77777777" w:rsidR="004E69CD" w:rsidRPr="00A831E7" w:rsidRDefault="004E69CD" w:rsidP="004E69CD">
      <w:pPr>
        <w:tabs>
          <w:tab w:val="center" w:pos="4153"/>
          <w:tab w:val="right" w:pos="8306"/>
        </w:tabs>
        <w:spacing w:before="240"/>
        <w:jc w:val="center"/>
        <w:rPr>
          <w:sz w:val="32"/>
        </w:rPr>
      </w:pPr>
      <w:r w:rsidRPr="00A831E7">
        <w:rPr>
          <w:sz w:val="40"/>
        </w:rPr>
        <w:t>Ε</w:t>
      </w:r>
      <w:r w:rsidRPr="00A831E7">
        <w:rPr>
          <w:sz w:val="32"/>
        </w:rPr>
        <w:t xml:space="preserve">ΘΝΙΚΟ </w:t>
      </w:r>
      <w:r w:rsidRPr="00A831E7">
        <w:rPr>
          <w:sz w:val="40"/>
        </w:rPr>
        <w:t>Μ</w:t>
      </w:r>
      <w:r w:rsidRPr="00A831E7">
        <w:rPr>
          <w:sz w:val="32"/>
        </w:rPr>
        <w:t xml:space="preserve">ΕΤΣΟΒΙΟ </w:t>
      </w:r>
      <w:r w:rsidRPr="00A831E7">
        <w:rPr>
          <w:sz w:val="40"/>
        </w:rPr>
        <w:t>Π</w:t>
      </w:r>
      <w:r w:rsidRPr="00A831E7">
        <w:rPr>
          <w:sz w:val="32"/>
        </w:rPr>
        <w:t>ΟΛΥΤΕΧΝΕΙΟ</w:t>
      </w:r>
    </w:p>
    <w:p w14:paraId="66C86338" w14:textId="77777777" w:rsidR="004E69CD" w:rsidRPr="00A831E7" w:rsidRDefault="004E69CD" w:rsidP="004E69CD">
      <w:pPr>
        <w:spacing w:before="120"/>
        <w:jc w:val="center"/>
      </w:pPr>
      <w:r w:rsidRPr="00A831E7">
        <w:rPr>
          <w:sz w:val="28"/>
        </w:rPr>
        <w:t>Σ</w:t>
      </w:r>
      <w:r w:rsidRPr="00A831E7">
        <w:t xml:space="preserve">ΧΟΛΗ </w:t>
      </w:r>
      <w:r w:rsidRPr="00A831E7">
        <w:rPr>
          <w:sz w:val="28"/>
        </w:rPr>
        <w:t>Η</w:t>
      </w:r>
      <w:r w:rsidRPr="00A831E7">
        <w:t xml:space="preserve">ΛΕΚΤΡΟΛΟΓΩΝ </w:t>
      </w:r>
      <w:r w:rsidRPr="00A831E7">
        <w:rPr>
          <w:sz w:val="28"/>
        </w:rPr>
        <w:t>Μ</w:t>
      </w:r>
      <w:r w:rsidRPr="00A831E7">
        <w:t xml:space="preserve">ΗΧΑΝΙΚΩΝ </w:t>
      </w:r>
      <w:r w:rsidRPr="00A831E7">
        <w:rPr>
          <w:sz w:val="28"/>
        </w:rPr>
        <w:t>Κ</w:t>
      </w:r>
      <w:r w:rsidRPr="00A831E7">
        <w:t xml:space="preserve">ΑΙ </w:t>
      </w:r>
      <w:r w:rsidRPr="00A831E7">
        <w:rPr>
          <w:sz w:val="28"/>
        </w:rPr>
        <w:t>Μ</w:t>
      </w:r>
      <w:r w:rsidRPr="00A831E7">
        <w:t xml:space="preserve">ΗΧΑΝΙΚΩΝ </w:t>
      </w:r>
      <w:r w:rsidRPr="00A831E7">
        <w:rPr>
          <w:sz w:val="28"/>
        </w:rPr>
        <w:t>Υ</w:t>
      </w:r>
      <w:r w:rsidRPr="00A831E7">
        <w:t>ΠΟΛΟΓΙΣΤΩΝ</w:t>
      </w:r>
    </w:p>
    <w:p w14:paraId="30933DBA" w14:textId="2934FC61" w:rsidR="004E69CD" w:rsidRPr="00A831E7" w:rsidRDefault="0020697C" w:rsidP="004E69CD">
      <w:pPr>
        <w:spacing w:before="120"/>
        <w:jc w:val="center"/>
        <w:rPr>
          <w:smallCaps/>
          <w:sz w:val="28"/>
          <w:szCs w:val="28"/>
        </w:rPr>
      </w:pPr>
      <w:r w:rsidRPr="00A831E7">
        <w:rPr>
          <w:smallCaps/>
          <w:sz w:val="28"/>
          <w:szCs w:val="28"/>
        </w:rPr>
        <w:t>Τομέας</w:t>
      </w:r>
      <w:r w:rsidR="004E69CD" w:rsidRPr="00A831E7">
        <w:rPr>
          <w:smallCaps/>
          <w:sz w:val="28"/>
          <w:szCs w:val="28"/>
        </w:rPr>
        <w:t xml:space="preserve"> ΣΥΣΤΗΜΑΤΩΝ ΜΕΤΑΔΟΣΗΣ ΠΛΗΡΟΦΟΡΙΑΣ</w:t>
      </w:r>
    </w:p>
    <w:p w14:paraId="1BB3CF01" w14:textId="77777777" w:rsidR="004E69CD" w:rsidRPr="00A831E7" w:rsidRDefault="004E69CD" w:rsidP="004E69CD">
      <w:pPr>
        <w:spacing w:before="120"/>
        <w:jc w:val="center"/>
        <w:rPr>
          <w:smallCaps/>
          <w:szCs w:val="28"/>
        </w:rPr>
      </w:pPr>
      <w:r w:rsidRPr="00A831E7">
        <w:rPr>
          <w:smallCaps/>
          <w:sz w:val="28"/>
          <w:szCs w:val="28"/>
        </w:rPr>
        <w:t>ΚΑΙ ΤΕΧΝΟΛΟΓΙΑΣ ΥΛΙΚΩΝ</w:t>
      </w:r>
    </w:p>
    <w:p w14:paraId="5C19294F" w14:textId="77777777" w:rsidR="004E69CD" w:rsidRPr="00A831E7" w:rsidRDefault="004E69CD" w:rsidP="004E69CD">
      <w:pPr>
        <w:rPr>
          <w:b/>
        </w:rPr>
      </w:pPr>
      <w:r w:rsidRPr="00A831E7">
        <w:tab/>
      </w:r>
      <w:r w:rsidRPr="00A831E7">
        <w:tab/>
      </w:r>
      <w:r w:rsidRPr="00A831E7">
        <w:tab/>
      </w:r>
      <w:r w:rsidRPr="00A831E7">
        <w:tab/>
      </w:r>
      <w:r w:rsidRPr="00A831E7">
        <w:tab/>
      </w:r>
    </w:p>
    <w:p w14:paraId="4C52B4A2" w14:textId="77777777" w:rsidR="004E69CD" w:rsidRPr="00A831E7" w:rsidRDefault="004E69CD" w:rsidP="004E69CD">
      <w:pPr>
        <w:keepNext/>
        <w:outlineLvl w:val="0"/>
        <w:rPr>
          <w:b/>
          <w:sz w:val="32"/>
        </w:rPr>
      </w:pPr>
    </w:p>
    <w:p w14:paraId="1BE88B23" w14:textId="77777777" w:rsidR="004E69CD" w:rsidRPr="00A831E7" w:rsidRDefault="004E69CD" w:rsidP="004E69CD"/>
    <w:p w14:paraId="432E80DA" w14:textId="77777777" w:rsidR="004E69CD" w:rsidRPr="00A831E7" w:rsidRDefault="004E69CD" w:rsidP="004E69CD"/>
    <w:p w14:paraId="6A11FB71" w14:textId="155AE56E" w:rsidR="004E69CD" w:rsidRPr="00A831E7" w:rsidRDefault="003A0F43" w:rsidP="004E69CD">
      <w:pPr>
        <w:jc w:val="center"/>
        <w:rPr>
          <w:b/>
          <w:sz w:val="32"/>
        </w:rPr>
      </w:pPr>
      <w:r w:rsidRPr="00A831E7">
        <w:rPr>
          <w:b/>
          <w:sz w:val="32"/>
        </w:rPr>
        <w:t>Διάγνωση Εγκεφαλικού Επεισοδίου</w:t>
      </w:r>
      <w:r w:rsidR="00FF128D" w:rsidRPr="00A831E7">
        <w:rPr>
          <w:b/>
          <w:sz w:val="32"/>
        </w:rPr>
        <w:t xml:space="preserve">: Μέθοδοι Μηχανικής Μάθησης και </w:t>
      </w:r>
      <w:r w:rsidR="00281029" w:rsidRPr="00A831E7">
        <w:rPr>
          <w:b/>
          <w:sz w:val="32"/>
        </w:rPr>
        <w:t xml:space="preserve">Εφαρμογές </w:t>
      </w:r>
      <w:r w:rsidR="00FF128D" w:rsidRPr="00A831E7">
        <w:rPr>
          <w:b/>
          <w:sz w:val="32"/>
        </w:rPr>
        <w:t>Point</w:t>
      </w:r>
      <w:r w:rsidR="003F6BC2" w:rsidRPr="00A831E7">
        <w:rPr>
          <w:b/>
          <w:sz w:val="32"/>
        </w:rPr>
        <w:t>-</w:t>
      </w:r>
      <w:r w:rsidR="00FF128D" w:rsidRPr="00A831E7">
        <w:rPr>
          <w:b/>
          <w:sz w:val="32"/>
        </w:rPr>
        <w:t>of</w:t>
      </w:r>
      <w:r w:rsidR="003F6BC2" w:rsidRPr="00A831E7">
        <w:rPr>
          <w:b/>
          <w:sz w:val="32"/>
        </w:rPr>
        <w:t>-</w:t>
      </w:r>
      <w:r w:rsidR="00FF128D" w:rsidRPr="00A831E7">
        <w:rPr>
          <w:b/>
          <w:sz w:val="32"/>
        </w:rPr>
        <w:t>Care</w:t>
      </w:r>
      <w:r w:rsidR="009E35BE" w:rsidRPr="00A831E7">
        <w:rPr>
          <w:b/>
          <w:sz w:val="32"/>
        </w:rPr>
        <w:t xml:space="preserve"> </w:t>
      </w:r>
      <w:r w:rsidR="003F6BC2" w:rsidRPr="00A831E7">
        <w:rPr>
          <w:b/>
          <w:sz w:val="32"/>
        </w:rPr>
        <w:t>–</w:t>
      </w:r>
    </w:p>
    <w:p w14:paraId="4EE80C7F" w14:textId="77777777" w:rsidR="004E69CD" w:rsidRPr="00A831E7" w:rsidRDefault="004E69CD" w:rsidP="004E69CD">
      <w:pPr>
        <w:jc w:val="center"/>
        <w:rPr>
          <w:b/>
          <w:sz w:val="32"/>
        </w:rPr>
      </w:pPr>
      <w:r w:rsidRPr="00A831E7">
        <w:rPr>
          <w:b/>
          <w:sz w:val="32"/>
        </w:rPr>
        <w:t>μια συστηματική μελέτη</w:t>
      </w:r>
    </w:p>
    <w:p w14:paraId="373433F0" w14:textId="77777777" w:rsidR="004E69CD" w:rsidRPr="00A831E7" w:rsidRDefault="004E69CD" w:rsidP="004E69CD"/>
    <w:p w14:paraId="68B942D2" w14:textId="77777777" w:rsidR="004E69CD" w:rsidRPr="00A831E7" w:rsidRDefault="004E69CD" w:rsidP="004E69CD"/>
    <w:p w14:paraId="26455AD1" w14:textId="77777777" w:rsidR="004E69CD" w:rsidRPr="00A831E7" w:rsidRDefault="004E69CD" w:rsidP="004E69CD"/>
    <w:p w14:paraId="4DB9C650" w14:textId="77777777" w:rsidR="004E69CD" w:rsidRPr="00A831E7" w:rsidRDefault="004E69CD" w:rsidP="004E69CD"/>
    <w:p w14:paraId="6AF9C25A" w14:textId="77777777" w:rsidR="004E69CD" w:rsidRPr="00A831E7" w:rsidRDefault="004E69CD" w:rsidP="004E69CD">
      <w:pPr>
        <w:jc w:val="center"/>
        <w:rPr>
          <w:sz w:val="32"/>
        </w:rPr>
      </w:pPr>
      <w:r w:rsidRPr="00A831E7">
        <w:rPr>
          <w:sz w:val="32"/>
        </w:rPr>
        <w:t>ΔΙΠΛΩΜΑΤΙΚΗ ΕΡΓΑΣΙΑ</w:t>
      </w:r>
    </w:p>
    <w:p w14:paraId="0AA1E7FE" w14:textId="77777777" w:rsidR="004E69CD" w:rsidRPr="00A831E7" w:rsidRDefault="004E69CD" w:rsidP="004E69CD">
      <w:pPr>
        <w:jc w:val="center"/>
        <w:rPr>
          <w:b/>
        </w:rPr>
      </w:pPr>
    </w:p>
    <w:p w14:paraId="004DA0F7" w14:textId="77777777" w:rsidR="004E69CD" w:rsidRPr="00A831E7" w:rsidRDefault="004E69CD" w:rsidP="004E69CD">
      <w:pPr>
        <w:jc w:val="center"/>
      </w:pPr>
      <w:r w:rsidRPr="00A831E7">
        <w:t>του</w:t>
      </w:r>
    </w:p>
    <w:p w14:paraId="3D24E538" w14:textId="77777777" w:rsidR="004E69CD" w:rsidRPr="00A831E7" w:rsidRDefault="004E69CD" w:rsidP="004E69CD">
      <w:pPr>
        <w:jc w:val="center"/>
        <w:rPr>
          <w:b/>
        </w:rPr>
      </w:pPr>
    </w:p>
    <w:p w14:paraId="4B7A65BE" w14:textId="2160260F" w:rsidR="004E69CD" w:rsidRPr="00A831E7" w:rsidRDefault="004E69CD" w:rsidP="004E69CD">
      <w:pPr>
        <w:jc w:val="center"/>
        <w:rPr>
          <w:b/>
        </w:rPr>
      </w:pPr>
      <w:r w:rsidRPr="00A831E7">
        <w:rPr>
          <w:b/>
        </w:rPr>
        <w:t>ΤΕΤΡΙΓΓΑ ΙΩΑΝΝΗ</w:t>
      </w:r>
    </w:p>
    <w:p w14:paraId="319E0E6E" w14:textId="77777777" w:rsidR="004E69CD" w:rsidRPr="00A831E7" w:rsidRDefault="004E69CD" w:rsidP="004E69CD">
      <w:pPr>
        <w:jc w:val="center"/>
      </w:pPr>
    </w:p>
    <w:p w14:paraId="179C54BA" w14:textId="77777777" w:rsidR="004E69CD" w:rsidRPr="00A831E7" w:rsidRDefault="004E69CD" w:rsidP="004E69CD">
      <w:pPr>
        <w:jc w:val="center"/>
      </w:pPr>
    </w:p>
    <w:p w14:paraId="636B10FA" w14:textId="77777777" w:rsidR="004E69CD" w:rsidRPr="00A831E7" w:rsidRDefault="004E69CD" w:rsidP="004E69CD">
      <w:pPr>
        <w:jc w:val="center"/>
      </w:pPr>
    </w:p>
    <w:p w14:paraId="1D772382" w14:textId="77777777" w:rsidR="004E69CD" w:rsidRPr="00A831E7" w:rsidRDefault="004E69CD" w:rsidP="004E69CD"/>
    <w:p w14:paraId="7E9A0026" w14:textId="77777777" w:rsidR="004E69CD" w:rsidRPr="00A831E7" w:rsidRDefault="004E69CD" w:rsidP="004E69CD">
      <w:pPr>
        <w:jc w:val="center"/>
      </w:pPr>
    </w:p>
    <w:p w14:paraId="7504AE68" w14:textId="77777777" w:rsidR="004E69CD" w:rsidRPr="00A831E7" w:rsidRDefault="004E69CD" w:rsidP="004E69CD">
      <w:pPr>
        <w:jc w:val="center"/>
      </w:pPr>
    </w:p>
    <w:p w14:paraId="4FA3CEAE" w14:textId="77777777" w:rsidR="004E69CD" w:rsidRPr="00A831E7" w:rsidRDefault="004E69CD" w:rsidP="004E69CD"/>
    <w:p w14:paraId="5A3CCFA3" w14:textId="77777777" w:rsidR="004E69CD" w:rsidRPr="00A831E7" w:rsidRDefault="004E69CD" w:rsidP="004E69CD">
      <w:pPr>
        <w:jc w:val="center"/>
      </w:pPr>
    </w:p>
    <w:p w14:paraId="69F685AA" w14:textId="77777777" w:rsidR="004E69CD" w:rsidRPr="00A831E7" w:rsidRDefault="004E69CD" w:rsidP="004E69CD">
      <w:pPr>
        <w:spacing w:after="40"/>
      </w:pPr>
      <w:r w:rsidRPr="00A831E7">
        <w:rPr>
          <w:b/>
        </w:rPr>
        <w:t>Επιβλέπων :</w:t>
      </w:r>
      <w:r w:rsidRPr="00A831E7">
        <w:rPr>
          <w:b/>
        </w:rPr>
        <w:tab/>
      </w:r>
      <w:r w:rsidRPr="00A831E7">
        <w:rPr>
          <w:b/>
        </w:rPr>
        <w:tab/>
      </w:r>
      <w:r w:rsidRPr="00A831E7">
        <w:rPr>
          <w:bCs/>
        </w:rPr>
        <w:t>Γεώργιος Ματσόπουλος</w:t>
      </w:r>
    </w:p>
    <w:p w14:paraId="3172C8B7" w14:textId="77777777" w:rsidR="004E69CD" w:rsidRPr="00A831E7" w:rsidRDefault="004E69CD" w:rsidP="004E69CD">
      <w:pPr>
        <w:ind w:left="1440" w:firstLine="720"/>
      </w:pPr>
      <w:r w:rsidRPr="00A831E7">
        <w:t>Καθηγητής Ε.Μ.Π.</w:t>
      </w:r>
    </w:p>
    <w:p w14:paraId="519BBE77" w14:textId="77777777" w:rsidR="004E69CD" w:rsidRDefault="004E69CD" w:rsidP="004E69CD">
      <w:pPr>
        <w:rPr>
          <w:b/>
        </w:rPr>
      </w:pPr>
    </w:p>
    <w:p w14:paraId="3CB8BDED" w14:textId="6CCA592C" w:rsidR="006A1AA2" w:rsidRPr="00CD5136" w:rsidRDefault="006A1AA2" w:rsidP="00CD5136">
      <w:pPr>
        <w:rPr>
          <w:bCs/>
          <w:lang w:val="en-US"/>
        </w:rPr>
      </w:pPr>
    </w:p>
    <w:p w14:paraId="165B115B" w14:textId="77777777" w:rsidR="006C17B0" w:rsidRDefault="006C17B0" w:rsidP="004E69CD">
      <w:pPr>
        <w:rPr>
          <w:b/>
        </w:rPr>
      </w:pPr>
    </w:p>
    <w:p w14:paraId="56C6AFDD" w14:textId="77777777" w:rsidR="00623AE6" w:rsidRDefault="00623AE6" w:rsidP="004E69CD">
      <w:pPr>
        <w:rPr>
          <w:b/>
        </w:rPr>
      </w:pPr>
    </w:p>
    <w:p w14:paraId="2F0F2493" w14:textId="77777777" w:rsidR="00623AE6" w:rsidRDefault="00623AE6" w:rsidP="004E69CD">
      <w:pPr>
        <w:rPr>
          <w:b/>
        </w:rPr>
      </w:pPr>
    </w:p>
    <w:p w14:paraId="47E8879E" w14:textId="77777777" w:rsidR="00623AE6" w:rsidRPr="00A831E7" w:rsidRDefault="00623AE6" w:rsidP="004E69CD"/>
    <w:p w14:paraId="6A2679E4" w14:textId="77777777" w:rsidR="004E69CD" w:rsidRPr="00A831E7" w:rsidRDefault="004E69CD" w:rsidP="00B23C33"/>
    <w:p w14:paraId="611F0B33" w14:textId="77777777" w:rsidR="004E69CD" w:rsidRPr="00A831E7" w:rsidRDefault="004E69CD" w:rsidP="004E69CD">
      <w:pPr>
        <w:jc w:val="center"/>
      </w:pPr>
    </w:p>
    <w:p w14:paraId="7EFD8887" w14:textId="56BD6135" w:rsidR="004E69CD" w:rsidRPr="00A831E7" w:rsidRDefault="004E69CD" w:rsidP="004E69CD">
      <w:pPr>
        <w:jc w:val="center"/>
        <w:sectPr w:rsidR="004E69CD" w:rsidRPr="00A831E7" w:rsidSect="00924BAE">
          <w:headerReference w:type="default" r:id="rId9"/>
          <w:footerReference w:type="default" r:id="rId10"/>
          <w:headerReference w:type="first" r:id="rId11"/>
          <w:footerReference w:type="first" r:id="rId12"/>
          <w:pgSz w:w="11906" w:h="16838" w:code="9"/>
          <w:pgMar w:top="1418" w:right="1418" w:bottom="1418" w:left="1588" w:header="720" w:footer="720" w:gutter="0"/>
          <w:cols w:space="708"/>
          <w:docGrid w:linePitch="360"/>
        </w:sectPr>
      </w:pPr>
      <w:r w:rsidRPr="00A831E7">
        <w:t xml:space="preserve">Αθήνα, </w:t>
      </w:r>
      <w:r w:rsidR="00476A91" w:rsidRPr="00A831E7">
        <w:t>Ιούνιος</w:t>
      </w:r>
      <w:r w:rsidRPr="00A831E7">
        <w:t xml:space="preserve"> 2025</w:t>
      </w:r>
    </w:p>
    <w:p w14:paraId="5F6B9D8D" w14:textId="77777777" w:rsidR="004E69CD" w:rsidRPr="00A831E7" w:rsidRDefault="004E69CD" w:rsidP="004E69CD"/>
    <w:p w14:paraId="3E880376" w14:textId="77777777" w:rsidR="004E69CD" w:rsidRPr="00A831E7" w:rsidRDefault="004E69CD" w:rsidP="004E69CD"/>
    <w:p w14:paraId="02F9AC86" w14:textId="77777777" w:rsidR="004E69CD" w:rsidRPr="00A831E7" w:rsidRDefault="004E69CD" w:rsidP="004E69CD"/>
    <w:p w14:paraId="3F5C3E50" w14:textId="77777777" w:rsidR="004E69CD" w:rsidRPr="00A831E7" w:rsidRDefault="004E69CD" w:rsidP="004E69CD"/>
    <w:p w14:paraId="50CF4E4B" w14:textId="77777777" w:rsidR="004E69CD" w:rsidRPr="00A831E7" w:rsidRDefault="004E69CD" w:rsidP="004E69CD"/>
    <w:p w14:paraId="3BFB6BD0" w14:textId="77777777" w:rsidR="004E69CD" w:rsidRPr="00A831E7" w:rsidRDefault="004E69CD" w:rsidP="004E69CD"/>
    <w:p w14:paraId="3763D8DD" w14:textId="77777777" w:rsidR="004E69CD" w:rsidRPr="00A831E7" w:rsidRDefault="004E69CD" w:rsidP="004E69CD"/>
    <w:p w14:paraId="0C836902" w14:textId="77777777" w:rsidR="004E69CD" w:rsidRPr="00A831E7" w:rsidRDefault="004E69CD" w:rsidP="004E69CD"/>
    <w:p w14:paraId="28603996" w14:textId="77777777" w:rsidR="004E69CD" w:rsidRPr="00A831E7" w:rsidRDefault="004E69CD" w:rsidP="004E69CD"/>
    <w:p w14:paraId="0E8DEA64" w14:textId="77777777" w:rsidR="004E69CD" w:rsidRPr="00A831E7" w:rsidRDefault="004E69CD" w:rsidP="004E69CD"/>
    <w:p w14:paraId="7565A8F6" w14:textId="77777777" w:rsidR="004E69CD" w:rsidRPr="00A831E7" w:rsidRDefault="004E69CD" w:rsidP="004E69CD"/>
    <w:p w14:paraId="580FCCC4" w14:textId="77777777" w:rsidR="004E69CD" w:rsidRPr="00A831E7" w:rsidRDefault="004E69CD" w:rsidP="004E69CD"/>
    <w:p w14:paraId="712F6E84" w14:textId="77777777" w:rsidR="004E69CD" w:rsidRPr="00A831E7" w:rsidRDefault="004E69CD" w:rsidP="004E69CD"/>
    <w:p w14:paraId="43AFACB2" w14:textId="77777777" w:rsidR="004E69CD" w:rsidRPr="00A831E7" w:rsidRDefault="004E69CD" w:rsidP="004E69CD"/>
    <w:p w14:paraId="4581147C" w14:textId="77777777" w:rsidR="004E69CD" w:rsidRPr="00A831E7" w:rsidRDefault="004E69CD" w:rsidP="004E69CD"/>
    <w:p w14:paraId="03FBC180" w14:textId="77777777" w:rsidR="004E69CD" w:rsidRPr="00A831E7" w:rsidRDefault="004E69CD" w:rsidP="004E69CD"/>
    <w:p w14:paraId="6C3B06EA" w14:textId="77777777" w:rsidR="004E69CD" w:rsidRPr="00A831E7" w:rsidRDefault="004E69CD" w:rsidP="004E69CD"/>
    <w:p w14:paraId="2F8540C9" w14:textId="77777777" w:rsidR="004E69CD" w:rsidRPr="00A831E7" w:rsidRDefault="004E69CD" w:rsidP="004E69CD"/>
    <w:p w14:paraId="26132993" w14:textId="77777777" w:rsidR="004E69CD" w:rsidRPr="00A831E7" w:rsidRDefault="004E69CD" w:rsidP="004E69CD"/>
    <w:p w14:paraId="482EBBFA" w14:textId="77777777" w:rsidR="004E69CD" w:rsidRPr="00A831E7" w:rsidRDefault="004E69CD" w:rsidP="004E69CD"/>
    <w:p w14:paraId="43EE3BEA" w14:textId="77777777" w:rsidR="004E69CD" w:rsidRPr="00A831E7" w:rsidRDefault="004E69CD" w:rsidP="004E69CD"/>
    <w:p w14:paraId="257D4E89" w14:textId="77777777" w:rsidR="004E69CD" w:rsidRPr="00A831E7" w:rsidRDefault="004E69CD" w:rsidP="004E69CD"/>
    <w:p w14:paraId="533A9F08" w14:textId="043C5E5D" w:rsidR="004E69CD" w:rsidRPr="00A831E7" w:rsidRDefault="004E69CD" w:rsidP="004E69CD">
      <w:r w:rsidRPr="00A831E7">
        <w:t>Η σελίδα αυτή είναι σκόπιμα λευκή.</w:t>
      </w:r>
      <w:r w:rsidRPr="00A831E7">
        <w:br w:type="page"/>
      </w:r>
    </w:p>
    <w:p w14:paraId="1AFCD8A0" w14:textId="77777777" w:rsidR="004E69CD" w:rsidRPr="00A831E7" w:rsidRDefault="004E69CD" w:rsidP="004E69CD">
      <w:pPr>
        <w:sectPr w:rsidR="004E69CD" w:rsidRPr="00A831E7" w:rsidSect="00924BAE">
          <w:headerReference w:type="default" r:id="rId13"/>
          <w:footerReference w:type="default" r:id="rId14"/>
          <w:pgSz w:w="11906" w:h="16838" w:code="9"/>
          <w:pgMar w:top="1418" w:right="1418" w:bottom="1418" w:left="1588" w:header="720" w:footer="720" w:gutter="0"/>
          <w:cols w:space="708"/>
          <w:titlePg/>
          <w:docGrid w:linePitch="360"/>
        </w:sectPr>
      </w:pPr>
    </w:p>
    <w:p w14:paraId="0AF3D7C4" w14:textId="77777777" w:rsidR="004E69CD" w:rsidRPr="00A831E7" w:rsidRDefault="004E69CD" w:rsidP="004E69CD">
      <w:pPr>
        <w:spacing w:before="120"/>
      </w:pPr>
      <w:r w:rsidRPr="00A831E7">
        <w:rPr>
          <w:noProof/>
        </w:rPr>
        <w:lastRenderedPageBreak/>
        <w:drawing>
          <wp:anchor distT="0" distB="0" distL="114300" distR="114300" simplePos="0" relativeHeight="251659264" behindDoc="0" locked="0" layoutInCell="1" allowOverlap="0" wp14:anchorId="7B2E8F15" wp14:editId="6858024F">
            <wp:simplePos x="0" y="0"/>
            <wp:positionH relativeFrom="column">
              <wp:posOffset>3893</wp:posOffset>
            </wp:positionH>
            <wp:positionV relativeFrom="paragraph">
              <wp:posOffset>96286</wp:posOffset>
            </wp:positionV>
            <wp:extent cx="828040" cy="785576"/>
            <wp:effectExtent l="0" t="0" r="0" b="0"/>
            <wp:wrapSquare wrapText="bothSides"/>
            <wp:docPr id="9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2"/>
                    <pic:cNvPicPr>
                      <a:picLocks/>
                    </pic:cNvPicPr>
                  </pic:nvPicPr>
                  <pic:blipFill>
                    <a:blip r:embed="rId15">
                      <a:extLst>
                        <a:ext uri="{28A0092B-C50C-407E-A947-70E740481C1C}">
                          <a14:useLocalDpi xmlns:a14="http://schemas.microsoft.com/office/drawing/2010/main" val="0"/>
                        </a:ext>
                      </a:extLst>
                    </a:blip>
                    <a:stretch>
                      <a:fillRect/>
                    </a:stretch>
                  </pic:blipFill>
                  <pic:spPr bwMode="auto">
                    <a:xfrm>
                      <a:off x="0" y="0"/>
                      <a:ext cx="828040" cy="785576"/>
                    </a:xfrm>
                    <a:prstGeom prst="rect">
                      <a:avLst/>
                    </a:prstGeom>
                    <a:noFill/>
                  </pic:spPr>
                </pic:pic>
              </a:graphicData>
            </a:graphic>
            <wp14:sizeRelH relativeFrom="page">
              <wp14:pctWidth>0</wp14:pctWidth>
            </wp14:sizeRelH>
            <wp14:sizeRelV relativeFrom="page">
              <wp14:pctHeight>0</wp14:pctHeight>
            </wp14:sizeRelV>
          </wp:anchor>
        </w:drawing>
      </w:r>
      <w:r w:rsidRPr="00A831E7">
        <w:t>ΕΘΝΙΚΟ ΜΕΤΣΟΒΙΟ ΠΟΛΥΤΕΧΝΕΙΟ</w:t>
      </w:r>
    </w:p>
    <w:p w14:paraId="47A93638" w14:textId="77777777" w:rsidR="004E69CD" w:rsidRPr="00A831E7" w:rsidRDefault="004E69CD" w:rsidP="004E69CD">
      <w:pPr>
        <w:spacing w:before="60"/>
        <w:rPr>
          <w:sz w:val="20"/>
        </w:rPr>
      </w:pPr>
      <w:r w:rsidRPr="00A831E7">
        <w:rPr>
          <w:sz w:val="20"/>
        </w:rPr>
        <w:t>ΣΧΟΛΗ ΗΛΕΚΤΡΟΛΟΓΩΝ ΜΗΧΑΝΙΚΩΝ</w:t>
      </w:r>
    </w:p>
    <w:p w14:paraId="4191EF24" w14:textId="77777777" w:rsidR="004E69CD" w:rsidRPr="00A831E7" w:rsidRDefault="004E69CD" w:rsidP="004E69CD">
      <w:pPr>
        <w:rPr>
          <w:sz w:val="20"/>
        </w:rPr>
      </w:pPr>
      <w:r w:rsidRPr="00A831E7">
        <w:rPr>
          <w:sz w:val="20"/>
        </w:rPr>
        <w:t>ΚΑΙ ΜΗΧΑΝΙΚΩΝ ΥΠΟΛΟΓΙΣΤΩΝ</w:t>
      </w:r>
    </w:p>
    <w:p w14:paraId="16900808" w14:textId="77777777" w:rsidR="004E69CD" w:rsidRPr="00A831E7" w:rsidRDefault="004E69CD" w:rsidP="004E69CD">
      <w:pPr>
        <w:rPr>
          <w:caps/>
          <w:sz w:val="20"/>
        </w:rPr>
      </w:pPr>
      <w:r w:rsidRPr="00A831E7">
        <w:rPr>
          <w:caps/>
          <w:sz w:val="20"/>
        </w:rPr>
        <w:t xml:space="preserve">Τομέας συστηματων μεταδοσησ πληροφοριασ </w:t>
      </w:r>
    </w:p>
    <w:p w14:paraId="2E90C71E" w14:textId="77777777" w:rsidR="004E69CD" w:rsidRPr="00A831E7" w:rsidRDefault="004E69CD" w:rsidP="004E69CD">
      <w:pPr>
        <w:rPr>
          <w:caps/>
          <w:sz w:val="20"/>
        </w:rPr>
      </w:pPr>
      <w:r w:rsidRPr="00A831E7">
        <w:rPr>
          <w:caps/>
          <w:sz w:val="20"/>
        </w:rPr>
        <w:t>και τεχνολογιασ υλικων</w:t>
      </w:r>
    </w:p>
    <w:p w14:paraId="033383D2" w14:textId="77777777" w:rsidR="004E69CD" w:rsidRPr="00A831E7" w:rsidRDefault="004E69CD" w:rsidP="004E69CD">
      <w:pPr>
        <w:rPr>
          <w:caps/>
          <w:sz w:val="20"/>
        </w:rPr>
      </w:pPr>
    </w:p>
    <w:p w14:paraId="6A54D26C" w14:textId="77777777" w:rsidR="004E69CD" w:rsidRPr="00A831E7" w:rsidRDefault="004E69CD" w:rsidP="004E69CD">
      <w:pPr>
        <w:rPr>
          <w:caps/>
          <w:sz w:val="20"/>
        </w:rPr>
      </w:pPr>
    </w:p>
    <w:p w14:paraId="53196FD9" w14:textId="77777777" w:rsidR="004E69CD" w:rsidRPr="00A831E7" w:rsidRDefault="004E69CD" w:rsidP="004E69CD">
      <w:pPr>
        <w:rPr>
          <w:caps/>
          <w:sz w:val="20"/>
        </w:rPr>
      </w:pPr>
    </w:p>
    <w:p w14:paraId="11E4B6EB" w14:textId="77777777" w:rsidR="004E69CD" w:rsidRPr="00A831E7" w:rsidRDefault="004E69CD" w:rsidP="004E69CD">
      <w:pPr>
        <w:rPr>
          <w:sz w:val="32"/>
        </w:rPr>
      </w:pPr>
    </w:p>
    <w:p w14:paraId="0E4A1C1B" w14:textId="77777777" w:rsidR="004E69CD" w:rsidRPr="00A831E7" w:rsidRDefault="004E69CD" w:rsidP="004E69CD">
      <w:pPr>
        <w:rPr>
          <w:sz w:val="32"/>
        </w:rPr>
      </w:pPr>
    </w:p>
    <w:p w14:paraId="5B331007" w14:textId="083F6AE7" w:rsidR="009E35BE" w:rsidRPr="00A831E7" w:rsidRDefault="009E35BE" w:rsidP="009E35BE">
      <w:pPr>
        <w:jc w:val="center"/>
        <w:rPr>
          <w:b/>
          <w:sz w:val="32"/>
        </w:rPr>
      </w:pPr>
      <w:r w:rsidRPr="00A831E7">
        <w:rPr>
          <w:b/>
          <w:sz w:val="32"/>
        </w:rPr>
        <w:t xml:space="preserve">Διάγνωση Εγκεφαλικού Επεισοδίου: Μέθοδοι Μηχανικής Μάθησης και </w:t>
      </w:r>
      <w:r w:rsidR="00540F82" w:rsidRPr="00A831E7">
        <w:rPr>
          <w:b/>
          <w:sz w:val="32"/>
        </w:rPr>
        <w:t>Ε</w:t>
      </w:r>
      <w:r w:rsidRPr="00A831E7">
        <w:rPr>
          <w:b/>
          <w:sz w:val="32"/>
        </w:rPr>
        <w:t xml:space="preserve">φαρμογές Point-of-Care </w:t>
      </w:r>
      <w:r w:rsidR="003F6BC2" w:rsidRPr="00A831E7">
        <w:rPr>
          <w:b/>
          <w:sz w:val="32"/>
        </w:rPr>
        <w:t>–</w:t>
      </w:r>
    </w:p>
    <w:p w14:paraId="42150227" w14:textId="3F0B0A10" w:rsidR="004E69CD" w:rsidRPr="00A831E7" w:rsidRDefault="004E69CD" w:rsidP="009E35BE">
      <w:pPr>
        <w:jc w:val="center"/>
        <w:rPr>
          <w:b/>
          <w:sz w:val="32"/>
        </w:rPr>
      </w:pPr>
      <w:r w:rsidRPr="00A831E7">
        <w:rPr>
          <w:b/>
          <w:sz w:val="32"/>
        </w:rPr>
        <w:t>μια συστηματική μελέτη</w:t>
      </w:r>
    </w:p>
    <w:p w14:paraId="3B0073F3" w14:textId="77777777" w:rsidR="004E69CD" w:rsidRPr="00A831E7" w:rsidRDefault="004E69CD" w:rsidP="004E69CD">
      <w:pPr>
        <w:jc w:val="center"/>
        <w:rPr>
          <w:b/>
          <w:sz w:val="36"/>
        </w:rPr>
      </w:pPr>
    </w:p>
    <w:p w14:paraId="1B6D0CB1" w14:textId="77777777" w:rsidR="004E69CD" w:rsidRPr="00A831E7" w:rsidRDefault="004E69CD" w:rsidP="004E69CD"/>
    <w:p w14:paraId="418CACDB" w14:textId="77777777" w:rsidR="004E69CD" w:rsidRPr="00A831E7" w:rsidRDefault="004E69CD" w:rsidP="004E69CD">
      <w:pPr>
        <w:spacing w:after="120"/>
      </w:pPr>
    </w:p>
    <w:p w14:paraId="4CD01D22" w14:textId="77777777" w:rsidR="004E69CD" w:rsidRPr="00A831E7" w:rsidRDefault="004E69CD" w:rsidP="004E69CD">
      <w:pPr>
        <w:jc w:val="center"/>
        <w:rPr>
          <w:sz w:val="32"/>
        </w:rPr>
      </w:pPr>
      <w:r w:rsidRPr="00A831E7">
        <w:rPr>
          <w:sz w:val="32"/>
        </w:rPr>
        <w:t>ΔΙΠΛΩΜΑΤΙΚΗ ΕΡΓΑΣΙΑ</w:t>
      </w:r>
    </w:p>
    <w:p w14:paraId="66FA7771" w14:textId="77777777" w:rsidR="004E69CD" w:rsidRPr="00A831E7" w:rsidRDefault="004E69CD" w:rsidP="004E69CD">
      <w:pPr>
        <w:jc w:val="center"/>
        <w:rPr>
          <w:b/>
        </w:rPr>
      </w:pPr>
    </w:p>
    <w:p w14:paraId="31C51EF1" w14:textId="77777777" w:rsidR="004E69CD" w:rsidRPr="00A831E7" w:rsidRDefault="004E69CD" w:rsidP="004E69CD">
      <w:pPr>
        <w:jc w:val="center"/>
      </w:pPr>
      <w:r w:rsidRPr="00A831E7">
        <w:t>του</w:t>
      </w:r>
    </w:p>
    <w:p w14:paraId="7240C4D0" w14:textId="77777777" w:rsidR="004E69CD" w:rsidRPr="00A831E7" w:rsidRDefault="004E69CD" w:rsidP="004E69CD">
      <w:pPr>
        <w:jc w:val="center"/>
        <w:rPr>
          <w:b/>
        </w:rPr>
      </w:pPr>
    </w:p>
    <w:p w14:paraId="39CB416B" w14:textId="65467BAD" w:rsidR="004E69CD" w:rsidRPr="00A831E7" w:rsidRDefault="004E69CD" w:rsidP="004E69CD">
      <w:pPr>
        <w:jc w:val="center"/>
        <w:rPr>
          <w:b/>
        </w:rPr>
      </w:pPr>
      <w:r w:rsidRPr="00A831E7">
        <w:rPr>
          <w:b/>
        </w:rPr>
        <w:t>ΤΕΤΡΙΓΓΑ ΙΩΑΝΝΗ</w:t>
      </w:r>
    </w:p>
    <w:p w14:paraId="45998867" w14:textId="77777777" w:rsidR="004E69CD" w:rsidRPr="00A831E7" w:rsidRDefault="004E69CD" w:rsidP="004E69CD"/>
    <w:p w14:paraId="2E12ABCA" w14:textId="77777777" w:rsidR="004E69CD" w:rsidRPr="00A831E7" w:rsidRDefault="004E69CD" w:rsidP="004E69CD">
      <w:pPr>
        <w:jc w:val="center"/>
      </w:pPr>
    </w:p>
    <w:p w14:paraId="1D552C17" w14:textId="77777777" w:rsidR="004E69CD" w:rsidRPr="00A831E7" w:rsidRDefault="004E69CD" w:rsidP="004E69CD">
      <w:pPr>
        <w:jc w:val="center"/>
      </w:pPr>
    </w:p>
    <w:p w14:paraId="678941AC" w14:textId="77777777" w:rsidR="004E69CD" w:rsidRPr="00A831E7" w:rsidRDefault="004E69CD" w:rsidP="004E69CD">
      <w:pPr>
        <w:jc w:val="center"/>
      </w:pPr>
    </w:p>
    <w:p w14:paraId="17A96317" w14:textId="77777777" w:rsidR="004E69CD" w:rsidRPr="00A831E7" w:rsidRDefault="004E69CD" w:rsidP="004E69CD">
      <w:pPr>
        <w:jc w:val="center"/>
      </w:pPr>
    </w:p>
    <w:p w14:paraId="584B29A5" w14:textId="77777777" w:rsidR="004E69CD" w:rsidRPr="00A831E7" w:rsidRDefault="004E69CD" w:rsidP="004E69CD">
      <w:pPr>
        <w:jc w:val="center"/>
      </w:pPr>
    </w:p>
    <w:p w14:paraId="568972EF" w14:textId="77777777" w:rsidR="004E69CD" w:rsidRPr="00A831E7" w:rsidRDefault="004E69CD" w:rsidP="004E69CD">
      <w:pPr>
        <w:spacing w:after="40"/>
      </w:pPr>
      <w:r w:rsidRPr="00A831E7">
        <w:rPr>
          <w:b/>
        </w:rPr>
        <w:t>Επιβλέπων :</w:t>
      </w:r>
      <w:r w:rsidRPr="00A831E7">
        <w:rPr>
          <w:b/>
        </w:rPr>
        <w:tab/>
      </w:r>
      <w:r w:rsidRPr="00A831E7">
        <w:rPr>
          <w:b/>
        </w:rPr>
        <w:tab/>
      </w:r>
      <w:r w:rsidRPr="00A831E7">
        <w:rPr>
          <w:bCs/>
        </w:rPr>
        <w:t>Γεώργιος Ματσόπουλος</w:t>
      </w:r>
    </w:p>
    <w:p w14:paraId="720B2C6A" w14:textId="77777777" w:rsidR="004E69CD" w:rsidRDefault="004E69CD" w:rsidP="004E69CD">
      <w:pPr>
        <w:ind w:left="1440" w:firstLine="720"/>
      </w:pPr>
      <w:r w:rsidRPr="00A831E7">
        <w:t>Καθηγητής Ε.Μ.Π.</w:t>
      </w:r>
    </w:p>
    <w:p w14:paraId="1E3A46FF" w14:textId="77777777" w:rsidR="00CD5136" w:rsidRDefault="00CD5136" w:rsidP="004E69CD">
      <w:pPr>
        <w:ind w:left="1440" w:firstLine="720"/>
      </w:pPr>
    </w:p>
    <w:p w14:paraId="395F89C0" w14:textId="77777777" w:rsidR="00CD5136" w:rsidRDefault="00CD5136" w:rsidP="004E69CD">
      <w:pPr>
        <w:ind w:left="1440" w:firstLine="720"/>
        <w:rPr>
          <w:b/>
        </w:rPr>
      </w:pPr>
    </w:p>
    <w:p w14:paraId="4B1C557C" w14:textId="77777777" w:rsidR="00F35486" w:rsidRDefault="00F35486" w:rsidP="004E69CD">
      <w:pPr>
        <w:ind w:left="1440" w:firstLine="720"/>
        <w:rPr>
          <w:b/>
        </w:rPr>
      </w:pPr>
    </w:p>
    <w:p w14:paraId="0DEEBF5E" w14:textId="77777777" w:rsidR="00F35486" w:rsidRPr="00A831E7" w:rsidRDefault="00F35486" w:rsidP="004E69CD">
      <w:pPr>
        <w:ind w:left="1440" w:firstLine="720"/>
      </w:pPr>
    </w:p>
    <w:p w14:paraId="2E61AD5A" w14:textId="77777777" w:rsidR="004E69CD" w:rsidRPr="00A831E7" w:rsidRDefault="004E69CD" w:rsidP="004E69CD"/>
    <w:p w14:paraId="744417EE" w14:textId="77777777" w:rsidR="004E69CD" w:rsidRPr="00A831E7" w:rsidRDefault="004E69CD" w:rsidP="004E69CD">
      <w:pPr>
        <w:jc w:val="center"/>
      </w:pPr>
    </w:p>
    <w:p w14:paraId="7356F52D" w14:textId="1123E81B" w:rsidR="004E69CD" w:rsidRPr="00A831E7" w:rsidRDefault="004E69CD" w:rsidP="004E69CD">
      <w:r w:rsidRPr="00A831E7">
        <w:t xml:space="preserve">Εγκρίθηκε από την τριμελή εξεταστική επιτροπή την </w:t>
      </w:r>
      <w:r w:rsidR="006A1AA2" w:rsidRPr="006C17B0">
        <w:t>4η</w:t>
      </w:r>
      <w:r w:rsidRPr="00A831E7">
        <w:t xml:space="preserve"> </w:t>
      </w:r>
      <w:r w:rsidR="00E06B14">
        <w:t>Ιουνίου</w:t>
      </w:r>
      <w:r w:rsidRPr="00A831E7">
        <w:t xml:space="preserve"> 2025.</w:t>
      </w:r>
    </w:p>
    <w:p w14:paraId="6A08B8F4" w14:textId="77777777" w:rsidR="004E69CD" w:rsidRPr="00A831E7" w:rsidRDefault="004E69CD" w:rsidP="004E69CD">
      <w:pPr>
        <w:jc w:val="center"/>
      </w:pPr>
    </w:p>
    <w:p w14:paraId="6BAC6159" w14:textId="77777777" w:rsidR="004E69CD" w:rsidRPr="00A831E7" w:rsidRDefault="004E69CD" w:rsidP="004E69CD">
      <w:pPr>
        <w:jc w:val="center"/>
      </w:pPr>
    </w:p>
    <w:p w14:paraId="4F1F8513" w14:textId="77777777" w:rsidR="004E69CD" w:rsidRPr="00A831E7" w:rsidRDefault="004E69CD" w:rsidP="004E69CD">
      <w:pPr>
        <w:keepNext/>
        <w:outlineLvl w:val="0"/>
        <w:rPr>
          <w:sz w:val="32"/>
        </w:rPr>
      </w:pPr>
    </w:p>
    <w:p w14:paraId="0740F98E" w14:textId="77777777" w:rsidR="004E69CD" w:rsidRPr="00A831E7" w:rsidRDefault="004E69CD" w:rsidP="004E69CD">
      <w:pPr>
        <w:ind w:left="540"/>
      </w:pPr>
      <w:r w:rsidRPr="00A831E7">
        <w:rPr>
          <w:i/>
        </w:rPr>
        <w:t>(Υπογραφή)</w:t>
      </w:r>
      <w:r w:rsidRPr="00A831E7">
        <w:rPr>
          <w:i/>
        </w:rPr>
        <w:tab/>
      </w:r>
      <w:r w:rsidRPr="00A831E7">
        <w:rPr>
          <w:i/>
        </w:rPr>
        <w:tab/>
        <w:t xml:space="preserve">         (Υπογραφή)</w:t>
      </w:r>
      <w:r w:rsidRPr="00A831E7">
        <w:rPr>
          <w:i/>
        </w:rPr>
        <w:tab/>
      </w:r>
      <w:r w:rsidRPr="00A831E7">
        <w:rPr>
          <w:i/>
        </w:rPr>
        <w:tab/>
        <w:t xml:space="preserve">         (Υπογραφή)</w:t>
      </w:r>
    </w:p>
    <w:p w14:paraId="62B27348" w14:textId="77777777" w:rsidR="004E69CD" w:rsidRPr="00A831E7" w:rsidRDefault="004E69CD" w:rsidP="004E69CD">
      <w:pPr>
        <w:jc w:val="center"/>
      </w:pPr>
      <w:r w:rsidRPr="00A831E7">
        <w:t>...................................</w:t>
      </w:r>
      <w:r w:rsidRPr="00A831E7">
        <w:tab/>
      </w:r>
      <w:r w:rsidRPr="00A831E7">
        <w:tab/>
        <w:t>...................................</w:t>
      </w:r>
      <w:r w:rsidRPr="00A831E7">
        <w:tab/>
      </w:r>
      <w:r w:rsidRPr="00A831E7">
        <w:tab/>
        <w:t>...................................</w:t>
      </w:r>
    </w:p>
    <w:p w14:paraId="72FD81EC" w14:textId="15EE6FD9" w:rsidR="004E69CD" w:rsidRPr="00623AE6" w:rsidRDefault="00623AE6" w:rsidP="00623AE6">
      <w:pPr>
        <w:spacing w:after="40"/>
      </w:pPr>
      <w:r>
        <w:rPr>
          <w:bCs/>
          <w:sz w:val="20"/>
        </w:rPr>
        <w:t xml:space="preserve">     </w:t>
      </w:r>
      <w:r w:rsidR="004E69CD" w:rsidRPr="00A831E7">
        <w:rPr>
          <w:bCs/>
          <w:sz w:val="20"/>
        </w:rPr>
        <w:t xml:space="preserve">Γ. Ματσόπουλος </w:t>
      </w:r>
      <w:r w:rsidR="004E69CD" w:rsidRPr="00A831E7">
        <w:rPr>
          <w:sz w:val="20"/>
        </w:rPr>
        <w:tab/>
        <w:t xml:space="preserve">                   </w:t>
      </w:r>
      <w:r w:rsidR="006A1AA2" w:rsidRPr="00A831E7">
        <w:rPr>
          <w:sz w:val="20"/>
        </w:rPr>
        <w:t xml:space="preserve">Π. </w:t>
      </w:r>
      <w:r w:rsidR="004E69CD" w:rsidRPr="00A831E7">
        <w:rPr>
          <w:sz w:val="20"/>
        </w:rPr>
        <w:t>Τσανάκας</w:t>
      </w:r>
      <w:r w:rsidR="006A1AA2" w:rsidRPr="00623AE6">
        <w:rPr>
          <w:bCs/>
          <w:sz w:val="20"/>
          <w:szCs w:val="20"/>
        </w:rPr>
        <w:t xml:space="preserve"> </w:t>
      </w:r>
      <w:r w:rsidR="004E69CD" w:rsidRPr="00A831E7">
        <w:rPr>
          <w:sz w:val="20"/>
        </w:rPr>
        <w:tab/>
      </w:r>
      <w:r>
        <w:rPr>
          <w:sz w:val="20"/>
        </w:rPr>
        <w:tab/>
        <w:t xml:space="preserve">     </w:t>
      </w:r>
      <w:r w:rsidR="006A1AA2">
        <w:rPr>
          <w:sz w:val="20"/>
        </w:rPr>
        <w:t xml:space="preserve">              </w:t>
      </w:r>
      <w:r w:rsidRPr="00623AE6">
        <w:rPr>
          <w:bCs/>
          <w:sz w:val="20"/>
          <w:szCs w:val="20"/>
        </w:rPr>
        <w:t>Ουρανία Πετροπούλου</w:t>
      </w:r>
    </w:p>
    <w:p w14:paraId="026E22BD" w14:textId="2FDFDBCB" w:rsidR="004E69CD" w:rsidRPr="00A831E7" w:rsidRDefault="00623AE6" w:rsidP="00623AE6">
      <w:pPr>
        <w:rPr>
          <w:sz w:val="20"/>
        </w:rPr>
      </w:pPr>
      <w:r>
        <w:rPr>
          <w:sz w:val="20"/>
        </w:rPr>
        <w:t xml:space="preserve">     </w:t>
      </w:r>
      <w:r w:rsidR="004E69CD" w:rsidRPr="00A831E7">
        <w:rPr>
          <w:sz w:val="20"/>
        </w:rPr>
        <w:t>Καθηγητής Ε.Μ.Π.</w:t>
      </w:r>
      <w:r w:rsidR="004E69CD" w:rsidRPr="00A831E7">
        <w:rPr>
          <w:sz w:val="20"/>
        </w:rPr>
        <w:tab/>
      </w:r>
      <w:r>
        <w:rPr>
          <w:sz w:val="20"/>
        </w:rPr>
        <w:tab/>
      </w:r>
      <w:r w:rsidR="004E69CD" w:rsidRPr="00A831E7">
        <w:rPr>
          <w:sz w:val="20"/>
        </w:rPr>
        <w:t xml:space="preserve">     Καθηγητής Ε.Μ.Π.</w:t>
      </w:r>
      <w:r w:rsidR="004E69CD" w:rsidRPr="00623AE6">
        <w:rPr>
          <w:sz w:val="16"/>
          <w:szCs w:val="20"/>
        </w:rPr>
        <w:tab/>
      </w:r>
      <w:r w:rsidR="004E69CD" w:rsidRPr="00A831E7">
        <w:rPr>
          <w:sz w:val="20"/>
        </w:rPr>
        <w:tab/>
        <w:t xml:space="preserve">     </w:t>
      </w:r>
      <w:r w:rsidR="00CD5136" w:rsidRPr="008F5904">
        <w:rPr>
          <w:sz w:val="20"/>
        </w:rPr>
        <w:t>ΕΔΙΠ  Ε.Μ.Π.</w:t>
      </w:r>
    </w:p>
    <w:p w14:paraId="563764A1" w14:textId="77777777" w:rsidR="004E69CD" w:rsidRPr="00A831E7" w:rsidRDefault="004E69CD" w:rsidP="004E69CD">
      <w:pPr>
        <w:jc w:val="center"/>
      </w:pPr>
    </w:p>
    <w:p w14:paraId="261C68A2" w14:textId="77777777" w:rsidR="004E69CD" w:rsidRPr="00A831E7" w:rsidRDefault="004E69CD" w:rsidP="004E69CD">
      <w:pPr>
        <w:jc w:val="center"/>
      </w:pPr>
    </w:p>
    <w:p w14:paraId="2AE6C7CC" w14:textId="77777777" w:rsidR="004E69CD" w:rsidRPr="00A831E7" w:rsidRDefault="004E69CD" w:rsidP="004E69CD">
      <w:pPr>
        <w:jc w:val="center"/>
      </w:pPr>
    </w:p>
    <w:p w14:paraId="728BB8BE" w14:textId="6D4DBB11" w:rsidR="004E69CD" w:rsidRPr="00A831E7" w:rsidRDefault="004E69CD" w:rsidP="004E69CD">
      <w:pPr>
        <w:jc w:val="center"/>
      </w:pPr>
      <w:r w:rsidRPr="00A831E7">
        <w:t xml:space="preserve">Αθήνα, </w:t>
      </w:r>
      <w:r w:rsidR="00476A91" w:rsidRPr="00A831E7">
        <w:t>Ιούνιος</w:t>
      </w:r>
      <w:r w:rsidRPr="00A831E7">
        <w:t xml:space="preserve"> 2025</w:t>
      </w:r>
    </w:p>
    <w:p w14:paraId="753B56D8" w14:textId="77777777" w:rsidR="004E69CD" w:rsidRPr="00A831E7" w:rsidRDefault="004E69CD" w:rsidP="004E69CD"/>
    <w:p w14:paraId="007F8632" w14:textId="77777777" w:rsidR="004E69CD" w:rsidRPr="00A831E7" w:rsidRDefault="004E69CD" w:rsidP="004E69CD"/>
    <w:p w14:paraId="374BEB08" w14:textId="77777777" w:rsidR="004E69CD" w:rsidRPr="00A831E7" w:rsidRDefault="004E69CD" w:rsidP="004E69CD"/>
    <w:p w14:paraId="76845497" w14:textId="77777777" w:rsidR="004E69CD" w:rsidRPr="00A831E7" w:rsidRDefault="004E69CD" w:rsidP="004E69CD"/>
    <w:p w14:paraId="4DAE237C" w14:textId="77777777" w:rsidR="004E69CD" w:rsidRPr="00A831E7" w:rsidRDefault="004E69CD" w:rsidP="004E69CD"/>
    <w:p w14:paraId="2C9424FD" w14:textId="77777777" w:rsidR="004E69CD" w:rsidRPr="00A831E7" w:rsidRDefault="004E69CD" w:rsidP="004E69CD"/>
    <w:p w14:paraId="4A5BC8B0" w14:textId="77777777" w:rsidR="004E69CD" w:rsidRPr="00A831E7" w:rsidRDefault="004E69CD" w:rsidP="004E69CD"/>
    <w:p w14:paraId="3E2EEC6B" w14:textId="77777777" w:rsidR="004E69CD" w:rsidRPr="00A831E7" w:rsidRDefault="004E69CD" w:rsidP="004E69CD"/>
    <w:p w14:paraId="29308E9A" w14:textId="77777777" w:rsidR="004E69CD" w:rsidRPr="00A831E7" w:rsidRDefault="004E69CD" w:rsidP="004E69CD"/>
    <w:p w14:paraId="46DB7998" w14:textId="77777777" w:rsidR="004E69CD" w:rsidRPr="00A831E7" w:rsidRDefault="004E69CD" w:rsidP="004E69CD"/>
    <w:p w14:paraId="6CD49947" w14:textId="77777777" w:rsidR="004E69CD" w:rsidRPr="00A831E7" w:rsidRDefault="004E69CD" w:rsidP="004E69CD"/>
    <w:p w14:paraId="33092990" w14:textId="77777777" w:rsidR="004E69CD" w:rsidRPr="00A831E7" w:rsidRDefault="004E69CD" w:rsidP="004E69CD"/>
    <w:p w14:paraId="018C3B07" w14:textId="77777777" w:rsidR="004E69CD" w:rsidRPr="00A831E7" w:rsidRDefault="004E69CD" w:rsidP="004E69CD"/>
    <w:p w14:paraId="7BC13A7B" w14:textId="77777777" w:rsidR="004E69CD" w:rsidRPr="00A831E7" w:rsidRDefault="004E69CD" w:rsidP="004E69CD"/>
    <w:p w14:paraId="3EED70B4" w14:textId="77777777" w:rsidR="004E69CD" w:rsidRPr="00A831E7" w:rsidRDefault="004E69CD" w:rsidP="004E69CD"/>
    <w:p w14:paraId="36097DB0" w14:textId="77777777" w:rsidR="004E69CD" w:rsidRPr="00A831E7" w:rsidRDefault="004E69CD" w:rsidP="004E69CD"/>
    <w:p w14:paraId="252789AD" w14:textId="77777777" w:rsidR="004E69CD" w:rsidRPr="00A831E7" w:rsidRDefault="004E69CD" w:rsidP="004E69CD"/>
    <w:p w14:paraId="78D98949" w14:textId="77777777" w:rsidR="004E69CD" w:rsidRPr="00A831E7" w:rsidRDefault="004E69CD" w:rsidP="004E69CD"/>
    <w:p w14:paraId="4C74B4BF" w14:textId="77777777" w:rsidR="004E69CD" w:rsidRPr="00A831E7" w:rsidRDefault="004E69CD" w:rsidP="004E69CD"/>
    <w:p w14:paraId="3446EDB6" w14:textId="77777777" w:rsidR="004E69CD" w:rsidRPr="00A831E7" w:rsidRDefault="004E69CD" w:rsidP="004E69CD"/>
    <w:p w14:paraId="201A2F4B" w14:textId="77777777" w:rsidR="004E69CD" w:rsidRPr="00A831E7" w:rsidRDefault="004E69CD" w:rsidP="004E69CD"/>
    <w:p w14:paraId="2795115C" w14:textId="77777777" w:rsidR="004E69CD" w:rsidRPr="00A831E7" w:rsidRDefault="004E69CD" w:rsidP="004E69CD"/>
    <w:p w14:paraId="1CC7CA58" w14:textId="77777777" w:rsidR="004E69CD" w:rsidRPr="00A831E7" w:rsidRDefault="004E69CD" w:rsidP="004E69CD"/>
    <w:p w14:paraId="37AA563B" w14:textId="77777777" w:rsidR="004E69CD" w:rsidRPr="00A831E7" w:rsidRDefault="004E69CD" w:rsidP="004E69CD"/>
    <w:p w14:paraId="1CBADB1F" w14:textId="77777777" w:rsidR="004E69CD" w:rsidRPr="00A831E7" w:rsidRDefault="004E69CD" w:rsidP="004E69CD"/>
    <w:p w14:paraId="4774E4E4" w14:textId="22B69EC9" w:rsidR="004E69CD" w:rsidRPr="00A831E7" w:rsidRDefault="004E69CD" w:rsidP="004E69CD"/>
    <w:p w14:paraId="12429321" w14:textId="77777777" w:rsidR="004E69CD" w:rsidRPr="00A831E7" w:rsidRDefault="004E69CD" w:rsidP="004E69CD"/>
    <w:p w14:paraId="1F131C5A" w14:textId="77777777" w:rsidR="004E69CD" w:rsidRPr="00A831E7" w:rsidRDefault="004E69CD" w:rsidP="004E69CD"/>
    <w:p w14:paraId="3B33677C" w14:textId="77777777" w:rsidR="004E69CD" w:rsidRPr="00A831E7" w:rsidRDefault="004E69CD" w:rsidP="004E69CD"/>
    <w:p w14:paraId="3E15E221" w14:textId="77777777" w:rsidR="004E69CD" w:rsidRPr="00A831E7" w:rsidRDefault="004E69CD" w:rsidP="004E69CD"/>
    <w:p w14:paraId="6890DCE9" w14:textId="77777777" w:rsidR="004E69CD" w:rsidRPr="00A831E7" w:rsidRDefault="004E69CD" w:rsidP="004E69CD">
      <w:pPr>
        <w:rPr>
          <w:i/>
        </w:rPr>
      </w:pPr>
    </w:p>
    <w:p w14:paraId="1877B714" w14:textId="77777777" w:rsidR="004E69CD" w:rsidRPr="00A831E7" w:rsidRDefault="004E69CD" w:rsidP="004E69CD">
      <w:pPr>
        <w:rPr>
          <w:i/>
        </w:rPr>
      </w:pPr>
      <w:r w:rsidRPr="00A831E7">
        <w:rPr>
          <w:i/>
        </w:rPr>
        <w:t>(Υπογραφή)</w:t>
      </w:r>
    </w:p>
    <w:p w14:paraId="43B74B57" w14:textId="77777777" w:rsidR="004E69CD" w:rsidRPr="00A831E7" w:rsidRDefault="004E69CD" w:rsidP="004E69CD">
      <w:r w:rsidRPr="00A831E7">
        <w:t xml:space="preserve"> ................................... </w:t>
      </w:r>
    </w:p>
    <w:p w14:paraId="69D2109C" w14:textId="6287D096" w:rsidR="004E69CD" w:rsidRPr="00A831E7" w:rsidRDefault="004E69CD" w:rsidP="004E69CD">
      <w:pPr>
        <w:rPr>
          <w:b/>
        </w:rPr>
      </w:pPr>
      <w:r w:rsidRPr="00A831E7">
        <w:rPr>
          <w:b/>
        </w:rPr>
        <w:t>ΤΕΤΡΙΓΓΑΣ ΙΩΑΝΝΗΣ</w:t>
      </w:r>
    </w:p>
    <w:p w14:paraId="3AD41FDE" w14:textId="77777777" w:rsidR="004E69CD" w:rsidRPr="00A831E7" w:rsidRDefault="004E69CD" w:rsidP="004E69CD"/>
    <w:p w14:paraId="76D75067" w14:textId="77777777" w:rsidR="004E69CD" w:rsidRPr="00A831E7" w:rsidRDefault="004E69CD" w:rsidP="004E69CD">
      <w:r w:rsidRPr="00A831E7">
        <w:t xml:space="preserve">Διπλωματούχος Ηλεκτρολόγος Μηχανικός και Μηχανικός Υπολογιστών Ε.Μ.Π. </w:t>
      </w:r>
    </w:p>
    <w:p w14:paraId="3D346792" w14:textId="77777777" w:rsidR="004E69CD" w:rsidRPr="00A831E7" w:rsidRDefault="004E69CD" w:rsidP="004E69CD"/>
    <w:p w14:paraId="1E761219" w14:textId="0BA897E0" w:rsidR="004E69CD" w:rsidRPr="00A831E7" w:rsidRDefault="004E69CD" w:rsidP="004E69CD">
      <w:r w:rsidRPr="00A831E7">
        <w:t xml:space="preserve">Copyright © </w:t>
      </w:r>
      <w:r w:rsidR="005A6B05" w:rsidRPr="00A831E7">
        <w:t>Τετρίγγας Ιωάννης</w:t>
      </w:r>
      <w:r w:rsidRPr="00A831E7">
        <w:t>, 202</w:t>
      </w:r>
      <w:r w:rsidR="005A6B05" w:rsidRPr="00A831E7">
        <w:t>5</w:t>
      </w:r>
      <w:r w:rsidRPr="00A831E7">
        <w:t xml:space="preserve">. </w:t>
      </w:r>
    </w:p>
    <w:p w14:paraId="32A11C8E" w14:textId="77777777" w:rsidR="004E69CD" w:rsidRPr="00A831E7" w:rsidRDefault="004E69CD" w:rsidP="004E69CD">
      <w:r w:rsidRPr="00A831E7">
        <w:t xml:space="preserve">Με επιφύλαξη παντός δικαιώματος. All rights reserved. </w:t>
      </w:r>
    </w:p>
    <w:p w14:paraId="69D13466" w14:textId="77777777" w:rsidR="004E69CD" w:rsidRPr="00A831E7" w:rsidRDefault="004E69CD" w:rsidP="004E69CD"/>
    <w:p w14:paraId="19D40B78" w14:textId="0C7702C2" w:rsidR="004E69CD" w:rsidRPr="00A831E7" w:rsidRDefault="004E69CD" w:rsidP="004E69CD">
      <w:r w:rsidRPr="00A831E7">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w:t>
      </w:r>
      <w:r w:rsidR="008D35A9" w:rsidRPr="00A831E7">
        <w:t>φύσης</w:t>
      </w:r>
      <w:r w:rsidRPr="00A831E7">
        <w:t xml:space="preserve">,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στον συγγραφέα. </w:t>
      </w:r>
    </w:p>
    <w:p w14:paraId="76C8A8F9" w14:textId="77777777" w:rsidR="004E69CD" w:rsidRPr="00A831E7" w:rsidRDefault="004E69CD" w:rsidP="004E69CD"/>
    <w:p w14:paraId="0B074302" w14:textId="03FB64F7" w:rsidR="00623AE6" w:rsidRDefault="004E69CD" w:rsidP="004E69CD">
      <w:r w:rsidRPr="00A831E7">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w:t>
      </w:r>
      <w:r w:rsidR="00623AE6">
        <w:br w:type="page"/>
      </w:r>
    </w:p>
    <w:p w14:paraId="30A26298" w14:textId="77777777" w:rsidR="004E69CD" w:rsidRPr="00A831E7" w:rsidRDefault="004E69CD" w:rsidP="004E69CD"/>
    <w:p w14:paraId="60AD23E7" w14:textId="77777777" w:rsidR="004E69CD" w:rsidRPr="00A831E7" w:rsidRDefault="004E69CD" w:rsidP="004E69CD">
      <w:pPr>
        <w:jc w:val="center"/>
        <w:rPr>
          <w:b/>
          <w:sz w:val="32"/>
        </w:rPr>
      </w:pPr>
      <w:r w:rsidRPr="00A831E7">
        <w:rPr>
          <w:b/>
          <w:sz w:val="32"/>
        </w:rPr>
        <w:t>Περίληψη</w:t>
      </w:r>
    </w:p>
    <w:p w14:paraId="6D474815" w14:textId="77777777" w:rsidR="004E69CD" w:rsidRPr="00A831E7" w:rsidRDefault="004E69CD" w:rsidP="004E69CD"/>
    <w:p w14:paraId="5A659204" w14:textId="19CD7A2F" w:rsidR="00ED504D" w:rsidRPr="00A831E7" w:rsidRDefault="00ED504D" w:rsidP="00ED504D">
      <w:pPr>
        <w:spacing w:line="276" w:lineRule="auto"/>
        <w:jc w:val="both"/>
      </w:pPr>
      <w:r w:rsidRPr="00A831E7">
        <w:t>Η διάγνωση του εγκεφαλικού επεισοδίου αποτελεί κρίσιμο ζήτημα στη νευρολογία, καθώς η ταχεία και ακριβής αξιολόγηση της σοβαρότητας</w:t>
      </w:r>
      <w:r w:rsidR="008D35A9" w:rsidRPr="00A831E7">
        <w:t xml:space="preserve"> του,</w:t>
      </w:r>
      <w:r w:rsidRPr="00A831E7">
        <w:t xml:space="preserve"> μπορεί να επηρεάσει καθοριστικά την έκβαση της θεραπείας. Οι συμβατικές διαγνωστικές μέθοδοι, όπως η αξονική και μαγνητική τομογραφία, προσφέρουν υψηλή ακρίβεια, αλλά συχνά δεν είναι άμεσα διαθέσιμες σε επείγοντα περιστατικά. Η εξέλιξη των Point-of-Care (PoC) τεχνολογιών αποτελεί μια καινοτόμο προσέγγιση</w:t>
      </w:r>
      <w:r w:rsidR="00A949C8" w:rsidRPr="00A831E7">
        <w:t>, η οποία</w:t>
      </w:r>
      <w:r w:rsidRPr="00A831E7">
        <w:t xml:space="preserve"> </w:t>
      </w:r>
      <w:r w:rsidR="00A949C8" w:rsidRPr="00A831E7">
        <w:t>ε</w:t>
      </w:r>
      <w:r w:rsidRPr="00A831E7">
        <w:t>πιτρέ</w:t>
      </w:r>
      <w:r w:rsidR="00A949C8" w:rsidRPr="00A831E7">
        <w:t>πει</w:t>
      </w:r>
      <w:r w:rsidRPr="00A831E7">
        <w:t xml:space="preserve"> την ταχεία ανίχνευση βιοδεικτών σε προνοσοκομειακές συνθήκες</w:t>
      </w:r>
      <w:r w:rsidR="00A949C8" w:rsidRPr="00A831E7">
        <w:t xml:space="preserve"> και</w:t>
      </w:r>
      <w:r w:rsidRPr="00A831E7">
        <w:t xml:space="preserve"> βελτιών</w:t>
      </w:r>
      <w:r w:rsidR="00A949C8" w:rsidRPr="00A831E7">
        <w:t>ει</w:t>
      </w:r>
      <w:r w:rsidRPr="00A831E7">
        <w:t xml:space="preserve"> την κλινική διαχείριση των εγκεφαλικών επεισοδίων.</w:t>
      </w:r>
    </w:p>
    <w:p w14:paraId="75F34C3C" w14:textId="7BF02AE7" w:rsidR="004E69CD" w:rsidRPr="00A831E7" w:rsidRDefault="00ED504D" w:rsidP="00ED504D">
      <w:pPr>
        <w:spacing w:line="276" w:lineRule="auto"/>
        <w:jc w:val="both"/>
      </w:pPr>
      <w:r w:rsidRPr="00A831E7">
        <w:t xml:space="preserve">Η παρούσα βιβλιογραφική ανασκόπηση εξετάζει την πρόοδο των PoC διαγνωστικών εφαρμογών, καθώς και τη συμβολή </w:t>
      </w:r>
      <w:r w:rsidR="00065765">
        <w:t>νέων</w:t>
      </w:r>
      <w:r w:rsidRPr="00A831E7">
        <w:t xml:space="preserve"> βιοδεικτών στην ακριβέστερη ταξινόμηση των εγκεφαλικών επεισοδίων. Ιδιαίτερη έμφαση δίνεται στα εξωκυτταρικά κυστίδια (EVs), τα οποία αποτελούν υποσχόμενους διαγνωστικούς βιοδείκτες, καθώς μεταφέρουν μοριακές πληροφορίες που αντικατοπτρίζουν νευρολογικές βλάβες. Επιπλέον, η ενσωμάτωση μεθόδων μηχανικής μάθησης (ML) στη διαγνωστική διαδικασία επιτρέπει την ανάπτυξη προηγμένων αλγορίθμων ταξινόμησης, βελτιώνοντας την αξιοπιστία και την ακρίβεια των εκτιμήσεων. Μέσα από τη συλλογή και ανάλυση μετρήσιμων και συγκρίσιμων δεδομένων, η ανασκόπηση αυτή στοχεύει στην παροχή μιας ολοκληρωμένης εικόνας της σύγχρονης διαγνωστικής προσέγγισης του εγκεφαλικού επεισοδίου. Παράλληλα επιχειρεί να αναδείξει περιορισμούς και πλεονεκτήματα στις τεχνολογικές καινοτομίες που αναμένεται να διαμορφώσουν το μέλλον της διάγνωσης του εγκεφαλικού επεισοδίου.</w:t>
      </w:r>
    </w:p>
    <w:p w14:paraId="11C099ED" w14:textId="77777777" w:rsidR="004E69CD" w:rsidRPr="00A831E7" w:rsidRDefault="004E69CD" w:rsidP="004E69CD"/>
    <w:p w14:paraId="4174C04A" w14:textId="41175E9B" w:rsidR="00623AE6" w:rsidRDefault="004E69CD" w:rsidP="009A26A0">
      <w:pPr>
        <w:rPr>
          <w:bCs/>
        </w:rPr>
      </w:pPr>
      <w:r w:rsidRPr="00A831E7">
        <w:rPr>
          <w:b/>
        </w:rPr>
        <w:t>Λέξεις κλειδιά:</w:t>
      </w:r>
      <w:r w:rsidR="00ED504D" w:rsidRPr="00A831E7">
        <w:rPr>
          <w:b/>
        </w:rPr>
        <w:t xml:space="preserve"> </w:t>
      </w:r>
      <w:r w:rsidR="00ED504D" w:rsidRPr="00A831E7">
        <w:rPr>
          <w:bCs/>
        </w:rPr>
        <w:t>εγκεφαλικό, διάγνωση, σημείο φροντίδας, μηχανική μάθηση, βιοδείκτες, εξωκυτταρικά κυστίδια, ταξινόμηση</w:t>
      </w:r>
      <w:r w:rsidR="00623AE6">
        <w:rPr>
          <w:bCs/>
        </w:rPr>
        <w:br w:type="page"/>
      </w:r>
    </w:p>
    <w:p w14:paraId="38953654" w14:textId="77777777" w:rsidR="005A6B05" w:rsidRPr="00A831E7" w:rsidRDefault="005A6B05" w:rsidP="009A26A0">
      <w:pPr>
        <w:sectPr w:rsidR="005A6B05" w:rsidRPr="00A831E7" w:rsidSect="00924BAE">
          <w:pgSz w:w="11906" w:h="16838"/>
          <w:pgMar w:top="1440" w:right="1797" w:bottom="1440" w:left="1797" w:header="708" w:footer="708" w:gutter="0"/>
          <w:cols w:space="708"/>
          <w:docGrid w:linePitch="360"/>
        </w:sectPr>
      </w:pPr>
    </w:p>
    <w:p w14:paraId="1A8C00F0" w14:textId="77777777" w:rsidR="005A6B05" w:rsidRPr="00A831E7" w:rsidRDefault="005A6B05" w:rsidP="004E69CD">
      <w:pPr>
        <w:rPr>
          <w:b/>
        </w:rPr>
      </w:pPr>
    </w:p>
    <w:p w14:paraId="406499C9" w14:textId="77777777" w:rsidR="004E69CD" w:rsidRPr="00730D74" w:rsidRDefault="004E69CD" w:rsidP="004E69CD">
      <w:pPr>
        <w:jc w:val="center"/>
        <w:rPr>
          <w:b/>
          <w:sz w:val="32"/>
          <w:lang w:val="en-US"/>
        </w:rPr>
      </w:pPr>
      <w:r w:rsidRPr="00730D74">
        <w:rPr>
          <w:b/>
          <w:sz w:val="32"/>
          <w:lang w:val="en-US"/>
        </w:rPr>
        <w:t>Abstract</w:t>
      </w:r>
    </w:p>
    <w:p w14:paraId="652B6650" w14:textId="77777777" w:rsidR="004E69CD" w:rsidRPr="00730D74" w:rsidRDefault="004E69CD" w:rsidP="004E69CD">
      <w:pPr>
        <w:rPr>
          <w:lang w:val="en-US"/>
        </w:rPr>
      </w:pPr>
    </w:p>
    <w:p w14:paraId="6A87D7F7" w14:textId="77777777" w:rsidR="00ED504D" w:rsidRPr="00730D74" w:rsidRDefault="00ED504D" w:rsidP="00ED504D">
      <w:pPr>
        <w:spacing w:line="276" w:lineRule="auto"/>
        <w:jc w:val="both"/>
        <w:rPr>
          <w:lang w:val="en-US"/>
        </w:rPr>
      </w:pPr>
      <w:r w:rsidRPr="00730D74">
        <w:rPr>
          <w:lang w:val="en-US"/>
        </w:rPr>
        <w:t>The ability to accurately and swiftly diagnose stroke plays a crucial role in optimizing treatment outcomes and ensuring timely intervention. While traditional imaging methods like CT and MRI offer high precision, they are often inaccessible in emergency scenarios, leading to delays in critical care. Recent advancements in Point-of-Care (PoC) technologies present an innovative solution, allowing real-time biomarker detection in pre-hospital environments and enhancing the efficiency of stroke management.</w:t>
      </w:r>
    </w:p>
    <w:p w14:paraId="3EB2D245" w14:textId="2D89CF98" w:rsidR="00ED504D" w:rsidRPr="00730D74" w:rsidRDefault="00ED504D" w:rsidP="00ED504D">
      <w:pPr>
        <w:spacing w:line="276" w:lineRule="auto"/>
        <w:jc w:val="both"/>
        <w:rPr>
          <w:lang w:val="en-US"/>
        </w:rPr>
      </w:pPr>
      <w:r w:rsidRPr="00730D74">
        <w:rPr>
          <w:lang w:val="en-US"/>
        </w:rPr>
        <w:t>This review explores the latest progress in PoC diagnostics, along with the growing role of emerging biomarkers in improving stroke classification accuracy. There is a growing interest in extracellular vesicles (EVs), which serve as promising biomarkers due to their ability to carry molecular signatures indicative of neural damage. Furthermore, the integration of machine learning (ML) techniques is revolutionizing stroke diagnosis, facilitating the development of advanced classification algorithms that enhance diagnostic reliability and precision. By compiling and comparing measurable data, this review aims to provide a comprehensive perspective on the evolving methodologies for stroke detection, while identifying key technological advancements and existing limitations that will shape future diagnostic approaches.</w:t>
      </w:r>
    </w:p>
    <w:p w14:paraId="50976EAD" w14:textId="77777777" w:rsidR="00ED504D" w:rsidRPr="00730D74" w:rsidRDefault="00ED504D" w:rsidP="00ED504D">
      <w:pPr>
        <w:spacing w:line="276" w:lineRule="auto"/>
        <w:jc w:val="both"/>
        <w:rPr>
          <w:lang w:val="en-US"/>
        </w:rPr>
      </w:pPr>
    </w:p>
    <w:p w14:paraId="735949DC" w14:textId="259796F0" w:rsidR="005A6B05" w:rsidRPr="00730D74" w:rsidRDefault="004E69CD" w:rsidP="009A26A0">
      <w:pPr>
        <w:spacing w:line="276" w:lineRule="auto"/>
        <w:rPr>
          <w:lang w:val="en-US"/>
        </w:rPr>
        <w:sectPr w:rsidR="005A6B05" w:rsidRPr="00730D74" w:rsidSect="00924BAE">
          <w:pgSz w:w="11906" w:h="16838"/>
          <w:pgMar w:top="1440" w:right="1797" w:bottom="1440" w:left="1797" w:header="708" w:footer="708" w:gutter="0"/>
          <w:cols w:space="708"/>
          <w:docGrid w:linePitch="360"/>
        </w:sectPr>
      </w:pPr>
      <w:r w:rsidRPr="00730D74">
        <w:rPr>
          <w:b/>
          <w:lang w:val="en-US"/>
        </w:rPr>
        <w:t>Key words:</w:t>
      </w:r>
      <w:r w:rsidRPr="00730D74">
        <w:rPr>
          <w:lang w:val="en-US"/>
        </w:rPr>
        <w:t xml:space="preserve"> </w:t>
      </w:r>
      <w:r w:rsidR="00ED504D" w:rsidRPr="00730D74">
        <w:rPr>
          <w:lang w:val="en-US"/>
        </w:rPr>
        <w:t>stroke, diagnosis, point-of-care, machine learning, biomarkers, extracellular vesicles, classification</w:t>
      </w:r>
    </w:p>
    <w:p w14:paraId="3FB4ABA6" w14:textId="77777777" w:rsidR="005A6B05" w:rsidRPr="00730D74" w:rsidRDefault="005A6B05" w:rsidP="005A6B05">
      <w:pPr>
        <w:rPr>
          <w:lang w:val="en-US"/>
        </w:rPr>
      </w:pPr>
    </w:p>
    <w:p w14:paraId="1129D2EE" w14:textId="77777777" w:rsidR="005A6B05" w:rsidRPr="00730D74" w:rsidRDefault="005A6B05" w:rsidP="005A6B05">
      <w:pPr>
        <w:rPr>
          <w:lang w:val="en-US"/>
        </w:rPr>
      </w:pPr>
    </w:p>
    <w:p w14:paraId="0C8D9CDA" w14:textId="77777777" w:rsidR="005A6B05" w:rsidRPr="00730D74" w:rsidRDefault="005A6B05" w:rsidP="005A6B05">
      <w:pPr>
        <w:rPr>
          <w:lang w:val="en-US"/>
        </w:rPr>
      </w:pPr>
    </w:p>
    <w:p w14:paraId="2FC70700" w14:textId="77777777" w:rsidR="005A6B05" w:rsidRPr="00730D74" w:rsidRDefault="005A6B05" w:rsidP="005A6B05">
      <w:pPr>
        <w:rPr>
          <w:lang w:val="en-US"/>
        </w:rPr>
      </w:pPr>
    </w:p>
    <w:p w14:paraId="0164607F" w14:textId="77777777" w:rsidR="005A6B05" w:rsidRPr="00730D74" w:rsidRDefault="005A6B05" w:rsidP="005A6B05">
      <w:pPr>
        <w:rPr>
          <w:lang w:val="en-US"/>
        </w:rPr>
      </w:pPr>
    </w:p>
    <w:p w14:paraId="02D6A548" w14:textId="77777777" w:rsidR="005A6B05" w:rsidRPr="00730D74" w:rsidRDefault="005A6B05" w:rsidP="005A6B05">
      <w:pPr>
        <w:rPr>
          <w:lang w:val="en-US"/>
        </w:rPr>
      </w:pPr>
    </w:p>
    <w:p w14:paraId="7F8F7706" w14:textId="77777777" w:rsidR="005A6B05" w:rsidRPr="00730D74" w:rsidRDefault="005A6B05" w:rsidP="005A6B05">
      <w:pPr>
        <w:rPr>
          <w:lang w:val="en-US"/>
        </w:rPr>
      </w:pPr>
    </w:p>
    <w:p w14:paraId="3DD60B8A" w14:textId="77777777" w:rsidR="005A6B05" w:rsidRPr="00730D74" w:rsidRDefault="005A6B05" w:rsidP="005A6B05">
      <w:pPr>
        <w:rPr>
          <w:lang w:val="en-US"/>
        </w:rPr>
      </w:pPr>
    </w:p>
    <w:p w14:paraId="57857D15" w14:textId="77777777" w:rsidR="005A6B05" w:rsidRPr="00730D74" w:rsidRDefault="005A6B05" w:rsidP="005A6B05">
      <w:pPr>
        <w:rPr>
          <w:lang w:val="en-US"/>
        </w:rPr>
      </w:pPr>
    </w:p>
    <w:p w14:paraId="371C6133" w14:textId="77777777" w:rsidR="005A6B05" w:rsidRPr="00730D74" w:rsidRDefault="005A6B05" w:rsidP="005A6B05">
      <w:pPr>
        <w:rPr>
          <w:lang w:val="en-US"/>
        </w:rPr>
      </w:pPr>
    </w:p>
    <w:p w14:paraId="56C9C1CF" w14:textId="77777777" w:rsidR="005A6B05" w:rsidRPr="00730D74" w:rsidRDefault="005A6B05" w:rsidP="005A6B05">
      <w:pPr>
        <w:rPr>
          <w:lang w:val="en-US"/>
        </w:rPr>
      </w:pPr>
    </w:p>
    <w:p w14:paraId="151D0BB4" w14:textId="77777777" w:rsidR="005A6B05" w:rsidRPr="00730D74" w:rsidRDefault="005A6B05" w:rsidP="005A6B05">
      <w:pPr>
        <w:rPr>
          <w:lang w:val="en-US"/>
        </w:rPr>
      </w:pPr>
    </w:p>
    <w:p w14:paraId="1656A247" w14:textId="77777777" w:rsidR="005A6B05" w:rsidRPr="00730D74" w:rsidRDefault="005A6B05" w:rsidP="005A6B05">
      <w:pPr>
        <w:rPr>
          <w:lang w:val="en-US"/>
        </w:rPr>
      </w:pPr>
    </w:p>
    <w:p w14:paraId="149C45E1" w14:textId="77777777" w:rsidR="005A6B05" w:rsidRPr="00730D74" w:rsidRDefault="005A6B05" w:rsidP="005A6B05">
      <w:pPr>
        <w:rPr>
          <w:lang w:val="en-US"/>
        </w:rPr>
      </w:pPr>
    </w:p>
    <w:p w14:paraId="4A31722C" w14:textId="77777777" w:rsidR="005A6B05" w:rsidRPr="00730D74" w:rsidRDefault="005A6B05" w:rsidP="005A6B05">
      <w:pPr>
        <w:rPr>
          <w:lang w:val="en-US"/>
        </w:rPr>
      </w:pPr>
    </w:p>
    <w:p w14:paraId="65F5ECFB" w14:textId="77777777" w:rsidR="005A6B05" w:rsidRPr="00730D74" w:rsidRDefault="005A6B05" w:rsidP="005A6B05">
      <w:pPr>
        <w:rPr>
          <w:lang w:val="en-US"/>
        </w:rPr>
      </w:pPr>
    </w:p>
    <w:p w14:paraId="269141B6" w14:textId="77777777" w:rsidR="005A6B05" w:rsidRPr="00730D74" w:rsidRDefault="005A6B05" w:rsidP="005A6B05">
      <w:pPr>
        <w:rPr>
          <w:lang w:val="en-US"/>
        </w:rPr>
      </w:pPr>
    </w:p>
    <w:p w14:paraId="2D92A581" w14:textId="77777777" w:rsidR="005A6B05" w:rsidRPr="00730D74" w:rsidRDefault="005A6B05" w:rsidP="005A6B05">
      <w:pPr>
        <w:rPr>
          <w:lang w:val="en-US"/>
        </w:rPr>
      </w:pPr>
    </w:p>
    <w:p w14:paraId="6DE41D27" w14:textId="77777777" w:rsidR="005A6B05" w:rsidRPr="00730D74" w:rsidRDefault="005A6B05" w:rsidP="005A6B05">
      <w:pPr>
        <w:rPr>
          <w:lang w:val="en-US"/>
        </w:rPr>
      </w:pPr>
    </w:p>
    <w:p w14:paraId="633F5275" w14:textId="77777777" w:rsidR="005A6B05" w:rsidRPr="00730D74" w:rsidRDefault="005A6B05" w:rsidP="005A6B05">
      <w:pPr>
        <w:rPr>
          <w:lang w:val="en-US"/>
        </w:rPr>
      </w:pPr>
    </w:p>
    <w:p w14:paraId="0F4B44EC" w14:textId="77777777" w:rsidR="005A6B05" w:rsidRPr="00730D74" w:rsidRDefault="005A6B05" w:rsidP="005A6B05">
      <w:pPr>
        <w:rPr>
          <w:lang w:val="en-US"/>
        </w:rPr>
      </w:pPr>
    </w:p>
    <w:p w14:paraId="559FD339" w14:textId="77777777" w:rsidR="005A6B05" w:rsidRPr="00730D74" w:rsidRDefault="005A6B05" w:rsidP="005A6B05">
      <w:pPr>
        <w:rPr>
          <w:lang w:val="en-US"/>
        </w:rPr>
      </w:pPr>
    </w:p>
    <w:p w14:paraId="6E0998D1" w14:textId="77777777" w:rsidR="005A6B05" w:rsidRPr="00A831E7" w:rsidRDefault="005A6B05" w:rsidP="005A6B05">
      <w:r w:rsidRPr="00A831E7">
        <w:t>Η σελίδα αυτή είναι σκόπιμα λευκή.</w:t>
      </w:r>
    </w:p>
    <w:p w14:paraId="35DDEDC5" w14:textId="77777777" w:rsidR="00533454" w:rsidRPr="00A831E7" w:rsidRDefault="00533454" w:rsidP="005A6B05"/>
    <w:p w14:paraId="363848F8" w14:textId="77777777" w:rsidR="00533454" w:rsidRPr="00A831E7" w:rsidRDefault="00533454" w:rsidP="005A6B05"/>
    <w:p w14:paraId="3D1B448B" w14:textId="77777777" w:rsidR="00533454" w:rsidRPr="00A831E7" w:rsidRDefault="00533454" w:rsidP="005A6B05"/>
    <w:p w14:paraId="4E58E851" w14:textId="77777777" w:rsidR="00533454" w:rsidRPr="00A831E7" w:rsidRDefault="00533454" w:rsidP="005A6B05"/>
    <w:p w14:paraId="6ABD519E" w14:textId="77777777" w:rsidR="00533454" w:rsidRPr="00A831E7" w:rsidRDefault="00533454" w:rsidP="005A6B05"/>
    <w:p w14:paraId="6B4E7AD9" w14:textId="77777777" w:rsidR="00533454" w:rsidRPr="00A831E7" w:rsidRDefault="00533454" w:rsidP="005A6B05"/>
    <w:p w14:paraId="71281B7B" w14:textId="77777777" w:rsidR="00533454" w:rsidRPr="00A831E7" w:rsidRDefault="00533454" w:rsidP="005A6B05"/>
    <w:p w14:paraId="395CDF02" w14:textId="77777777" w:rsidR="00533454" w:rsidRPr="00A831E7" w:rsidRDefault="00533454" w:rsidP="005A6B05"/>
    <w:p w14:paraId="5D6C193C" w14:textId="77777777" w:rsidR="00533454" w:rsidRPr="00A831E7" w:rsidRDefault="00533454" w:rsidP="005A6B05"/>
    <w:p w14:paraId="026F3711" w14:textId="77777777" w:rsidR="00533454" w:rsidRPr="00A831E7" w:rsidRDefault="00533454" w:rsidP="005A6B05"/>
    <w:p w14:paraId="424CFAF4" w14:textId="77777777" w:rsidR="00533454" w:rsidRPr="00A831E7" w:rsidRDefault="00533454" w:rsidP="005A6B05"/>
    <w:p w14:paraId="39B1994A" w14:textId="77777777" w:rsidR="00533454" w:rsidRPr="00A831E7" w:rsidRDefault="00533454" w:rsidP="005A6B05"/>
    <w:p w14:paraId="10542DBB" w14:textId="77777777" w:rsidR="00533454" w:rsidRPr="00A831E7" w:rsidRDefault="00533454" w:rsidP="005A6B05"/>
    <w:p w14:paraId="0D9A243C" w14:textId="77777777" w:rsidR="00533454" w:rsidRPr="00A831E7" w:rsidRDefault="00533454" w:rsidP="005A6B05"/>
    <w:p w14:paraId="02938C30" w14:textId="77777777" w:rsidR="00533454" w:rsidRPr="00A831E7" w:rsidRDefault="00533454" w:rsidP="005A6B05"/>
    <w:p w14:paraId="50060532" w14:textId="77777777" w:rsidR="00533454" w:rsidRPr="00A831E7" w:rsidRDefault="00533454" w:rsidP="005A6B05"/>
    <w:p w14:paraId="787B9691" w14:textId="77777777" w:rsidR="00533454" w:rsidRPr="00A831E7" w:rsidRDefault="00533454" w:rsidP="005A6B05"/>
    <w:p w14:paraId="5CFB7AD5" w14:textId="77777777" w:rsidR="00533454" w:rsidRPr="00A831E7" w:rsidRDefault="00533454" w:rsidP="005A6B05"/>
    <w:p w14:paraId="51662224" w14:textId="77777777" w:rsidR="00533454" w:rsidRPr="00A831E7" w:rsidRDefault="00533454" w:rsidP="005A6B05"/>
    <w:p w14:paraId="57F57703" w14:textId="77777777" w:rsidR="00533454" w:rsidRPr="00A831E7" w:rsidRDefault="00533454" w:rsidP="005A6B05"/>
    <w:p w14:paraId="7A52A216" w14:textId="77777777" w:rsidR="00533454" w:rsidRPr="00A831E7" w:rsidRDefault="00533454" w:rsidP="005A6B05"/>
    <w:p w14:paraId="449DEB1A" w14:textId="77777777" w:rsidR="00533454" w:rsidRPr="00A831E7" w:rsidRDefault="00533454" w:rsidP="005A6B05"/>
    <w:p w14:paraId="38BE7FC9" w14:textId="77777777" w:rsidR="00533454" w:rsidRPr="00A831E7" w:rsidRDefault="00533454" w:rsidP="005A6B05"/>
    <w:p w14:paraId="4CFA1813" w14:textId="77777777" w:rsidR="00533454" w:rsidRPr="00A831E7" w:rsidRDefault="00533454" w:rsidP="005A6B05"/>
    <w:p w14:paraId="4399A773" w14:textId="77777777" w:rsidR="00533454" w:rsidRPr="00A831E7" w:rsidRDefault="00533454" w:rsidP="005A6B05"/>
    <w:p w14:paraId="0969FBB6" w14:textId="77777777" w:rsidR="00533454" w:rsidRPr="00A831E7" w:rsidRDefault="00533454" w:rsidP="005A6B05"/>
    <w:p w14:paraId="504393F5" w14:textId="77777777" w:rsidR="00533454" w:rsidRPr="00A831E7" w:rsidRDefault="00533454" w:rsidP="005A6B05"/>
    <w:p w14:paraId="6E8E1AD8" w14:textId="77777777" w:rsidR="00533454" w:rsidRPr="00A831E7" w:rsidRDefault="00533454" w:rsidP="005A6B05"/>
    <w:p w14:paraId="54A8C72A" w14:textId="77777777" w:rsidR="00533454" w:rsidRPr="00A831E7" w:rsidRDefault="00533454" w:rsidP="00533454">
      <w:pPr>
        <w:rPr>
          <w:b/>
          <w:sz w:val="32"/>
        </w:rPr>
      </w:pPr>
      <w:r w:rsidRPr="00A831E7">
        <w:rPr>
          <w:b/>
          <w:sz w:val="32"/>
        </w:rPr>
        <w:t xml:space="preserve">Ευχαριστίες </w:t>
      </w:r>
    </w:p>
    <w:p w14:paraId="69ED7770" w14:textId="77777777" w:rsidR="00533454" w:rsidRPr="00A831E7" w:rsidRDefault="00533454" w:rsidP="00533454"/>
    <w:p w14:paraId="560BF414" w14:textId="71FFA687" w:rsidR="00533454" w:rsidRPr="00A831E7" w:rsidRDefault="00533454" w:rsidP="00533454">
      <w:pPr>
        <w:autoSpaceDE w:val="0"/>
        <w:autoSpaceDN w:val="0"/>
        <w:adjustRightInd w:val="0"/>
        <w:ind w:firstLine="720"/>
        <w:jc w:val="both"/>
        <w:rPr>
          <w:rFonts w:eastAsia="Calibri"/>
        </w:rPr>
      </w:pPr>
      <w:r w:rsidRPr="00A831E7">
        <w:rPr>
          <w:rFonts w:eastAsia="Calibri"/>
        </w:rPr>
        <w:t>Θα ήθελα να ευχαριστήσω τον επιβλέποντα καθηγητή κ. Γεώργιο Ματσόπουλο</w:t>
      </w:r>
      <w:r w:rsidR="00C11202">
        <w:rPr>
          <w:rFonts w:eastAsia="Calibri"/>
        </w:rPr>
        <w:t xml:space="preserve"> </w:t>
      </w:r>
      <w:r w:rsidRPr="00A831E7">
        <w:rPr>
          <w:rFonts w:eastAsia="Calibri"/>
        </w:rPr>
        <w:t>που μου εμπιστεύτηκ</w:t>
      </w:r>
      <w:r w:rsidR="00C11202">
        <w:rPr>
          <w:rFonts w:eastAsia="Calibri"/>
        </w:rPr>
        <w:t>ε</w:t>
      </w:r>
      <w:r w:rsidRPr="00A831E7">
        <w:rPr>
          <w:rFonts w:eastAsia="Calibri"/>
        </w:rPr>
        <w:t xml:space="preserve"> το συγκεκριμένο θέμα</w:t>
      </w:r>
      <w:r w:rsidR="00E06B14">
        <w:rPr>
          <w:rFonts w:eastAsia="Calibri"/>
        </w:rPr>
        <w:t>,</w:t>
      </w:r>
      <w:r w:rsidRPr="00A831E7">
        <w:rPr>
          <w:rFonts w:eastAsia="Calibri"/>
        </w:rPr>
        <w:t xml:space="preserve"> καθώς και τους κ. Βασίλειο Κατσίγιαννη και κ. Σταύρο </w:t>
      </w:r>
      <w:r w:rsidR="00CD7573" w:rsidRPr="00A831E7">
        <w:rPr>
          <w:rFonts w:eastAsia="Calibri"/>
        </w:rPr>
        <w:t>Μ</w:t>
      </w:r>
      <w:r w:rsidR="00CD7573">
        <w:rPr>
          <w:rFonts w:eastAsia="Calibri"/>
        </w:rPr>
        <w:t>η</w:t>
      </w:r>
      <w:r w:rsidR="00CD7573" w:rsidRPr="00A831E7">
        <w:rPr>
          <w:rFonts w:eastAsia="Calibri"/>
        </w:rPr>
        <w:t>λούλη</w:t>
      </w:r>
      <w:r w:rsidRPr="00A831E7">
        <w:rPr>
          <w:rFonts w:eastAsia="Calibri"/>
        </w:rPr>
        <w:t>, υποψήφιους διδάκτορες της ΣΗΜΜΥ, για την καθοδήγησή τους. Επίσης ευχαριστώ το</w:t>
      </w:r>
      <w:r w:rsidR="00A949C8" w:rsidRPr="00A831E7">
        <w:rPr>
          <w:rFonts w:eastAsia="Calibri"/>
        </w:rPr>
        <w:t>ν</w:t>
      </w:r>
      <w:r w:rsidRPr="00A831E7">
        <w:rPr>
          <w:rFonts w:eastAsia="Calibri"/>
        </w:rPr>
        <w:t xml:space="preserve"> καθηγητ</w:t>
      </w:r>
      <w:r w:rsidR="00A949C8" w:rsidRPr="00A831E7">
        <w:rPr>
          <w:rFonts w:eastAsia="Calibri"/>
        </w:rPr>
        <w:t>ή</w:t>
      </w:r>
      <w:r w:rsidRPr="00A831E7">
        <w:rPr>
          <w:rFonts w:eastAsia="Calibri"/>
        </w:rPr>
        <w:t xml:space="preserve"> κ. Παναγιώτη Τσανάκα</w:t>
      </w:r>
      <w:r w:rsidR="00C11202">
        <w:rPr>
          <w:rFonts w:eastAsia="Calibri"/>
        </w:rPr>
        <w:t xml:space="preserve"> και τη </w:t>
      </w:r>
      <w:r w:rsidR="00C11202" w:rsidRPr="00A831E7">
        <w:rPr>
          <w:rFonts w:eastAsia="Calibri"/>
        </w:rPr>
        <w:t>Δρ. Ουρανία Πετροπούλου (Ε.ΔΙ.Π. Ε.Μ.Π.)</w:t>
      </w:r>
      <w:r w:rsidR="000251EE">
        <w:rPr>
          <w:rFonts w:eastAsia="Calibri"/>
        </w:rPr>
        <w:t xml:space="preserve">, </w:t>
      </w:r>
      <w:r w:rsidRPr="00A831E7">
        <w:rPr>
          <w:rFonts w:eastAsia="Calibri"/>
        </w:rPr>
        <w:t>για τη συμμετοχή του</w:t>
      </w:r>
      <w:r w:rsidR="00C11202">
        <w:rPr>
          <w:rFonts w:eastAsia="Calibri"/>
        </w:rPr>
        <w:t>ς</w:t>
      </w:r>
      <w:r w:rsidRPr="00A831E7">
        <w:rPr>
          <w:rFonts w:eastAsia="Calibri"/>
        </w:rPr>
        <w:t xml:space="preserve"> στην εξεταστική επιτροπή.</w:t>
      </w:r>
    </w:p>
    <w:p w14:paraId="239F8ECA" w14:textId="3DBB0F3D" w:rsidR="00533454" w:rsidRPr="00A831E7" w:rsidRDefault="00533454" w:rsidP="00533454">
      <w:pPr>
        <w:autoSpaceDE w:val="0"/>
        <w:autoSpaceDN w:val="0"/>
        <w:adjustRightInd w:val="0"/>
        <w:ind w:firstLine="720"/>
        <w:jc w:val="both"/>
        <w:rPr>
          <w:rFonts w:eastAsia="Calibri"/>
        </w:rPr>
      </w:pPr>
      <w:r w:rsidRPr="00A831E7">
        <w:rPr>
          <w:rFonts w:eastAsia="Calibri"/>
        </w:rPr>
        <w:t>Τέλος, ευχαριστώ την οικογένειά μου, για τη στήριξή τους σε όλο αυτό το δύσκολο χρονικό διάστημα της συγγραφής της εν λόγω διπλωματικής, καθώς και σε όλα τα χρόνια των σπουδών μου.</w:t>
      </w:r>
    </w:p>
    <w:p w14:paraId="3B35A7F6" w14:textId="77777777" w:rsidR="00533454" w:rsidRPr="00A831E7" w:rsidRDefault="00533454" w:rsidP="00533454">
      <w:pPr>
        <w:autoSpaceDE w:val="0"/>
        <w:autoSpaceDN w:val="0"/>
        <w:adjustRightInd w:val="0"/>
        <w:rPr>
          <w:rFonts w:eastAsia="Calibri"/>
        </w:rPr>
      </w:pPr>
    </w:p>
    <w:p w14:paraId="14795446" w14:textId="15CC75FD" w:rsidR="00533454" w:rsidRPr="00A831E7" w:rsidRDefault="00533454" w:rsidP="00533454">
      <w:pPr>
        <w:autoSpaceDE w:val="0"/>
        <w:autoSpaceDN w:val="0"/>
        <w:adjustRightInd w:val="0"/>
        <w:jc w:val="right"/>
        <w:rPr>
          <w:rFonts w:eastAsia="Calibri"/>
        </w:rPr>
      </w:pPr>
      <w:r w:rsidRPr="00A831E7">
        <w:rPr>
          <w:rFonts w:eastAsia="Calibri"/>
        </w:rPr>
        <w:t>Αθήνα, Ιούνιος 2025</w:t>
      </w:r>
    </w:p>
    <w:p w14:paraId="0DA2B4FC" w14:textId="5C5E8695" w:rsidR="00533454" w:rsidRPr="00A831E7" w:rsidRDefault="00514AE9" w:rsidP="00533454">
      <w:pPr>
        <w:jc w:val="right"/>
        <w:rPr>
          <w:sz w:val="28"/>
          <w:szCs w:val="28"/>
        </w:rPr>
      </w:pPr>
      <w:r w:rsidRPr="00A831E7">
        <w:rPr>
          <w:rFonts w:eastAsia="Calibri"/>
        </w:rPr>
        <w:t>Τετρίγγας Ιωάννης</w:t>
      </w:r>
    </w:p>
    <w:p w14:paraId="3605D9D3" w14:textId="77777777" w:rsidR="00533454" w:rsidRPr="00A831E7" w:rsidRDefault="00533454" w:rsidP="00533454"/>
    <w:p w14:paraId="7E904B80" w14:textId="77777777" w:rsidR="00533454" w:rsidRPr="00A831E7" w:rsidRDefault="00533454" w:rsidP="005A6B05">
      <w:pPr>
        <w:sectPr w:rsidR="00533454" w:rsidRPr="00A831E7" w:rsidSect="00924BAE">
          <w:headerReference w:type="default" r:id="rId16"/>
          <w:footerReference w:type="default" r:id="rId17"/>
          <w:pgSz w:w="11906" w:h="16838" w:code="9"/>
          <w:pgMar w:top="1440" w:right="1797" w:bottom="1440" w:left="1797" w:header="720" w:footer="720" w:gutter="0"/>
          <w:cols w:space="708"/>
          <w:titlePg/>
          <w:docGrid w:linePitch="360"/>
        </w:sectPr>
      </w:pPr>
    </w:p>
    <w:p w14:paraId="46FBB716" w14:textId="4959715E" w:rsidR="004E69CD" w:rsidRPr="00A831E7" w:rsidRDefault="004E69CD" w:rsidP="004E69CD"/>
    <w:sdt>
      <w:sdtPr>
        <w:rPr>
          <w:rFonts w:ascii="Times New Roman" w:hAnsi="Times New Roman"/>
          <w:b w:val="0"/>
          <w:bCs w:val="0"/>
          <w:color w:val="auto"/>
          <w:sz w:val="24"/>
          <w:szCs w:val="24"/>
        </w:rPr>
        <w:id w:val="-284512842"/>
        <w:docPartObj>
          <w:docPartGallery w:val="Table of Contents"/>
          <w:docPartUnique/>
        </w:docPartObj>
      </w:sdtPr>
      <w:sdtContent>
        <w:p w14:paraId="24E230AC" w14:textId="39ACE2C7" w:rsidR="004A7B4C" w:rsidRPr="00780547" w:rsidRDefault="0006234C" w:rsidP="000C314E">
          <w:pPr>
            <w:pStyle w:val="ac"/>
            <w:jc w:val="center"/>
            <w:rPr>
              <w:rFonts w:ascii="Times New Roman" w:hAnsi="Times New Roman"/>
              <w:color w:val="auto"/>
              <w:sz w:val="32"/>
              <w:szCs w:val="32"/>
            </w:rPr>
          </w:pPr>
          <w:r w:rsidRPr="00780547">
            <w:rPr>
              <w:rFonts w:ascii="Times New Roman" w:hAnsi="Times New Roman"/>
              <w:color w:val="auto"/>
              <w:sz w:val="32"/>
              <w:szCs w:val="32"/>
            </w:rPr>
            <w:t>Π</w:t>
          </w:r>
          <w:r w:rsidR="00780547" w:rsidRPr="00780547">
            <w:rPr>
              <w:rFonts w:ascii="Times New Roman" w:hAnsi="Times New Roman"/>
              <w:color w:val="auto"/>
              <w:sz w:val="32"/>
              <w:szCs w:val="32"/>
            </w:rPr>
            <w:t>ίνακας Π</w:t>
          </w:r>
          <w:r w:rsidRPr="00780547">
            <w:rPr>
              <w:rFonts w:ascii="Times New Roman" w:hAnsi="Times New Roman"/>
              <w:color w:val="auto"/>
              <w:sz w:val="32"/>
              <w:szCs w:val="32"/>
            </w:rPr>
            <w:t>εριεχ</w:t>
          </w:r>
          <w:r w:rsidR="00780547" w:rsidRPr="00780547">
            <w:rPr>
              <w:rFonts w:ascii="Times New Roman" w:hAnsi="Times New Roman"/>
              <w:color w:val="auto"/>
              <w:sz w:val="32"/>
              <w:szCs w:val="32"/>
            </w:rPr>
            <w:t>ο</w:t>
          </w:r>
          <w:r w:rsidRPr="00780547">
            <w:rPr>
              <w:rFonts w:ascii="Times New Roman" w:hAnsi="Times New Roman"/>
              <w:color w:val="auto"/>
              <w:sz w:val="32"/>
              <w:szCs w:val="32"/>
            </w:rPr>
            <w:t>μ</w:t>
          </w:r>
          <w:r w:rsidR="00780547" w:rsidRPr="00780547">
            <w:rPr>
              <w:rFonts w:ascii="Times New Roman" w:hAnsi="Times New Roman"/>
              <w:color w:val="auto"/>
              <w:sz w:val="32"/>
              <w:szCs w:val="32"/>
            </w:rPr>
            <w:t>έ</w:t>
          </w:r>
          <w:r w:rsidRPr="00780547">
            <w:rPr>
              <w:rFonts w:ascii="Times New Roman" w:hAnsi="Times New Roman"/>
              <w:color w:val="auto"/>
              <w:sz w:val="32"/>
              <w:szCs w:val="32"/>
            </w:rPr>
            <w:t>ν</w:t>
          </w:r>
          <w:r w:rsidR="00780547" w:rsidRPr="00780547">
            <w:rPr>
              <w:rFonts w:ascii="Times New Roman" w:hAnsi="Times New Roman"/>
              <w:color w:val="auto"/>
              <w:sz w:val="32"/>
              <w:szCs w:val="32"/>
            </w:rPr>
            <w:t>ων</w:t>
          </w:r>
        </w:p>
        <w:p w14:paraId="23922C92" w14:textId="2727092A" w:rsidR="00EB2D8D" w:rsidRPr="00EB2D8D" w:rsidRDefault="00BB43D0" w:rsidP="00EB2D8D">
          <w:pPr>
            <w:pStyle w:val="10"/>
            <w:rPr>
              <w:noProof/>
            </w:rPr>
          </w:pPr>
          <w:r w:rsidRPr="00EE0F79">
            <w:fldChar w:fldCharType="begin"/>
          </w:r>
          <w:r w:rsidRPr="00EE0F79">
            <w:instrText xml:space="preserve"> TOC \o "1-3" \h \z \u </w:instrText>
          </w:r>
          <w:r w:rsidRPr="00EE0F79">
            <w:fldChar w:fldCharType="separate"/>
          </w:r>
          <w:hyperlink w:anchor="_Toc199946443" w:history="1">
            <w:r w:rsidR="00EB2D8D" w:rsidRPr="00EB2D8D">
              <w:rPr>
                <w:rStyle w:val="-"/>
                <w:noProof/>
                <w:color w:val="auto"/>
                <w:u w:val="none"/>
              </w:rPr>
              <w:t>Ευρετήριο Εικόνων</w:t>
            </w:r>
            <w:r w:rsidR="00EB2D8D" w:rsidRPr="00EB2D8D">
              <w:rPr>
                <w:noProof/>
                <w:webHidden/>
              </w:rPr>
              <w:tab/>
            </w:r>
            <w:r w:rsidR="00EB2D8D" w:rsidRPr="00EB2D8D">
              <w:rPr>
                <w:noProof/>
                <w:webHidden/>
              </w:rPr>
              <w:fldChar w:fldCharType="begin"/>
            </w:r>
            <w:r w:rsidR="00EB2D8D" w:rsidRPr="00EB2D8D">
              <w:rPr>
                <w:noProof/>
                <w:webHidden/>
              </w:rPr>
              <w:instrText xml:space="preserve"> PAGEREF _Toc199946443 \h </w:instrText>
            </w:r>
            <w:r w:rsidR="00EB2D8D" w:rsidRPr="00EB2D8D">
              <w:rPr>
                <w:noProof/>
                <w:webHidden/>
              </w:rPr>
            </w:r>
            <w:r w:rsidR="00EB2D8D" w:rsidRPr="00EB2D8D">
              <w:rPr>
                <w:noProof/>
                <w:webHidden/>
              </w:rPr>
              <w:fldChar w:fldCharType="separate"/>
            </w:r>
            <w:r w:rsidR="008B5159">
              <w:rPr>
                <w:noProof/>
                <w:webHidden/>
              </w:rPr>
              <w:t>11</w:t>
            </w:r>
            <w:r w:rsidR="00EB2D8D" w:rsidRPr="00EB2D8D">
              <w:rPr>
                <w:noProof/>
                <w:webHidden/>
              </w:rPr>
              <w:fldChar w:fldCharType="end"/>
            </w:r>
          </w:hyperlink>
        </w:p>
        <w:p w14:paraId="39C4B24F" w14:textId="4D299A72" w:rsidR="00EB2D8D" w:rsidRPr="00EB2D8D" w:rsidRDefault="00EB2D8D" w:rsidP="00EB2D8D">
          <w:pPr>
            <w:pStyle w:val="10"/>
            <w:rPr>
              <w:noProof/>
            </w:rPr>
          </w:pPr>
          <w:hyperlink w:anchor="_Toc199946444" w:history="1">
            <w:r w:rsidRPr="00EB2D8D">
              <w:rPr>
                <w:rStyle w:val="-"/>
                <w:noProof/>
                <w:color w:val="auto"/>
                <w:u w:val="none"/>
              </w:rPr>
              <w:t>Ευρετήριο Πινάκων</w:t>
            </w:r>
            <w:r w:rsidRPr="00EB2D8D">
              <w:rPr>
                <w:noProof/>
                <w:webHidden/>
              </w:rPr>
              <w:tab/>
            </w:r>
            <w:r w:rsidRPr="00EB2D8D">
              <w:rPr>
                <w:noProof/>
                <w:webHidden/>
              </w:rPr>
              <w:fldChar w:fldCharType="begin"/>
            </w:r>
            <w:r w:rsidRPr="00EB2D8D">
              <w:rPr>
                <w:noProof/>
                <w:webHidden/>
              </w:rPr>
              <w:instrText xml:space="preserve"> PAGEREF _Toc199946444 \h </w:instrText>
            </w:r>
            <w:r w:rsidRPr="00EB2D8D">
              <w:rPr>
                <w:noProof/>
                <w:webHidden/>
              </w:rPr>
            </w:r>
            <w:r w:rsidRPr="00EB2D8D">
              <w:rPr>
                <w:noProof/>
                <w:webHidden/>
              </w:rPr>
              <w:fldChar w:fldCharType="separate"/>
            </w:r>
            <w:r w:rsidR="008B5159">
              <w:rPr>
                <w:noProof/>
                <w:webHidden/>
              </w:rPr>
              <w:t>11</w:t>
            </w:r>
            <w:r w:rsidRPr="00EB2D8D">
              <w:rPr>
                <w:noProof/>
                <w:webHidden/>
              </w:rPr>
              <w:fldChar w:fldCharType="end"/>
            </w:r>
          </w:hyperlink>
        </w:p>
        <w:p w14:paraId="49F94F4C" w14:textId="44314D93" w:rsidR="00EB2D8D" w:rsidRPr="00EB2D8D" w:rsidRDefault="00EB2D8D" w:rsidP="00EB2D8D">
          <w:pPr>
            <w:pStyle w:val="10"/>
            <w:rPr>
              <w:noProof/>
            </w:rPr>
          </w:pPr>
          <w:hyperlink w:anchor="_Toc199946445" w:history="1">
            <w:r w:rsidRPr="00EB2D8D">
              <w:rPr>
                <w:rStyle w:val="-"/>
                <w:noProof/>
                <w:color w:val="auto"/>
                <w:u w:val="none"/>
              </w:rPr>
              <w:t>Εισαγωγή</w:t>
            </w:r>
            <w:r w:rsidRPr="00EB2D8D">
              <w:rPr>
                <w:noProof/>
                <w:webHidden/>
              </w:rPr>
              <w:tab/>
            </w:r>
            <w:r w:rsidRPr="00EB2D8D">
              <w:rPr>
                <w:noProof/>
                <w:webHidden/>
              </w:rPr>
              <w:fldChar w:fldCharType="begin"/>
            </w:r>
            <w:r w:rsidRPr="00EB2D8D">
              <w:rPr>
                <w:noProof/>
                <w:webHidden/>
              </w:rPr>
              <w:instrText xml:space="preserve"> PAGEREF _Toc199946445 \h </w:instrText>
            </w:r>
            <w:r w:rsidRPr="00EB2D8D">
              <w:rPr>
                <w:noProof/>
                <w:webHidden/>
              </w:rPr>
            </w:r>
            <w:r w:rsidRPr="00EB2D8D">
              <w:rPr>
                <w:noProof/>
                <w:webHidden/>
              </w:rPr>
              <w:fldChar w:fldCharType="separate"/>
            </w:r>
            <w:r w:rsidR="008B5159">
              <w:rPr>
                <w:noProof/>
                <w:webHidden/>
              </w:rPr>
              <w:t>12</w:t>
            </w:r>
            <w:r w:rsidRPr="00EB2D8D">
              <w:rPr>
                <w:noProof/>
                <w:webHidden/>
              </w:rPr>
              <w:fldChar w:fldCharType="end"/>
            </w:r>
          </w:hyperlink>
        </w:p>
        <w:p w14:paraId="7C640533" w14:textId="4970F621" w:rsidR="00EB2D8D" w:rsidRPr="00EB2D8D" w:rsidRDefault="00EB2D8D" w:rsidP="00EB2D8D">
          <w:pPr>
            <w:pStyle w:val="10"/>
            <w:rPr>
              <w:noProof/>
            </w:rPr>
          </w:pPr>
          <w:hyperlink w:anchor="_Toc199946446" w:history="1">
            <w:r w:rsidRPr="00EB2D8D">
              <w:rPr>
                <w:rStyle w:val="-"/>
                <w:noProof/>
                <w:color w:val="auto"/>
                <w:u w:val="none"/>
              </w:rPr>
              <w:t>Κεφάλαιο 1: Εισαγωγικά στοιχεία και έννοιες</w:t>
            </w:r>
            <w:r w:rsidRPr="00EB2D8D">
              <w:rPr>
                <w:noProof/>
                <w:webHidden/>
              </w:rPr>
              <w:tab/>
            </w:r>
            <w:r w:rsidRPr="00EB2D8D">
              <w:rPr>
                <w:noProof/>
                <w:webHidden/>
              </w:rPr>
              <w:fldChar w:fldCharType="begin"/>
            </w:r>
            <w:r w:rsidRPr="00EB2D8D">
              <w:rPr>
                <w:noProof/>
                <w:webHidden/>
              </w:rPr>
              <w:instrText xml:space="preserve"> PAGEREF _Toc199946446 \h </w:instrText>
            </w:r>
            <w:r w:rsidRPr="00EB2D8D">
              <w:rPr>
                <w:noProof/>
                <w:webHidden/>
              </w:rPr>
            </w:r>
            <w:r w:rsidRPr="00EB2D8D">
              <w:rPr>
                <w:noProof/>
                <w:webHidden/>
              </w:rPr>
              <w:fldChar w:fldCharType="separate"/>
            </w:r>
            <w:r w:rsidR="008B5159">
              <w:rPr>
                <w:noProof/>
                <w:webHidden/>
              </w:rPr>
              <w:t>14</w:t>
            </w:r>
            <w:r w:rsidRPr="00EB2D8D">
              <w:rPr>
                <w:noProof/>
                <w:webHidden/>
              </w:rPr>
              <w:fldChar w:fldCharType="end"/>
            </w:r>
          </w:hyperlink>
        </w:p>
        <w:p w14:paraId="242879A1" w14:textId="45682DEC" w:rsidR="00EB2D8D" w:rsidRPr="00EB2D8D" w:rsidRDefault="00EB2D8D" w:rsidP="00EB2D8D">
          <w:pPr>
            <w:pStyle w:val="20"/>
            <w:rPr>
              <w:rFonts w:eastAsiaTheme="minorEastAsia"/>
            </w:rPr>
          </w:pPr>
          <w:hyperlink w:anchor="_Toc199946447" w:history="1">
            <w:r w:rsidRPr="00EB2D8D">
              <w:rPr>
                <w:rStyle w:val="-"/>
                <w:color w:val="auto"/>
                <w:u w:val="none"/>
              </w:rPr>
              <w:t>1.1 Ορισμός</w:t>
            </w:r>
            <w:r w:rsidRPr="00EB2D8D">
              <w:rPr>
                <w:webHidden/>
              </w:rPr>
              <w:tab/>
            </w:r>
            <w:r w:rsidRPr="00EB2D8D">
              <w:rPr>
                <w:webHidden/>
              </w:rPr>
              <w:fldChar w:fldCharType="begin"/>
            </w:r>
            <w:r w:rsidRPr="00EB2D8D">
              <w:rPr>
                <w:webHidden/>
              </w:rPr>
              <w:instrText xml:space="preserve"> PAGEREF _Toc199946447 \h </w:instrText>
            </w:r>
            <w:r w:rsidRPr="00EB2D8D">
              <w:rPr>
                <w:webHidden/>
              </w:rPr>
            </w:r>
            <w:r w:rsidRPr="00EB2D8D">
              <w:rPr>
                <w:webHidden/>
              </w:rPr>
              <w:fldChar w:fldCharType="separate"/>
            </w:r>
            <w:r w:rsidR="008B5159">
              <w:rPr>
                <w:webHidden/>
              </w:rPr>
              <w:t>14</w:t>
            </w:r>
            <w:r w:rsidRPr="00EB2D8D">
              <w:rPr>
                <w:webHidden/>
              </w:rPr>
              <w:fldChar w:fldCharType="end"/>
            </w:r>
          </w:hyperlink>
        </w:p>
        <w:p w14:paraId="3FCED1F5" w14:textId="72B1376D" w:rsidR="00EB2D8D" w:rsidRPr="00EB2D8D" w:rsidRDefault="00EB2D8D" w:rsidP="00EB2D8D">
          <w:pPr>
            <w:pStyle w:val="20"/>
            <w:rPr>
              <w:rFonts w:eastAsiaTheme="minorEastAsia"/>
            </w:rPr>
          </w:pPr>
          <w:hyperlink w:anchor="_Toc199946448" w:history="1">
            <w:r w:rsidRPr="00EB2D8D">
              <w:rPr>
                <w:rStyle w:val="-"/>
                <w:color w:val="auto"/>
                <w:u w:val="none"/>
              </w:rPr>
              <w:t>1.2 Επιδημιολογία – Κατάταξη ΑΕΕ</w:t>
            </w:r>
            <w:r w:rsidRPr="00EB2D8D">
              <w:rPr>
                <w:webHidden/>
              </w:rPr>
              <w:tab/>
            </w:r>
            <w:r w:rsidRPr="00EB2D8D">
              <w:rPr>
                <w:webHidden/>
              </w:rPr>
              <w:fldChar w:fldCharType="begin"/>
            </w:r>
            <w:r w:rsidRPr="00EB2D8D">
              <w:rPr>
                <w:webHidden/>
              </w:rPr>
              <w:instrText xml:space="preserve"> PAGEREF _Toc199946448 \h </w:instrText>
            </w:r>
            <w:r w:rsidRPr="00EB2D8D">
              <w:rPr>
                <w:webHidden/>
              </w:rPr>
            </w:r>
            <w:r w:rsidRPr="00EB2D8D">
              <w:rPr>
                <w:webHidden/>
              </w:rPr>
              <w:fldChar w:fldCharType="separate"/>
            </w:r>
            <w:r w:rsidR="008B5159">
              <w:rPr>
                <w:webHidden/>
              </w:rPr>
              <w:t>14</w:t>
            </w:r>
            <w:r w:rsidRPr="00EB2D8D">
              <w:rPr>
                <w:webHidden/>
              </w:rPr>
              <w:fldChar w:fldCharType="end"/>
            </w:r>
          </w:hyperlink>
        </w:p>
        <w:p w14:paraId="7C596DE1" w14:textId="3443ACBD" w:rsidR="00EB2D8D" w:rsidRPr="00EB2D8D" w:rsidRDefault="00EB2D8D" w:rsidP="00EB2D8D">
          <w:pPr>
            <w:pStyle w:val="30"/>
            <w:rPr>
              <w:rFonts w:eastAsiaTheme="minorEastAsia"/>
              <w:noProof/>
            </w:rPr>
          </w:pPr>
          <w:hyperlink w:anchor="_Toc199946449" w:history="1">
            <w:r w:rsidRPr="00EB2D8D">
              <w:rPr>
                <w:rStyle w:val="-"/>
                <w:noProof/>
                <w:color w:val="auto"/>
                <w:u w:val="none"/>
              </w:rPr>
              <w:t>1.2.1 Ισχαιμικά ΑΕΕ</w:t>
            </w:r>
            <w:r w:rsidRPr="00EB2D8D">
              <w:rPr>
                <w:noProof/>
                <w:webHidden/>
              </w:rPr>
              <w:tab/>
            </w:r>
            <w:r w:rsidRPr="00EB2D8D">
              <w:rPr>
                <w:noProof/>
                <w:webHidden/>
              </w:rPr>
              <w:fldChar w:fldCharType="begin"/>
            </w:r>
            <w:r w:rsidRPr="00EB2D8D">
              <w:rPr>
                <w:noProof/>
                <w:webHidden/>
              </w:rPr>
              <w:instrText xml:space="preserve"> PAGEREF _Toc199946449 \h </w:instrText>
            </w:r>
            <w:r w:rsidRPr="00EB2D8D">
              <w:rPr>
                <w:noProof/>
                <w:webHidden/>
              </w:rPr>
            </w:r>
            <w:r w:rsidRPr="00EB2D8D">
              <w:rPr>
                <w:noProof/>
                <w:webHidden/>
              </w:rPr>
              <w:fldChar w:fldCharType="separate"/>
            </w:r>
            <w:r w:rsidR="008B5159">
              <w:rPr>
                <w:noProof/>
                <w:webHidden/>
              </w:rPr>
              <w:t>15</w:t>
            </w:r>
            <w:r w:rsidRPr="00EB2D8D">
              <w:rPr>
                <w:noProof/>
                <w:webHidden/>
              </w:rPr>
              <w:fldChar w:fldCharType="end"/>
            </w:r>
          </w:hyperlink>
        </w:p>
        <w:p w14:paraId="0DD954B1" w14:textId="2EDC2F69" w:rsidR="00EB2D8D" w:rsidRPr="00EB2D8D" w:rsidRDefault="00EB2D8D" w:rsidP="00EB2D8D">
          <w:pPr>
            <w:pStyle w:val="30"/>
            <w:rPr>
              <w:rFonts w:eastAsiaTheme="minorEastAsia"/>
              <w:noProof/>
            </w:rPr>
          </w:pPr>
          <w:hyperlink w:anchor="_Toc199946450" w:history="1">
            <w:r w:rsidRPr="00EB2D8D">
              <w:rPr>
                <w:rStyle w:val="-"/>
                <w:noProof/>
                <w:color w:val="auto"/>
                <w:u w:val="none"/>
              </w:rPr>
              <w:t>1.2.2 Αιμορραγικά ΑΕΕ (Hemorrhagic Stroke, HS)</w:t>
            </w:r>
            <w:r w:rsidRPr="00EB2D8D">
              <w:rPr>
                <w:noProof/>
                <w:webHidden/>
              </w:rPr>
              <w:tab/>
            </w:r>
            <w:r w:rsidRPr="00EB2D8D">
              <w:rPr>
                <w:noProof/>
                <w:webHidden/>
              </w:rPr>
              <w:fldChar w:fldCharType="begin"/>
            </w:r>
            <w:r w:rsidRPr="00EB2D8D">
              <w:rPr>
                <w:noProof/>
                <w:webHidden/>
              </w:rPr>
              <w:instrText xml:space="preserve"> PAGEREF _Toc199946450 \h </w:instrText>
            </w:r>
            <w:r w:rsidRPr="00EB2D8D">
              <w:rPr>
                <w:noProof/>
                <w:webHidden/>
              </w:rPr>
            </w:r>
            <w:r w:rsidRPr="00EB2D8D">
              <w:rPr>
                <w:noProof/>
                <w:webHidden/>
              </w:rPr>
              <w:fldChar w:fldCharType="separate"/>
            </w:r>
            <w:r w:rsidR="008B5159">
              <w:rPr>
                <w:noProof/>
                <w:webHidden/>
              </w:rPr>
              <w:t>17</w:t>
            </w:r>
            <w:r w:rsidRPr="00EB2D8D">
              <w:rPr>
                <w:noProof/>
                <w:webHidden/>
              </w:rPr>
              <w:fldChar w:fldCharType="end"/>
            </w:r>
          </w:hyperlink>
        </w:p>
        <w:p w14:paraId="6592B8D4" w14:textId="1FB63572" w:rsidR="00EB2D8D" w:rsidRPr="00EB2D8D" w:rsidRDefault="00EB2D8D" w:rsidP="00EB2D8D">
          <w:pPr>
            <w:pStyle w:val="30"/>
            <w:rPr>
              <w:rFonts w:eastAsiaTheme="minorEastAsia"/>
              <w:noProof/>
            </w:rPr>
          </w:pPr>
          <w:hyperlink w:anchor="_Toc199946451" w:history="1">
            <w:r w:rsidRPr="00EB2D8D">
              <w:rPr>
                <w:rStyle w:val="-"/>
                <w:noProof/>
                <w:color w:val="auto"/>
                <w:u w:val="none"/>
              </w:rPr>
              <w:t>1.2.3 Mimics ΑΕΕ</w:t>
            </w:r>
            <w:r w:rsidRPr="00EB2D8D">
              <w:rPr>
                <w:noProof/>
                <w:webHidden/>
              </w:rPr>
              <w:tab/>
            </w:r>
            <w:r w:rsidRPr="00EB2D8D">
              <w:rPr>
                <w:noProof/>
                <w:webHidden/>
              </w:rPr>
              <w:fldChar w:fldCharType="begin"/>
            </w:r>
            <w:r w:rsidRPr="00EB2D8D">
              <w:rPr>
                <w:noProof/>
                <w:webHidden/>
              </w:rPr>
              <w:instrText xml:space="preserve"> PAGEREF _Toc199946451 \h </w:instrText>
            </w:r>
            <w:r w:rsidRPr="00EB2D8D">
              <w:rPr>
                <w:noProof/>
                <w:webHidden/>
              </w:rPr>
            </w:r>
            <w:r w:rsidRPr="00EB2D8D">
              <w:rPr>
                <w:noProof/>
                <w:webHidden/>
              </w:rPr>
              <w:fldChar w:fldCharType="separate"/>
            </w:r>
            <w:r w:rsidR="008B5159">
              <w:rPr>
                <w:noProof/>
                <w:webHidden/>
              </w:rPr>
              <w:t>18</w:t>
            </w:r>
            <w:r w:rsidRPr="00EB2D8D">
              <w:rPr>
                <w:noProof/>
                <w:webHidden/>
              </w:rPr>
              <w:fldChar w:fldCharType="end"/>
            </w:r>
          </w:hyperlink>
        </w:p>
        <w:p w14:paraId="48C99580" w14:textId="1D1AF262" w:rsidR="00EB2D8D" w:rsidRPr="00EB2D8D" w:rsidRDefault="00EB2D8D" w:rsidP="00EB2D8D">
          <w:pPr>
            <w:pStyle w:val="20"/>
            <w:rPr>
              <w:rFonts w:eastAsiaTheme="minorEastAsia"/>
            </w:rPr>
          </w:pPr>
          <w:hyperlink w:anchor="_Toc199946452" w:history="1">
            <w:r w:rsidRPr="00EB2D8D">
              <w:rPr>
                <w:rStyle w:val="-"/>
                <w:color w:val="auto"/>
                <w:u w:val="none"/>
              </w:rPr>
              <w:t>1.3 Σημασία έγκαιρης διάγνωσης point-of-care (PoC)</w:t>
            </w:r>
            <w:r w:rsidRPr="00EB2D8D">
              <w:rPr>
                <w:webHidden/>
              </w:rPr>
              <w:tab/>
            </w:r>
            <w:r w:rsidRPr="00EB2D8D">
              <w:rPr>
                <w:webHidden/>
              </w:rPr>
              <w:fldChar w:fldCharType="begin"/>
            </w:r>
            <w:r w:rsidRPr="00EB2D8D">
              <w:rPr>
                <w:webHidden/>
              </w:rPr>
              <w:instrText xml:space="preserve"> PAGEREF _Toc199946452 \h </w:instrText>
            </w:r>
            <w:r w:rsidRPr="00EB2D8D">
              <w:rPr>
                <w:webHidden/>
              </w:rPr>
            </w:r>
            <w:r w:rsidRPr="00EB2D8D">
              <w:rPr>
                <w:webHidden/>
              </w:rPr>
              <w:fldChar w:fldCharType="separate"/>
            </w:r>
            <w:r w:rsidR="008B5159">
              <w:rPr>
                <w:webHidden/>
              </w:rPr>
              <w:t>19</w:t>
            </w:r>
            <w:r w:rsidRPr="00EB2D8D">
              <w:rPr>
                <w:webHidden/>
              </w:rPr>
              <w:fldChar w:fldCharType="end"/>
            </w:r>
          </w:hyperlink>
        </w:p>
        <w:p w14:paraId="78792C55" w14:textId="72C9FFE2" w:rsidR="00EB2D8D" w:rsidRPr="00EB2D8D" w:rsidRDefault="00EB2D8D" w:rsidP="00EB2D8D">
          <w:pPr>
            <w:pStyle w:val="20"/>
            <w:rPr>
              <w:rFonts w:eastAsiaTheme="minorEastAsia"/>
            </w:rPr>
          </w:pPr>
          <w:hyperlink w:anchor="_Toc199946453" w:history="1">
            <w:r w:rsidRPr="00EB2D8D">
              <w:rPr>
                <w:rStyle w:val="-"/>
                <w:color w:val="auto"/>
                <w:u w:val="none"/>
              </w:rPr>
              <w:t>1.4 Τεχνικές διάγνωσης</w:t>
            </w:r>
            <w:r w:rsidRPr="00EB2D8D">
              <w:rPr>
                <w:webHidden/>
              </w:rPr>
              <w:tab/>
            </w:r>
            <w:r w:rsidRPr="00EB2D8D">
              <w:rPr>
                <w:webHidden/>
              </w:rPr>
              <w:fldChar w:fldCharType="begin"/>
            </w:r>
            <w:r w:rsidRPr="00EB2D8D">
              <w:rPr>
                <w:webHidden/>
              </w:rPr>
              <w:instrText xml:space="preserve"> PAGEREF _Toc199946453 \h </w:instrText>
            </w:r>
            <w:r w:rsidRPr="00EB2D8D">
              <w:rPr>
                <w:webHidden/>
              </w:rPr>
            </w:r>
            <w:r w:rsidRPr="00EB2D8D">
              <w:rPr>
                <w:webHidden/>
              </w:rPr>
              <w:fldChar w:fldCharType="separate"/>
            </w:r>
            <w:r w:rsidR="008B5159">
              <w:rPr>
                <w:webHidden/>
              </w:rPr>
              <w:t>21</w:t>
            </w:r>
            <w:r w:rsidRPr="00EB2D8D">
              <w:rPr>
                <w:webHidden/>
              </w:rPr>
              <w:fldChar w:fldCharType="end"/>
            </w:r>
          </w:hyperlink>
        </w:p>
        <w:p w14:paraId="5BA6BB1A" w14:textId="65D00BAD" w:rsidR="00EB2D8D" w:rsidRPr="00EB2D8D" w:rsidRDefault="00EB2D8D" w:rsidP="00EB2D8D">
          <w:pPr>
            <w:pStyle w:val="20"/>
            <w:rPr>
              <w:rFonts w:eastAsiaTheme="minorEastAsia"/>
            </w:rPr>
          </w:pPr>
          <w:hyperlink w:anchor="_Toc199946454" w:history="1">
            <w:r w:rsidRPr="00EB2D8D">
              <w:rPr>
                <w:rStyle w:val="-"/>
                <w:color w:val="auto"/>
                <w:u w:val="none"/>
              </w:rPr>
              <w:t>1.5 Αξιοποίηση Τεχνικών Μηχανικής Μάθησης (ML)</w:t>
            </w:r>
            <w:r w:rsidRPr="00EB2D8D">
              <w:rPr>
                <w:webHidden/>
              </w:rPr>
              <w:tab/>
            </w:r>
            <w:r w:rsidRPr="00EB2D8D">
              <w:rPr>
                <w:webHidden/>
              </w:rPr>
              <w:fldChar w:fldCharType="begin"/>
            </w:r>
            <w:r w:rsidRPr="00EB2D8D">
              <w:rPr>
                <w:webHidden/>
              </w:rPr>
              <w:instrText xml:space="preserve"> PAGEREF _Toc199946454 \h </w:instrText>
            </w:r>
            <w:r w:rsidRPr="00EB2D8D">
              <w:rPr>
                <w:webHidden/>
              </w:rPr>
            </w:r>
            <w:r w:rsidRPr="00EB2D8D">
              <w:rPr>
                <w:webHidden/>
              </w:rPr>
              <w:fldChar w:fldCharType="separate"/>
            </w:r>
            <w:r w:rsidR="008B5159">
              <w:rPr>
                <w:webHidden/>
              </w:rPr>
              <w:t>23</w:t>
            </w:r>
            <w:r w:rsidRPr="00EB2D8D">
              <w:rPr>
                <w:webHidden/>
              </w:rPr>
              <w:fldChar w:fldCharType="end"/>
            </w:r>
          </w:hyperlink>
        </w:p>
        <w:p w14:paraId="2664C8F6" w14:textId="3335BCDF" w:rsidR="00EB2D8D" w:rsidRDefault="00EB2D8D">
          <w:pPr>
            <w:pStyle w:val="30"/>
            <w:rPr>
              <w:rFonts w:asciiTheme="minorHAnsi" w:eastAsiaTheme="minorEastAsia" w:hAnsiTheme="minorHAnsi" w:cstheme="minorBidi"/>
              <w:i w:val="0"/>
              <w:noProof/>
              <w:kern w:val="2"/>
              <w:sz w:val="24"/>
              <w:szCs w:val="24"/>
              <w:lang w:val="en-US" w:eastAsia="en-US"/>
              <w14:ligatures w14:val="standardContextual"/>
            </w:rPr>
          </w:pPr>
          <w:hyperlink w:anchor="_Toc199946455" w:history="1">
            <w:r w:rsidRPr="00AB77C1">
              <w:rPr>
                <w:rStyle w:val="-"/>
                <w:noProof/>
              </w:rPr>
              <w:t>1.5.1 Κατηγορίες Μηχανικής Μάθησης</w:t>
            </w:r>
            <w:r>
              <w:rPr>
                <w:noProof/>
                <w:webHidden/>
              </w:rPr>
              <w:tab/>
            </w:r>
            <w:r>
              <w:rPr>
                <w:noProof/>
                <w:webHidden/>
              </w:rPr>
              <w:fldChar w:fldCharType="begin"/>
            </w:r>
            <w:r>
              <w:rPr>
                <w:noProof/>
                <w:webHidden/>
              </w:rPr>
              <w:instrText xml:space="preserve"> PAGEREF _Toc199946455 \h </w:instrText>
            </w:r>
            <w:r>
              <w:rPr>
                <w:noProof/>
                <w:webHidden/>
              </w:rPr>
            </w:r>
            <w:r>
              <w:rPr>
                <w:noProof/>
                <w:webHidden/>
              </w:rPr>
              <w:fldChar w:fldCharType="separate"/>
            </w:r>
            <w:r w:rsidR="008B5159">
              <w:rPr>
                <w:noProof/>
                <w:webHidden/>
              </w:rPr>
              <w:t>24</w:t>
            </w:r>
            <w:r>
              <w:rPr>
                <w:noProof/>
                <w:webHidden/>
              </w:rPr>
              <w:fldChar w:fldCharType="end"/>
            </w:r>
          </w:hyperlink>
        </w:p>
        <w:p w14:paraId="037E4A28" w14:textId="79E36258" w:rsidR="00EB2D8D" w:rsidRDefault="00EB2D8D">
          <w:pPr>
            <w:pStyle w:val="30"/>
            <w:rPr>
              <w:rFonts w:asciiTheme="minorHAnsi" w:eastAsiaTheme="minorEastAsia" w:hAnsiTheme="minorHAnsi" w:cstheme="minorBidi"/>
              <w:i w:val="0"/>
              <w:noProof/>
              <w:kern w:val="2"/>
              <w:sz w:val="24"/>
              <w:szCs w:val="24"/>
              <w:lang w:val="en-US" w:eastAsia="en-US"/>
              <w14:ligatures w14:val="standardContextual"/>
            </w:rPr>
          </w:pPr>
          <w:hyperlink w:anchor="_Toc199946456" w:history="1">
            <w:r w:rsidRPr="00AB77C1">
              <w:rPr>
                <w:rStyle w:val="-"/>
                <w:noProof/>
              </w:rPr>
              <w:t>1.5.2 Αλγόριθμοι Μηχανικής Μάθησης στην Ιατρική</w:t>
            </w:r>
            <w:r>
              <w:rPr>
                <w:noProof/>
                <w:webHidden/>
              </w:rPr>
              <w:tab/>
            </w:r>
            <w:r>
              <w:rPr>
                <w:noProof/>
                <w:webHidden/>
              </w:rPr>
              <w:fldChar w:fldCharType="begin"/>
            </w:r>
            <w:r>
              <w:rPr>
                <w:noProof/>
                <w:webHidden/>
              </w:rPr>
              <w:instrText xml:space="preserve"> PAGEREF _Toc199946456 \h </w:instrText>
            </w:r>
            <w:r>
              <w:rPr>
                <w:noProof/>
                <w:webHidden/>
              </w:rPr>
            </w:r>
            <w:r>
              <w:rPr>
                <w:noProof/>
                <w:webHidden/>
              </w:rPr>
              <w:fldChar w:fldCharType="separate"/>
            </w:r>
            <w:r w:rsidR="008B5159">
              <w:rPr>
                <w:noProof/>
                <w:webHidden/>
              </w:rPr>
              <w:t>25</w:t>
            </w:r>
            <w:r>
              <w:rPr>
                <w:noProof/>
                <w:webHidden/>
              </w:rPr>
              <w:fldChar w:fldCharType="end"/>
            </w:r>
          </w:hyperlink>
        </w:p>
        <w:p w14:paraId="1EEF8A45" w14:textId="37C12243" w:rsidR="00EB2D8D" w:rsidRPr="00EB2D8D" w:rsidRDefault="00EB2D8D" w:rsidP="00EB2D8D">
          <w:pPr>
            <w:pStyle w:val="10"/>
            <w:rPr>
              <w:noProof/>
            </w:rPr>
          </w:pPr>
          <w:hyperlink w:anchor="_Toc199946457" w:history="1">
            <w:r w:rsidRPr="00EB2D8D">
              <w:rPr>
                <w:rStyle w:val="-"/>
                <w:noProof/>
                <w:color w:val="auto"/>
                <w:u w:val="none"/>
              </w:rPr>
              <w:t>Κεφάλαιο 2: Μεθοδολογία Έρευνας</w:t>
            </w:r>
            <w:r w:rsidRPr="00EB2D8D">
              <w:rPr>
                <w:noProof/>
                <w:webHidden/>
              </w:rPr>
              <w:tab/>
            </w:r>
            <w:r w:rsidRPr="00EB2D8D">
              <w:rPr>
                <w:noProof/>
                <w:webHidden/>
              </w:rPr>
              <w:fldChar w:fldCharType="begin"/>
            </w:r>
            <w:r w:rsidRPr="00EB2D8D">
              <w:rPr>
                <w:noProof/>
                <w:webHidden/>
              </w:rPr>
              <w:instrText xml:space="preserve"> PAGEREF _Toc199946457 \h </w:instrText>
            </w:r>
            <w:r w:rsidRPr="00EB2D8D">
              <w:rPr>
                <w:noProof/>
                <w:webHidden/>
              </w:rPr>
            </w:r>
            <w:r w:rsidRPr="00EB2D8D">
              <w:rPr>
                <w:noProof/>
                <w:webHidden/>
              </w:rPr>
              <w:fldChar w:fldCharType="separate"/>
            </w:r>
            <w:r w:rsidR="008B5159">
              <w:rPr>
                <w:noProof/>
                <w:webHidden/>
              </w:rPr>
              <w:t>28</w:t>
            </w:r>
            <w:r w:rsidRPr="00EB2D8D">
              <w:rPr>
                <w:noProof/>
                <w:webHidden/>
              </w:rPr>
              <w:fldChar w:fldCharType="end"/>
            </w:r>
          </w:hyperlink>
        </w:p>
        <w:p w14:paraId="66983335" w14:textId="7EA4343F" w:rsidR="00EB2D8D" w:rsidRPr="00EB2D8D" w:rsidRDefault="00EB2D8D" w:rsidP="00EB2D8D">
          <w:pPr>
            <w:pStyle w:val="20"/>
            <w:rPr>
              <w:rFonts w:eastAsiaTheme="minorEastAsia"/>
            </w:rPr>
          </w:pPr>
          <w:hyperlink w:anchor="_Toc199946458" w:history="1">
            <w:r w:rsidRPr="00EB2D8D">
              <w:rPr>
                <w:rStyle w:val="-"/>
                <w:color w:val="auto"/>
                <w:u w:val="none"/>
              </w:rPr>
              <w:t>2.1 Στόχος της Βιβλιογραφικής Ανασκόπησης</w:t>
            </w:r>
            <w:r w:rsidRPr="00EB2D8D">
              <w:rPr>
                <w:webHidden/>
              </w:rPr>
              <w:tab/>
            </w:r>
            <w:r w:rsidRPr="00EB2D8D">
              <w:rPr>
                <w:webHidden/>
              </w:rPr>
              <w:fldChar w:fldCharType="begin"/>
            </w:r>
            <w:r w:rsidRPr="00EB2D8D">
              <w:rPr>
                <w:webHidden/>
              </w:rPr>
              <w:instrText xml:space="preserve"> PAGEREF _Toc199946458 \h </w:instrText>
            </w:r>
            <w:r w:rsidRPr="00EB2D8D">
              <w:rPr>
                <w:webHidden/>
              </w:rPr>
            </w:r>
            <w:r w:rsidRPr="00EB2D8D">
              <w:rPr>
                <w:webHidden/>
              </w:rPr>
              <w:fldChar w:fldCharType="separate"/>
            </w:r>
            <w:r w:rsidR="008B5159">
              <w:rPr>
                <w:webHidden/>
              </w:rPr>
              <w:t>28</w:t>
            </w:r>
            <w:r w:rsidRPr="00EB2D8D">
              <w:rPr>
                <w:webHidden/>
              </w:rPr>
              <w:fldChar w:fldCharType="end"/>
            </w:r>
          </w:hyperlink>
        </w:p>
        <w:p w14:paraId="77F176A8" w14:textId="6B97F9A8" w:rsidR="00EB2D8D" w:rsidRPr="00EB2D8D" w:rsidRDefault="00EB2D8D" w:rsidP="00EB2D8D">
          <w:pPr>
            <w:pStyle w:val="20"/>
            <w:rPr>
              <w:rFonts w:eastAsiaTheme="minorEastAsia"/>
            </w:rPr>
          </w:pPr>
          <w:hyperlink w:anchor="_Toc199946459" w:history="1">
            <w:r w:rsidRPr="00EB2D8D">
              <w:rPr>
                <w:rStyle w:val="-"/>
                <w:color w:val="auto"/>
                <w:u w:val="none"/>
              </w:rPr>
              <w:t>2.2 Ερευνητικά Ερωτήματα</w:t>
            </w:r>
            <w:r w:rsidRPr="00EB2D8D">
              <w:rPr>
                <w:webHidden/>
              </w:rPr>
              <w:tab/>
            </w:r>
            <w:r w:rsidRPr="00EB2D8D">
              <w:rPr>
                <w:webHidden/>
              </w:rPr>
              <w:fldChar w:fldCharType="begin"/>
            </w:r>
            <w:r w:rsidRPr="00EB2D8D">
              <w:rPr>
                <w:webHidden/>
              </w:rPr>
              <w:instrText xml:space="preserve"> PAGEREF _Toc199946459 \h </w:instrText>
            </w:r>
            <w:r w:rsidRPr="00EB2D8D">
              <w:rPr>
                <w:webHidden/>
              </w:rPr>
            </w:r>
            <w:r w:rsidRPr="00EB2D8D">
              <w:rPr>
                <w:webHidden/>
              </w:rPr>
              <w:fldChar w:fldCharType="separate"/>
            </w:r>
            <w:r w:rsidR="008B5159">
              <w:rPr>
                <w:webHidden/>
              </w:rPr>
              <w:t>29</w:t>
            </w:r>
            <w:r w:rsidRPr="00EB2D8D">
              <w:rPr>
                <w:webHidden/>
              </w:rPr>
              <w:fldChar w:fldCharType="end"/>
            </w:r>
          </w:hyperlink>
        </w:p>
        <w:p w14:paraId="0561F549" w14:textId="5B2DC265" w:rsidR="00EB2D8D" w:rsidRPr="00EB2D8D" w:rsidRDefault="00EB2D8D" w:rsidP="00EB2D8D">
          <w:pPr>
            <w:pStyle w:val="20"/>
            <w:rPr>
              <w:rFonts w:eastAsiaTheme="minorEastAsia"/>
            </w:rPr>
          </w:pPr>
          <w:hyperlink w:anchor="_Toc199946460" w:history="1">
            <w:r w:rsidRPr="00EB2D8D">
              <w:rPr>
                <w:rStyle w:val="-"/>
                <w:color w:val="auto"/>
                <w:u w:val="none"/>
              </w:rPr>
              <w:t>2.3 Πηγές και Ανάλυση Δεδομένων</w:t>
            </w:r>
            <w:r w:rsidRPr="00EB2D8D">
              <w:rPr>
                <w:webHidden/>
              </w:rPr>
              <w:tab/>
            </w:r>
            <w:r w:rsidRPr="00EB2D8D">
              <w:rPr>
                <w:webHidden/>
              </w:rPr>
              <w:fldChar w:fldCharType="begin"/>
            </w:r>
            <w:r w:rsidRPr="00EB2D8D">
              <w:rPr>
                <w:webHidden/>
              </w:rPr>
              <w:instrText xml:space="preserve"> PAGEREF _Toc199946460 \h </w:instrText>
            </w:r>
            <w:r w:rsidRPr="00EB2D8D">
              <w:rPr>
                <w:webHidden/>
              </w:rPr>
            </w:r>
            <w:r w:rsidRPr="00EB2D8D">
              <w:rPr>
                <w:webHidden/>
              </w:rPr>
              <w:fldChar w:fldCharType="separate"/>
            </w:r>
            <w:r w:rsidR="008B5159">
              <w:rPr>
                <w:webHidden/>
              </w:rPr>
              <w:t>30</w:t>
            </w:r>
            <w:r w:rsidRPr="00EB2D8D">
              <w:rPr>
                <w:webHidden/>
              </w:rPr>
              <w:fldChar w:fldCharType="end"/>
            </w:r>
          </w:hyperlink>
        </w:p>
        <w:p w14:paraId="1A0B9484" w14:textId="5925042A" w:rsidR="00EB2D8D" w:rsidRPr="00EB2D8D" w:rsidRDefault="00EB2D8D" w:rsidP="00EB2D8D">
          <w:pPr>
            <w:pStyle w:val="10"/>
            <w:rPr>
              <w:noProof/>
            </w:rPr>
          </w:pPr>
          <w:hyperlink w:anchor="_Toc199946461" w:history="1">
            <w:r w:rsidRPr="00EB2D8D">
              <w:rPr>
                <w:rStyle w:val="-"/>
                <w:noProof/>
                <w:color w:val="auto"/>
                <w:u w:val="none"/>
              </w:rPr>
              <w:t>Κεφάλαιο 3: Κλασσικές Μέθοδοι Διάγνωσης</w:t>
            </w:r>
            <w:r w:rsidRPr="00EB2D8D">
              <w:rPr>
                <w:noProof/>
                <w:webHidden/>
              </w:rPr>
              <w:tab/>
            </w:r>
            <w:r w:rsidRPr="00EB2D8D">
              <w:rPr>
                <w:noProof/>
                <w:webHidden/>
              </w:rPr>
              <w:fldChar w:fldCharType="begin"/>
            </w:r>
            <w:r w:rsidRPr="00EB2D8D">
              <w:rPr>
                <w:noProof/>
                <w:webHidden/>
              </w:rPr>
              <w:instrText xml:space="preserve"> PAGEREF _Toc199946461 \h </w:instrText>
            </w:r>
            <w:r w:rsidRPr="00EB2D8D">
              <w:rPr>
                <w:noProof/>
                <w:webHidden/>
              </w:rPr>
            </w:r>
            <w:r w:rsidRPr="00EB2D8D">
              <w:rPr>
                <w:noProof/>
                <w:webHidden/>
              </w:rPr>
              <w:fldChar w:fldCharType="separate"/>
            </w:r>
            <w:r w:rsidR="008B5159">
              <w:rPr>
                <w:noProof/>
                <w:webHidden/>
              </w:rPr>
              <w:t>32</w:t>
            </w:r>
            <w:r w:rsidRPr="00EB2D8D">
              <w:rPr>
                <w:noProof/>
                <w:webHidden/>
              </w:rPr>
              <w:fldChar w:fldCharType="end"/>
            </w:r>
          </w:hyperlink>
        </w:p>
        <w:p w14:paraId="494D38C3" w14:textId="17071670" w:rsidR="00EB2D8D" w:rsidRPr="00EB2D8D" w:rsidRDefault="00EB2D8D" w:rsidP="00EB2D8D">
          <w:pPr>
            <w:pStyle w:val="20"/>
            <w:rPr>
              <w:rFonts w:eastAsiaTheme="minorEastAsia"/>
            </w:rPr>
          </w:pPr>
          <w:hyperlink w:anchor="_Toc199946462" w:history="1">
            <w:r w:rsidRPr="00EB2D8D">
              <w:rPr>
                <w:rStyle w:val="-"/>
                <w:color w:val="auto"/>
                <w:u w:val="none"/>
              </w:rPr>
              <w:t>3.1 Γενικά</w:t>
            </w:r>
            <w:r w:rsidRPr="00EB2D8D">
              <w:rPr>
                <w:webHidden/>
              </w:rPr>
              <w:tab/>
            </w:r>
            <w:r w:rsidRPr="00EB2D8D">
              <w:rPr>
                <w:webHidden/>
              </w:rPr>
              <w:fldChar w:fldCharType="begin"/>
            </w:r>
            <w:r w:rsidRPr="00EB2D8D">
              <w:rPr>
                <w:webHidden/>
              </w:rPr>
              <w:instrText xml:space="preserve"> PAGEREF _Toc199946462 \h </w:instrText>
            </w:r>
            <w:r w:rsidRPr="00EB2D8D">
              <w:rPr>
                <w:webHidden/>
              </w:rPr>
            </w:r>
            <w:r w:rsidRPr="00EB2D8D">
              <w:rPr>
                <w:webHidden/>
              </w:rPr>
              <w:fldChar w:fldCharType="separate"/>
            </w:r>
            <w:r w:rsidR="008B5159">
              <w:rPr>
                <w:webHidden/>
              </w:rPr>
              <w:t>32</w:t>
            </w:r>
            <w:r w:rsidRPr="00EB2D8D">
              <w:rPr>
                <w:webHidden/>
              </w:rPr>
              <w:fldChar w:fldCharType="end"/>
            </w:r>
          </w:hyperlink>
        </w:p>
        <w:p w14:paraId="32875C25" w14:textId="6B29F349" w:rsidR="00EB2D8D" w:rsidRPr="00EB2D8D" w:rsidRDefault="00EB2D8D" w:rsidP="00EB2D8D">
          <w:pPr>
            <w:pStyle w:val="20"/>
            <w:rPr>
              <w:rFonts w:eastAsiaTheme="minorEastAsia"/>
            </w:rPr>
          </w:pPr>
          <w:hyperlink w:anchor="_Toc199946463" w:history="1">
            <w:r w:rsidRPr="00EB2D8D">
              <w:rPr>
                <w:rStyle w:val="-"/>
                <w:color w:val="auto"/>
                <w:u w:val="none"/>
              </w:rPr>
              <w:t>3.2 Διάγνωση με απεικονιστικές μεθόδους</w:t>
            </w:r>
            <w:r w:rsidRPr="00EB2D8D">
              <w:rPr>
                <w:webHidden/>
              </w:rPr>
              <w:tab/>
            </w:r>
            <w:r w:rsidRPr="00EB2D8D">
              <w:rPr>
                <w:webHidden/>
              </w:rPr>
              <w:fldChar w:fldCharType="begin"/>
            </w:r>
            <w:r w:rsidRPr="00EB2D8D">
              <w:rPr>
                <w:webHidden/>
              </w:rPr>
              <w:instrText xml:space="preserve"> PAGEREF _Toc199946463 \h </w:instrText>
            </w:r>
            <w:r w:rsidRPr="00EB2D8D">
              <w:rPr>
                <w:webHidden/>
              </w:rPr>
            </w:r>
            <w:r w:rsidRPr="00EB2D8D">
              <w:rPr>
                <w:webHidden/>
              </w:rPr>
              <w:fldChar w:fldCharType="separate"/>
            </w:r>
            <w:r w:rsidR="008B5159">
              <w:rPr>
                <w:webHidden/>
              </w:rPr>
              <w:t>33</w:t>
            </w:r>
            <w:r w:rsidRPr="00EB2D8D">
              <w:rPr>
                <w:webHidden/>
              </w:rPr>
              <w:fldChar w:fldCharType="end"/>
            </w:r>
          </w:hyperlink>
        </w:p>
        <w:p w14:paraId="0DE6BFFA" w14:textId="0F6FC8E6" w:rsidR="00EB2D8D" w:rsidRPr="00EB2D8D" w:rsidRDefault="00EB2D8D" w:rsidP="00EB2D8D">
          <w:pPr>
            <w:pStyle w:val="30"/>
            <w:rPr>
              <w:rFonts w:eastAsiaTheme="minorEastAsia"/>
              <w:noProof/>
            </w:rPr>
          </w:pPr>
          <w:hyperlink w:anchor="_Toc199946464" w:history="1">
            <w:r w:rsidRPr="00EB2D8D">
              <w:rPr>
                <w:rStyle w:val="-"/>
                <w:noProof/>
                <w:color w:val="auto"/>
                <w:u w:val="none"/>
              </w:rPr>
              <w:t>Αξονική Τομογραφία (CT)</w:t>
            </w:r>
            <w:r w:rsidRPr="00EB2D8D">
              <w:rPr>
                <w:noProof/>
                <w:webHidden/>
              </w:rPr>
              <w:tab/>
            </w:r>
            <w:r w:rsidRPr="00EB2D8D">
              <w:rPr>
                <w:noProof/>
                <w:webHidden/>
              </w:rPr>
              <w:fldChar w:fldCharType="begin"/>
            </w:r>
            <w:r w:rsidRPr="00EB2D8D">
              <w:rPr>
                <w:noProof/>
                <w:webHidden/>
              </w:rPr>
              <w:instrText xml:space="preserve"> PAGEREF _Toc199946464 \h </w:instrText>
            </w:r>
            <w:r w:rsidRPr="00EB2D8D">
              <w:rPr>
                <w:noProof/>
                <w:webHidden/>
              </w:rPr>
            </w:r>
            <w:r w:rsidRPr="00EB2D8D">
              <w:rPr>
                <w:noProof/>
                <w:webHidden/>
              </w:rPr>
              <w:fldChar w:fldCharType="separate"/>
            </w:r>
            <w:r w:rsidR="008B5159">
              <w:rPr>
                <w:noProof/>
                <w:webHidden/>
              </w:rPr>
              <w:t>34</w:t>
            </w:r>
            <w:r w:rsidRPr="00EB2D8D">
              <w:rPr>
                <w:noProof/>
                <w:webHidden/>
              </w:rPr>
              <w:fldChar w:fldCharType="end"/>
            </w:r>
          </w:hyperlink>
        </w:p>
        <w:p w14:paraId="685F86B3" w14:textId="164D5931" w:rsidR="00EB2D8D" w:rsidRPr="00EB2D8D" w:rsidRDefault="00EB2D8D" w:rsidP="00EB2D8D">
          <w:pPr>
            <w:pStyle w:val="30"/>
            <w:rPr>
              <w:rFonts w:eastAsiaTheme="minorEastAsia"/>
              <w:noProof/>
            </w:rPr>
          </w:pPr>
          <w:hyperlink w:anchor="_Toc199946465" w:history="1">
            <w:r w:rsidRPr="00EB2D8D">
              <w:rPr>
                <w:rStyle w:val="-"/>
                <w:noProof/>
                <w:color w:val="auto"/>
                <w:u w:val="none"/>
              </w:rPr>
              <w:t>Μαγνητική Τομογραφία (MRI)</w:t>
            </w:r>
            <w:r w:rsidRPr="00EB2D8D">
              <w:rPr>
                <w:noProof/>
                <w:webHidden/>
              </w:rPr>
              <w:tab/>
            </w:r>
            <w:r w:rsidRPr="00EB2D8D">
              <w:rPr>
                <w:noProof/>
                <w:webHidden/>
              </w:rPr>
              <w:fldChar w:fldCharType="begin"/>
            </w:r>
            <w:r w:rsidRPr="00EB2D8D">
              <w:rPr>
                <w:noProof/>
                <w:webHidden/>
              </w:rPr>
              <w:instrText xml:space="preserve"> PAGEREF _Toc199946465 \h </w:instrText>
            </w:r>
            <w:r w:rsidRPr="00EB2D8D">
              <w:rPr>
                <w:noProof/>
                <w:webHidden/>
              </w:rPr>
            </w:r>
            <w:r w:rsidRPr="00EB2D8D">
              <w:rPr>
                <w:noProof/>
                <w:webHidden/>
              </w:rPr>
              <w:fldChar w:fldCharType="separate"/>
            </w:r>
            <w:r w:rsidR="008B5159">
              <w:rPr>
                <w:noProof/>
                <w:webHidden/>
              </w:rPr>
              <w:t>36</w:t>
            </w:r>
            <w:r w:rsidRPr="00EB2D8D">
              <w:rPr>
                <w:noProof/>
                <w:webHidden/>
              </w:rPr>
              <w:fldChar w:fldCharType="end"/>
            </w:r>
          </w:hyperlink>
        </w:p>
        <w:p w14:paraId="33BF79AA" w14:textId="2228A49B" w:rsidR="00EB2D8D" w:rsidRPr="00EB2D8D" w:rsidRDefault="00EB2D8D" w:rsidP="00EB2D8D">
          <w:pPr>
            <w:pStyle w:val="30"/>
            <w:rPr>
              <w:rFonts w:eastAsiaTheme="minorEastAsia"/>
              <w:noProof/>
            </w:rPr>
          </w:pPr>
          <w:hyperlink w:anchor="_Toc199946466" w:history="1">
            <w:r w:rsidRPr="00EB2D8D">
              <w:rPr>
                <w:rStyle w:val="-"/>
                <w:noProof/>
                <w:color w:val="auto"/>
                <w:u w:val="none"/>
              </w:rPr>
              <w:t>Εξετάσεις Υπερήχων</w:t>
            </w:r>
            <w:r w:rsidRPr="00EB2D8D">
              <w:rPr>
                <w:noProof/>
                <w:webHidden/>
              </w:rPr>
              <w:tab/>
            </w:r>
            <w:r w:rsidRPr="00EB2D8D">
              <w:rPr>
                <w:noProof/>
                <w:webHidden/>
              </w:rPr>
              <w:fldChar w:fldCharType="begin"/>
            </w:r>
            <w:r w:rsidRPr="00EB2D8D">
              <w:rPr>
                <w:noProof/>
                <w:webHidden/>
              </w:rPr>
              <w:instrText xml:space="preserve"> PAGEREF _Toc199946466 \h </w:instrText>
            </w:r>
            <w:r w:rsidRPr="00EB2D8D">
              <w:rPr>
                <w:noProof/>
                <w:webHidden/>
              </w:rPr>
            </w:r>
            <w:r w:rsidRPr="00EB2D8D">
              <w:rPr>
                <w:noProof/>
                <w:webHidden/>
              </w:rPr>
              <w:fldChar w:fldCharType="separate"/>
            </w:r>
            <w:r w:rsidR="008B5159">
              <w:rPr>
                <w:noProof/>
                <w:webHidden/>
              </w:rPr>
              <w:t>37</w:t>
            </w:r>
            <w:r w:rsidRPr="00EB2D8D">
              <w:rPr>
                <w:noProof/>
                <w:webHidden/>
              </w:rPr>
              <w:fldChar w:fldCharType="end"/>
            </w:r>
          </w:hyperlink>
        </w:p>
        <w:p w14:paraId="53AB332B" w14:textId="52B917E6" w:rsidR="00EB2D8D" w:rsidRPr="00EB2D8D" w:rsidRDefault="00EB2D8D" w:rsidP="00EB2D8D">
          <w:pPr>
            <w:pStyle w:val="20"/>
            <w:rPr>
              <w:rFonts w:eastAsiaTheme="minorEastAsia"/>
            </w:rPr>
          </w:pPr>
          <w:hyperlink w:anchor="_Toc199946467" w:history="1">
            <w:r w:rsidRPr="00EB2D8D">
              <w:rPr>
                <w:rStyle w:val="-"/>
                <w:color w:val="auto"/>
                <w:u w:val="none"/>
              </w:rPr>
              <w:t>3.3 Αξιοποίηση AI και ML για ενίσχυση της διάγνωσης ΑΕΕ μέσω απεικονιστικών τεχνικών</w:t>
            </w:r>
            <w:r w:rsidRPr="00EB2D8D">
              <w:rPr>
                <w:webHidden/>
              </w:rPr>
              <w:tab/>
            </w:r>
            <w:r w:rsidRPr="00EB2D8D">
              <w:rPr>
                <w:webHidden/>
              </w:rPr>
              <w:fldChar w:fldCharType="begin"/>
            </w:r>
            <w:r w:rsidRPr="00EB2D8D">
              <w:rPr>
                <w:webHidden/>
              </w:rPr>
              <w:instrText xml:space="preserve"> PAGEREF _Toc199946467 \h </w:instrText>
            </w:r>
            <w:r w:rsidRPr="00EB2D8D">
              <w:rPr>
                <w:webHidden/>
              </w:rPr>
            </w:r>
            <w:r w:rsidRPr="00EB2D8D">
              <w:rPr>
                <w:webHidden/>
              </w:rPr>
              <w:fldChar w:fldCharType="separate"/>
            </w:r>
            <w:r w:rsidR="008B5159">
              <w:rPr>
                <w:webHidden/>
              </w:rPr>
              <w:t>38</w:t>
            </w:r>
            <w:r w:rsidRPr="00EB2D8D">
              <w:rPr>
                <w:webHidden/>
              </w:rPr>
              <w:fldChar w:fldCharType="end"/>
            </w:r>
          </w:hyperlink>
        </w:p>
        <w:p w14:paraId="69D6CC3D" w14:textId="1EF70A84" w:rsidR="00EB2D8D" w:rsidRPr="00EB2D8D" w:rsidRDefault="00EB2D8D" w:rsidP="00EB2D8D">
          <w:pPr>
            <w:pStyle w:val="30"/>
            <w:rPr>
              <w:rFonts w:eastAsiaTheme="minorEastAsia"/>
              <w:noProof/>
            </w:rPr>
          </w:pPr>
          <w:hyperlink w:anchor="_Toc199946468" w:history="1">
            <w:r w:rsidRPr="00EB2D8D">
              <w:rPr>
                <w:rStyle w:val="-"/>
                <w:noProof/>
                <w:color w:val="auto"/>
                <w:u w:val="none"/>
              </w:rPr>
              <w:t>3.3.1 Διαλογή και  Διαχείριση Φόρτου Εργασίας</w:t>
            </w:r>
            <w:r w:rsidRPr="00EB2D8D">
              <w:rPr>
                <w:noProof/>
                <w:webHidden/>
              </w:rPr>
              <w:tab/>
            </w:r>
            <w:r w:rsidRPr="00EB2D8D">
              <w:rPr>
                <w:noProof/>
                <w:webHidden/>
              </w:rPr>
              <w:fldChar w:fldCharType="begin"/>
            </w:r>
            <w:r w:rsidRPr="00EB2D8D">
              <w:rPr>
                <w:noProof/>
                <w:webHidden/>
              </w:rPr>
              <w:instrText xml:space="preserve"> PAGEREF _Toc199946468 \h </w:instrText>
            </w:r>
            <w:r w:rsidRPr="00EB2D8D">
              <w:rPr>
                <w:noProof/>
                <w:webHidden/>
              </w:rPr>
            </w:r>
            <w:r w:rsidRPr="00EB2D8D">
              <w:rPr>
                <w:noProof/>
                <w:webHidden/>
              </w:rPr>
              <w:fldChar w:fldCharType="separate"/>
            </w:r>
            <w:r w:rsidR="008B5159">
              <w:rPr>
                <w:noProof/>
                <w:webHidden/>
              </w:rPr>
              <w:t>38</w:t>
            </w:r>
            <w:r w:rsidRPr="00EB2D8D">
              <w:rPr>
                <w:noProof/>
                <w:webHidden/>
              </w:rPr>
              <w:fldChar w:fldCharType="end"/>
            </w:r>
          </w:hyperlink>
        </w:p>
        <w:p w14:paraId="70663545" w14:textId="5313E282" w:rsidR="00EB2D8D" w:rsidRPr="00EB2D8D" w:rsidRDefault="00EB2D8D" w:rsidP="00EB2D8D">
          <w:pPr>
            <w:pStyle w:val="30"/>
            <w:rPr>
              <w:rFonts w:eastAsiaTheme="minorEastAsia"/>
              <w:noProof/>
            </w:rPr>
          </w:pPr>
          <w:hyperlink w:anchor="_Toc199946469" w:history="1">
            <w:r w:rsidRPr="00EB2D8D">
              <w:rPr>
                <w:rStyle w:val="-"/>
                <w:noProof/>
                <w:color w:val="auto"/>
                <w:u w:val="none"/>
              </w:rPr>
              <w:t>3.3.2 Βελτιστοποίηση Εικόνας</w:t>
            </w:r>
            <w:r w:rsidRPr="00EB2D8D">
              <w:rPr>
                <w:noProof/>
                <w:webHidden/>
              </w:rPr>
              <w:tab/>
            </w:r>
            <w:r w:rsidRPr="00EB2D8D">
              <w:rPr>
                <w:noProof/>
                <w:webHidden/>
              </w:rPr>
              <w:fldChar w:fldCharType="begin"/>
            </w:r>
            <w:r w:rsidRPr="00EB2D8D">
              <w:rPr>
                <w:noProof/>
                <w:webHidden/>
              </w:rPr>
              <w:instrText xml:space="preserve"> PAGEREF _Toc199946469 \h </w:instrText>
            </w:r>
            <w:r w:rsidRPr="00EB2D8D">
              <w:rPr>
                <w:noProof/>
                <w:webHidden/>
              </w:rPr>
            </w:r>
            <w:r w:rsidRPr="00EB2D8D">
              <w:rPr>
                <w:noProof/>
                <w:webHidden/>
              </w:rPr>
              <w:fldChar w:fldCharType="separate"/>
            </w:r>
            <w:r w:rsidR="008B5159">
              <w:rPr>
                <w:noProof/>
                <w:webHidden/>
              </w:rPr>
              <w:t>39</w:t>
            </w:r>
            <w:r w:rsidRPr="00EB2D8D">
              <w:rPr>
                <w:noProof/>
                <w:webHidden/>
              </w:rPr>
              <w:fldChar w:fldCharType="end"/>
            </w:r>
          </w:hyperlink>
        </w:p>
        <w:p w14:paraId="1C16949A" w14:textId="73E64343" w:rsidR="00EB2D8D" w:rsidRPr="00EB2D8D" w:rsidRDefault="00EB2D8D" w:rsidP="00EB2D8D">
          <w:pPr>
            <w:pStyle w:val="30"/>
            <w:rPr>
              <w:rFonts w:eastAsiaTheme="minorEastAsia"/>
              <w:noProof/>
            </w:rPr>
          </w:pPr>
          <w:hyperlink w:anchor="_Toc199946470" w:history="1">
            <w:r w:rsidRPr="00EB2D8D">
              <w:rPr>
                <w:rStyle w:val="-"/>
                <w:noProof/>
                <w:color w:val="auto"/>
                <w:u w:val="none"/>
              </w:rPr>
              <w:t>3.3.3 Ανάλυση-Αξιολόγηση Απεικονίσεων</w:t>
            </w:r>
            <w:r w:rsidRPr="00EB2D8D">
              <w:rPr>
                <w:noProof/>
                <w:webHidden/>
              </w:rPr>
              <w:tab/>
            </w:r>
            <w:r w:rsidRPr="00EB2D8D">
              <w:rPr>
                <w:noProof/>
                <w:webHidden/>
              </w:rPr>
              <w:fldChar w:fldCharType="begin"/>
            </w:r>
            <w:r w:rsidRPr="00EB2D8D">
              <w:rPr>
                <w:noProof/>
                <w:webHidden/>
              </w:rPr>
              <w:instrText xml:space="preserve"> PAGEREF _Toc199946470 \h </w:instrText>
            </w:r>
            <w:r w:rsidRPr="00EB2D8D">
              <w:rPr>
                <w:noProof/>
                <w:webHidden/>
              </w:rPr>
            </w:r>
            <w:r w:rsidRPr="00EB2D8D">
              <w:rPr>
                <w:noProof/>
                <w:webHidden/>
              </w:rPr>
              <w:fldChar w:fldCharType="separate"/>
            </w:r>
            <w:r w:rsidR="008B5159">
              <w:rPr>
                <w:noProof/>
                <w:webHidden/>
              </w:rPr>
              <w:t>41</w:t>
            </w:r>
            <w:r w:rsidRPr="00EB2D8D">
              <w:rPr>
                <w:noProof/>
                <w:webHidden/>
              </w:rPr>
              <w:fldChar w:fldCharType="end"/>
            </w:r>
          </w:hyperlink>
        </w:p>
        <w:p w14:paraId="294F873A" w14:textId="372B2BE3" w:rsidR="00EB2D8D" w:rsidRPr="00EB2D8D" w:rsidRDefault="00EB2D8D" w:rsidP="00EB2D8D">
          <w:pPr>
            <w:pStyle w:val="30"/>
            <w:rPr>
              <w:rFonts w:eastAsiaTheme="minorEastAsia"/>
              <w:noProof/>
            </w:rPr>
          </w:pPr>
          <w:hyperlink w:anchor="_Toc199946471" w:history="1">
            <w:r w:rsidRPr="00EB2D8D">
              <w:rPr>
                <w:rStyle w:val="-"/>
                <w:noProof/>
                <w:color w:val="auto"/>
                <w:u w:val="none"/>
              </w:rPr>
              <w:t>3.3.4 Πρόβλεψη και Πρόγνωση Εγκεφαλικού Επεισοδίου</w:t>
            </w:r>
            <w:r w:rsidRPr="00EB2D8D">
              <w:rPr>
                <w:noProof/>
                <w:webHidden/>
              </w:rPr>
              <w:tab/>
            </w:r>
            <w:r w:rsidRPr="00EB2D8D">
              <w:rPr>
                <w:noProof/>
                <w:webHidden/>
              </w:rPr>
              <w:fldChar w:fldCharType="begin"/>
            </w:r>
            <w:r w:rsidRPr="00EB2D8D">
              <w:rPr>
                <w:noProof/>
                <w:webHidden/>
              </w:rPr>
              <w:instrText xml:space="preserve"> PAGEREF _Toc199946471 \h </w:instrText>
            </w:r>
            <w:r w:rsidRPr="00EB2D8D">
              <w:rPr>
                <w:noProof/>
                <w:webHidden/>
              </w:rPr>
            </w:r>
            <w:r w:rsidRPr="00EB2D8D">
              <w:rPr>
                <w:noProof/>
                <w:webHidden/>
              </w:rPr>
              <w:fldChar w:fldCharType="separate"/>
            </w:r>
            <w:r w:rsidR="008B5159">
              <w:rPr>
                <w:noProof/>
                <w:webHidden/>
              </w:rPr>
              <w:t>43</w:t>
            </w:r>
            <w:r w:rsidRPr="00EB2D8D">
              <w:rPr>
                <w:noProof/>
                <w:webHidden/>
              </w:rPr>
              <w:fldChar w:fldCharType="end"/>
            </w:r>
          </w:hyperlink>
        </w:p>
        <w:p w14:paraId="6B038725" w14:textId="3C6F5FBA" w:rsidR="00EB2D8D" w:rsidRPr="00EB2D8D" w:rsidRDefault="00EB2D8D" w:rsidP="00EB2D8D">
          <w:pPr>
            <w:pStyle w:val="20"/>
            <w:rPr>
              <w:rFonts w:eastAsiaTheme="minorEastAsia"/>
            </w:rPr>
          </w:pPr>
          <w:hyperlink w:anchor="_Toc199946472" w:history="1">
            <w:r w:rsidRPr="00EB2D8D">
              <w:rPr>
                <w:rStyle w:val="-"/>
                <w:color w:val="auto"/>
                <w:u w:val="none"/>
              </w:rPr>
              <w:t>3.4 Κινητές Μονάδες Εγκεφαλικού Επεισοδίου (Mobile Stroke Units -MSUs) σε Point-of-Care (PoC) διάγνωση ΑΕΕ</w:t>
            </w:r>
            <w:r w:rsidRPr="00EB2D8D">
              <w:rPr>
                <w:webHidden/>
              </w:rPr>
              <w:tab/>
            </w:r>
            <w:r w:rsidRPr="00EB2D8D">
              <w:rPr>
                <w:webHidden/>
              </w:rPr>
              <w:fldChar w:fldCharType="begin"/>
            </w:r>
            <w:r w:rsidRPr="00EB2D8D">
              <w:rPr>
                <w:webHidden/>
              </w:rPr>
              <w:instrText xml:space="preserve"> PAGEREF _Toc199946472 \h </w:instrText>
            </w:r>
            <w:r w:rsidRPr="00EB2D8D">
              <w:rPr>
                <w:webHidden/>
              </w:rPr>
            </w:r>
            <w:r w:rsidRPr="00EB2D8D">
              <w:rPr>
                <w:webHidden/>
              </w:rPr>
              <w:fldChar w:fldCharType="separate"/>
            </w:r>
            <w:r w:rsidR="008B5159">
              <w:rPr>
                <w:webHidden/>
              </w:rPr>
              <w:t>44</w:t>
            </w:r>
            <w:r w:rsidRPr="00EB2D8D">
              <w:rPr>
                <w:webHidden/>
              </w:rPr>
              <w:fldChar w:fldCharType="end"/>
            </w:r>
          </w:hyperlink>
        </w:p>
        <w:p w14:paraId="016496CC" w14:textId="70779143" w:rsidR="00EB2D8D" w:rsidRPr="00EB2D8D" w:rsidRDefault="00EB2D8D" w:rsidP="00EB2D8D">
          <w:pPr>
            <w:pStyle w:val="30"/>
            <w:rPr>
              <w:rFonts w:eastAsiaTheme="minorEastAsia"/>
              <w:noProof/>
            </w:rPr>
          </w:pPr>
          <w:hyperlink w:anchor="_Toc199946473" w:history="1">
            <w:r w:rsidRPr="00EB2D8D">
              <w:rPr>
                <w:rStyle w:val="-"/>
                <w:noProof/>
                <w:color w:val="auto"/>
                <w:u w:val="none"/>
              </w:rPr>
              <w:t>3.4.1 Πλεονεκτήματα των MSUs στην απεικονιστική διάγνωση του ΑΕΕ</w:t>
            </w:r>
            <w:r w:rsidRPr="00EB2D8D">
              <w:rPr>
                <w:noProof/>
                <w:webHidden/>
              </w:rPr>
              <w:tab/>
            </w:r>
            <w:r w:rsidRPr="00EB2D8D">
              <w:rPr>
                <w:noProof/>
                <w:webHidden/>
              </w:rPr>
              <w:fldChar w:fldCharType="begin"/>
            </w:r>
            <w:r w:rsidRPr="00EB2D8D">
              <w:rPr>
                <w:noProof/>
                <w:webHidden/>
              </w:rPr>
              <w:instrText xml:space="preserve"> PAGEREF _Toc199946473 \h </w:instrText>
            </w:r>
            <w:r w:rsidRPr="00EB2D8D">
              <w:rPr>
                <w:noProof/>
                <w:webHidden/>
              </w:rPr>
            </w:r>
            <w:r w:rsidRPr="00EB2D8D">
              <w:rPr>
                <w:noProof/>
                <w:webHidden/>
              </w:rPr>
              <w:fldChar w:fldCharType="separate"/>
            </w:r>
            <w:r w:rsidR="008B5159">
              <w:rPr>
                <w:noProof/>
                <w:webHidden/>
              </w:rPr>
              <w:t>44</w:t>
            </w:r>
            <w:r w:rsidRPr="00EB2D8D">
              <w:rPr>
                <w:noProof/>
                <w:webHidden/>
              </w:rPr>
              <w:fldChar w:fldCharType="end"/>
            </w:r>
          </w:hyperlink>
        </w:p>
        <w:p w14:paraId="0AF9C96F" w14:textId="3FE88C19" w:rsidR="00EB2D8D" w:rsidRPr="00EB2D8D" w:rsidRDefault="00EB2D8D" w:rsidP="00EB2D8D">
          <w:pPr>
            <w:pStyle w:val="30"/>
            <w:rPr>
              <w:rFonts w:eastAsiaTheme="minorEastAsia"/>
              <w:noProof/>
            </w:rPr>
          </w:pPr>
          <w:hyperlink w:anchor="_Toc199946474" w:history="1">
            <w:r w:rsidRPr="00EB2D8D">
              <w:rPr>
                <w:rStyle w:val="-"/>
                <w:noProof/>
                <w:color w:val="auto"/>
                <w:u w:val="none"/>
              </w:rPr>
              <w:t>3.4.2 Ενσωμάτωση της Μηχανικής Μάθησης (ML) στην Απεικόνιση των MSUs</w:t>
            </w:r>
            <w:r w:rsidRPr="00EB2D8D">
              <w:rPr>
                <w:noProof/>
                <w:webHidden/>
              </w:rPr>
              <w:tab/>
            </w:r>
            <w:r w:rsidRPr="00EB2D8D">
              <w:rPr>
                <w:noProof/>
                <w:webHidden/>
              </w:rPr>
              <w:fldChar w:fldCharType="begin"/>
            </w:r>
            <w:r w:rsidRPr="00EB2D8D">
              <w:rPr>
                <w:noProof/>
                <w:webHidden/>
              </w:rPr>
              <w:instrText xml:space="preserve"> PAGEREF _Toc199946474 \h </w:instrText>
            </w:r>
            <w:r w:rsidRPr="00EB2D8D">
              <w:rPr>
                <w:noProof/>
                <w:webHidden/>
              </w:rPr>
            </w:r>
            <w:r w:rsidRPr="00EB2D8D">
              <w:rPr>
                <w:noProof/>
                <w:webHidden/>
              </w:rPr>
              <w:fldChar w:fldCharType="separate"/>
            </w:r>
            <w:r w:rsidR="008B5159">
              <w:rPr>
                <w:noProof/>
                <w:webHidden/>
              </w:rPr>
              <w:t>46</w:t>
            </w:r>
            <w:r w:rsidRPr="00EB2D8D">
              <w:rPr>
                <w:noProof/>
                <w:webHidden/>
              </w:rPr>
              <w:fldChar w:fldCharType="end"/>
            </w:r>
          </w:hyperlink>
        </w:p>
        <w:p w14:paraId="2BB15914" w14:textId="5B777EF4" w:rsidR="00EB2D8D" w:rsidRPr="00EB2D8D" w:rsidRDefault="00EB2D8D" w:rsidP="00EB2D8D">
          <w:pPr>
            <w:pStyle w:val="30"/>
            <w:rPr>
              <w:rFonts w:eastAsiaTheme="minorEastAsia"/>
              <w:noProof/>
            </w:rPr>
          </w:pPr>
          <w:hyperlink w:anchor="_Toc199946475" w:history="1">
            <w:r w:rsidRPr="00EB2D8D">
              <w:rPr>
                <w:rStyle w:val="-"/>
                <w:noProof/>
                <w:color w:val="auto"/>
                <w:u w:val="none"/>
              </w:rPr>
              <w:t>3.4.3 Διεύρυνση της Διάγνωσης πέρα από τα MSUs</w:t>
            </w:r>
            <w:r w:rsidRPr="00EB2D8D">
              <w:rPr>
                <w:noProof/>
                <w:webHidden/>
              </w:rPr>
              <w:tab/>
            </w:r>
            <w:r w:rsidRPr="00EB2D8D">
              <w:rPr>
                <w:noProof/>
                <w:webHidden/>
              </w:rPr>
              <w:fldChar w:fldCharType="begin"/>
            </w:r>
            <w:r w:rsidRPr="00EB2D8D">
              <w:rPr>
                <w:noProof/>
                <w:webHidden/>
              </w:rPr>
              <w:instrText xml:space="preserve"> PAGEREF _Toc199946475 \h </w:instrText>
            </w:r>
            <w:r w:rsidRPr="00EB2D8D">
              <w:rPr>
                <w:noProof/>
                <w:webHidden/>
              </w:rPr>
            </w:r>
            <w:r w:rsidRPr="00EB2D8D">
              <w:rPr>
                <w:noProof/>
                <w:webHidden/>
              </w:rPr>
              <w:fldChar w:fldCharType="separate"/>
            </w:r>
            <w:r w:rsidR="008B5159">
              <w:rPr>
                <w:noProof/>
                <w:webHidden/>
              </w:rPr>
              <w:t>47</w:t>
            </w:r>
            <w:r w:rsidRPr="00EB2D8D">
              <w:rPr>
                <w:noProof/>
                <w:webHidden/>
              </w:rPr>
              <w:fldChar w:fldCharType="end"/>
            </w:r>
          </w:hyperlink>
        </w:p>
        <w:p w14:paraId="4DB32A9F" w14:textId="111C65B1" w:rsidR="00EB2D8D" w:rsidRPr="00EB2D8D" w:rsidRDefault="00EB2D8D" w:rsidP="00EB2D8D">
          <w:pPr>
            <w:pStyle w:val="10"/>
            <w:rPr>
              <w:noProof/>
            </w:rPr>
          </w:pPr>
          <w:hyperlink w:anchor="_Toc199946476" w:history="1">
            <w:r w:rsidRPr="00EB2D8D">
              <w:rPr>
                <w:rStyle w:val="-"/>
                <w:noProof/>
                <w:color w:val="auto"/>
                <w:u w:val="none"/>
              </w:rPr>
              <w:t>4. Διάγνωση Εγκεφαλικού Επεισοδίου με Βιοδείκτες</w:t>
            </w:r>
            <w:r w:rsidRPr="00EB2D8D">
              <w:rPr>
                <w:noProof/>
                <w:webHidden/>
              </w:rPr>
              <w:tab/>
            </w:r>
            <w:r w:rsidRPr="00EB2D8D">
              <w:rPr>
                <w:noProof/>
                <w:webHidden/>
              </w:rPr>
              <w:fldChar w:fldCharType="begin"/>
            </w:r>
            <w:r w:rsidRPr="00EB2D8D">
              <w:rPr>
                <w:noProof/>
                <w:webHidden/>
              </w:rPr>
              <w:instrText xml:space="preserve"> PAGEREF _Toc199946476 \h </w:instrText>
            </w:r>
            <w:r w:rsidRPr="00EB2D8D">
              <w:rPr>
                <w:noProof/>
                <w:webHidden/>
              </w:rPr>
            </w:r>
            <w:r w:rsidRPr="00EB2D8D">
              <w:rPr>
                <w:noProof/>
                <w:webHidden/>
              </w:rPr>
              <w:fldChar w:fldCharType="separate"/>
            </w:r>
            <w:r w:rsidR="008B5159">
              <w:rPr>
                <w:noProof/>
                <w:webHidden/>
              </w:rPr>
              <w:t>48</w:t>
            </w:r>
            <w:r w:rsidRPr="00EB2D8D">
              <w:rPr>
                <w:noProof/>
                <w:webHidden/>
              </w:rPr>
              <w:fldChar w:fldCharType="end"/>
            </w:r>
          </w:hyperlink>
        </w:p>
        <w:p w14:paraId="6D76E97E" w14:textId="26E09347" w:rsidR="00EB2D8D" w:rsidRPr="00EB2D8D" w:rsidRDefault="00EB2D8D" w:rsidP="00EB2D8D">
          <w:pPr>
            <w:pStyle w:val="20"/>
            <w:rPr>
              <w:rFonts w:eastAsiaTheme="minorEastAsia"/>
            </w:rPr>
          </w:pPr>
          <w:hyperlink w:anchor="_Toc199946477" w:history="1">
            <w:r w:rsidRPr="00EB2D8D">
              <w:rPr>
                <w:rStyle w:val="-"/>
                <w:color w:val="auto"/>
                <w:u w:val="none"/>
              </w:rPr>
              <w:t>4.1 Γενικά</w:t>
            </w:r>
            <w:r w:rsidRPr="00EB2D8D">
              <w:rPr>
                <w:webHidden/>
              </w:rPr>
              <w:tab/>
            </w:r>
            <w:r w:rsidRPr="00EB2D8D">
              <w:rPr>
                <w:webHidden/>
              </w:rPr>
              <w:fldChar w:fldCharType="begin"/>
            </w:r>
            <w:r w:rsidRPr="00EB2D8D">
              <w:rPr>
                <w:webHidden/>
              </w:rPr>
              <w:instrText xml:space="preserve"> PAGEREF _Toc199946477 \h </w:instrText>
            </w:r>
            <w:r w:rsidRPr="00EB2D8D">
              <w:rPr>
                <w:webHidden/>
              </w:rPr>
            </w:r>
            <w:r w:rsidRPr="00EB2D8D">
              <w:rPr>
                <w:webHidden/>
              </w:rPr>
              <w:fldChar w:fldCharType="separate"/>
            </w:r>
            <w:r w:rsidR="008B5159">
              <w:rPr>
                <w:webHidden/>
              </w:rPr>
              <w:t>48</w:t>
            </w:r>
            <w:r w:rsidRPr="00EB2D8D">
              <w:rPr>
                <w:webHidden/>
              </w:rPr>
              <w:fldChar w:fldCharType="end"/>
            </w:r>
          </w:hyperlink>
        </w:p>
        <w:p w14:paraId="05E87320" w14:textId="57035BF7" w:rsidR="00EB2D8D" w:rsidRPr="00EB2D8D" w:rsidRDefault="00EB2D8D" w:rsidP="00EB2D8D">
          <w:pPr>
            <w:pStyle w:val="20"/>
            <w:rPr>
              <w:rFonts w:eastAsiaTheme="minorEastAsia"/>
            </w:rPr>
          </w:pPr>
          <w:hyperlink w:anchor="_Toc199946478" w:history="1">
            <w:r w:rsidRPr="00EB2D8D">
              <w:rPr>
                <w:rStyle w:val="-"/>
                <w:color w:val="auto"/>
                <w:u w:val="none"/>
              </w:rPr>
              <w:t>4.2 Αξιολόγηση της Διαγνωστικής Επίδοσης Βιοδεικτών</w:t>
            </w:r>
            <w:r w:rsidRPr="00EB2D8D">
              <w:rPr>
                <w:webHidden/>
              </w:rPr>
              <w:tab/>
            </w:r>
            <w:r w:rsidRPr="00EB2D8D">
              <w:rPr>
                <w:webHidden/>
              </w:rPr>
              <w:fldChar w:fldCharType="begin"/>
            </w:r>
            <w:r w:rsidRPr="00EB2D8D">
              <w:rPr>
                <w:webHidden/>
              </w:rPr>
              <w:instrText xml:space="preserve"> PAGEREF _Toc199946478 \h </w:instrText>
            </w:r>
            <w:r w:rsidRPr="00EB2D8D">
              <w:rPr>
                <w:webHidden/>
              </w:rPr>
            </w:r>
            <w:r w:rsidRPr="00EB2D8D">
              <w:rPr>
                <w:webHidden/>
              </w:rPr>
              <w:fldChar w:fldCharType="separate"/>
            </w:r>
            <w:r w:rsidR="008B5159">
              <w:rPr>
                <w:webHidden/>
              </w:rPr>
              <w:t>50</w:t>
            </w:r>
            <w:r w:rsidRPr="00EB2D8D">
              <w:rPr>
                <w:webHidden/>
              </w:rPr>
              <w:fldChar w:fldCharType="end"/>
            </w:r>
          </w:hyperlink>
        </w:p>
        <w:p w14:paraId="419538EA" w14:textId="3ADCDD7A" w:rsidR="00EB2D8D" w:rsidRPr="00EB2D8D" w:rsidRDefault="00EB2D8D" w:rsidP="00EB2D8D">
          <w:pPr>
            <w:pStyle w:val="20"/>
            <w:rPr>
              <w:rFonts w:eastAsiaTheme="minorEastAsia"/>
            </w:rPr>
          </w:pPr>
          <w:hyperlink w:anchor="_Toc199946479" w:history="1">
            <w:r w:rsidRPr="00EB2D8D">
              <w:rPr>
                <w:rStyle w:val="-"/>
                <w:color w:val="auto"/>
                <w:u w:val="none"/>
              </w:rPr>
              <w:t>4.3 Αξιοποίηση  Μηχανικής Μάθησης (ML) με Βιοδείκτες</w:t>
            </w:r>
            <w:r w:rsidRPr="00EB2D8D">
              <w:rPr>
                <w:webHidden/>
              </w:rPr>
              <w:tab/>
            </w:r>
            <w:r w:rsidRPr="00EB2D8D">
              <w:rPr>
                <w:webHidden/>
              </w:rPr>
              <w:fldChar w:fldCharType="begin"/>
            </w:r>
            <w:r w:rsidRPr="00EB2D8D">
              <w:rPr>
                <w:webHidden/>
              </w:rPr>
              <w:instrText xml:space="preserve"> PAGEREF _Toc199946479 \h </w:instrText>
            </w:r>
            <w:r w:rsidRPr="00EB2D8D">
              <w:rPr>
                <w:webHidden/>
              </w:rPr>
            </w:r>
            <w:r w:rsidRPr="00EB2D8D">
              <w:rPr>
                <w:webHidden/>
              </w:rPr>
              <w:fldChar w:fldCharType="separate"/>
            </w:r>
            <w:r w:rsidR="008B5159">
              <w:rPr>
                <w:webHidden/>
              </w:rPr>
              <w:t>55</w:t>
            </w:r>
            <w:r w:rsidRPr="00EB2D8D">
              <w:rPr>
                <w:webHidden/>
              </w:rPr>
              <w:fldChar w:fldCharType="end"/>
            </w:r>
          </w:hyperlink>
        </w:p>
        <w:p w14:paraId="14B53BE2" w14:textId="1060684F" w:rsidR="00EB2D8D" w:rsidRPr="00EB2D8D" w:rsidRDefault="00EB2D8D" w:rsidP="00EB2D8D">
          <w:pPr>
            <w:pStyle w:val="20"/>
            <w:rPr>
              <w:rFonts w:eastAsiaTheme="minorEastAsia"/>
            </w:rPr>
          </w:pPr>
          <w:hyperlink w:anchor="_Toc199946480" w:history="1">
            <w:r w:rsidRPr="00EB2D8D">
              <w:rPr>
                <w:rStyle w:val="-"/>
                <w:color w:val="auto"/>
                <w:u w:val="none"/>
              </w:rPr>
              <w:t>4.4 Βιοδείκτες σε εφαρμογές Point-of-Care(PoC)</w:t>
            </w:r>
            <w:r w:rsidRPr="00EB2D8D">
              <w:rPr>
                <w:webHidden/>
              </w:rPr>
              <w:tab/>
            </w:r>
            <w:r w:rsidRPr="00EB2D8D">
              <w:rPr>
                <w:webHidden/>
              </w:rPr>
              <w:fldChar w:fldCharType="begin"/>
            </w:r>
            <w:r w:rsidRPr="00EB2D8D">
              <w:rPr>
                <w:webHidden/>
              </w:rPr>
              <w:instrText xml:space="preserve"> PAGEREF _Toc199946480 \h </w:instrText>
            </w:r>
            <w:r w:rsidRPr="00EB2D8D">
              <w:rPr>
                <w:webHidden/>
              </w:rPr>
            </w:r>
            <w:r w:rsidRPr="00EB2D8D">
              <w:rPr>
                <w:webHidden/>
              </w:rPr>
              <w:fldChar w:fldCharType="separate"/>
            </w:r>
            <w:r w:rsidR="008B5159">
              <w:rPr>
                <w:webHidden/>
              </w:rPr>
              <w:t>63</w:t>
            </w:r>
            <w:r w:rsidRPr="00EB2D8D">
              <w:rPr>
                <w:webHidden/>
              </w:rPr>
              <w:fldChar w:fldCharType="end"/>
            </w:r>
          </w:hyperlink>
        </w:p>
        <w:p w14:paraId="07C6FC89" w14:textId="25796626" w:rsidR="00EB2D8D" w:rsidRPr="00EB2D8D" w:rsidRDefault="00EB2D8D" w:rsidP="00EB2D8D">
          <w:pPr>
            <w:pStyle w:val="30"/>
            <w:rPr>
              <w:rFonts w:eastAsiaTheme="minorEastAsia"/>
              <w:noProof/>
            </w:rPr>
          </w:pPr>
          <w:hyperlink w:anchor="_Toc199946481" w:history="1">
            <w:r w:rsidRPr="00EB2D8D">
              <w:rPr>
                <w:rStyle w:val="-"/>
                <w:noProof/>
                <w:color w:val="auto"/>
                <w:u w:val="none"/>
              </w:rPr>
              <w:t>4.4.1 Καθιερωμένες PoCT συσκευές</w:t>
            </w:r>
            <w:r w:rsidRPr="00EB2D8D">
              <w:rPr>
                <w:noProof/>
                <w:webHidden/>
              </w:rPr>
              <w:tab/>
            </w:r>
            <w:r w:rsidRPr="00EB2D8D">
              <w:rPr>
                <w:noProof/>
                <w:webHidden/>
              </w:rPr>
              <w:fldChar w:fldCharType="begin"/>
            </w:r>
            <w:r w:rsidRPr="00EB2D8D">
              <w:rPr>
                <w:noProof/>
                <w:webHidden/>
              </w:rPr>
              <w:instrText xml:space="preserve"> PAGEREF _Toc199946481 \h </w:instrText>
            </w:r>
            <w:r w:rsidRPr="00EB2D8D">
              <w:rPr>
                <w:noProof/>
                <w:webHidden/>
              </w:rPr>
            </w:r>
            <w:r w:rsidRPr="00EB2D8D">
              <w:rPr>
                <w:noProof/>
                <w:webHidden/>
              </w:rPr>
              <w:fldChar w:fldCharType="separate"/>
            </w:r>
            <w:r w:rsidR="008B5159">
              <w:rPr>
                <w:noProof/>
                <w:webHidden/>
              </w:rPr>
              <w:t>64</w:t>
            </w:r>
            <w:r w:rsidRPr="00EB2D8D">
              <w:rPr>
                <w:noProof/>
                <w:webHidden/>
              </w:rPr>
              <w:fldChar w:fldCharType="end"/>
            </w:r>
          </w:hyperlink>
        </w:p>
        <w:p w14:paraId="77D2C66B" w14:textId="0E1FBF54" w:rsidR="00EB2D8D" w:rsidRPr="00EB2D8D" w:rsidRDefault="00EB2D8D" w:rsidP="00EB2D8D">
          <w:pPr>
            <w:pStyle w:val="30"/>
            <w:rPr>
              <w:rFonts w:eastAsiaTheme="minorEastAsia"/>
              <w:noProof/>
            </w:rPr>
          </w:pPr>
          <w:hyperlink w:anchor="_Toc199946482" w:history="1">
            <w:r w:rsidRPr="00EB2D8D">
              <w:rPr>
                <w:rStyle w:val="-"/>
                <w:noProof/>
                <w:color w:val="auto"/>
                <w:u w:val="none"/>
              </w:rPr>
              <w:t>4.4.2 Νέοι βιοδείκτες σε εφαρμογές PoC</w:t>
            </w:r>
            <w:r w:rsidRPr="00EB2D8D">
              <w:rPr>
                <w:noProof/>
                <w:webHidden/>
              </w:rPr>
              <w:tab/>
            </w:r>
            <w:r w:rsidRPr="00EB2D8D">
              <w:rPr>
                <w:noProof/>
                <w:webHidden/>
              </w:rPr>
              <w:fldChar w:fldCharType="begin"/>
            </w:r>
            <w:r w:rsidRPr="00EB2D8D">
              <w:rPr>
                <w:noProof/>
                <w:webHidden/>
              </w:rPr>
              <w:instrText xml:space="preserve"> PAGEREF _Toc199946482 \h </w:instrText>
            </w:r>
            <w:r w:rsidRPr="00EB2D8D">
              <w:rPr>
                <w:noProof/>
                <w:webHidden/>
              </w:rPr>
            </w:r>
            <w:r w:rsidRPr="00EB2D8D">
              <w:rPr>
                <w:noProof/>
                <w:webHidden/>
              </w:rPr>
              <w:fldChar w:fldCharType="separate"/>
            </w:r>
            <w:r w:rsidR="008B5159">
              <w:rPr>
                <w:noProof/>
                <w:webHidden/>
              </w:rPr>
              <w:t>67</w:t>
            </w:r>
            <w:r w:rsidRPr="00EB2D8D">
              <w:rPr>
                <w:noProof/>
                <w:webHidden/>
              </w:rPr>
              <w:fldChar w:fldCharType="end"/>
            </w:r>
          </w:hyperlink>
        </w:p>
        <w:p w14:paraId="6C12EEFB" w14:textId="3976DC86" w:rsidR="00EB2D8D" w:rsidRPr="00EB2D8D" w:rsidRDefault="00EB2D8D" w:rsidP="00EB2D8D">
          <w:pPr>
            <w:pStyle w:val="10"/>
            <w:rPr>
              <w:noProof/>
            </w:rPr>
          </w:pPr>
          <w:hyperlink w:anchor="_Toc199946483" w:history="1">
            <w:r w:rsidRPr="00EB2D8D">
              <w:rPr>
                <w:rStyle w:val="-"/>
                <w:noProof/>
                <w:color w:val="auto"/>
                <w:u w:val="none"/>
              </w:rPr>
              <w:t>5. Διάγνωση Εγκεφαλικού Επεισοδίου με EVs</w:t>
            </w:r>
            <w:r w:rsidRPr="00EB2D8D">
              <w:rPr>
                <w:noProof/>
                <w:webHidden/>
              </w:rPr>
              <w:tab/>
            </w:r>
            <w:r w:rsidRPr="00EB2D8D">
              <w:rPr>
                <w:noProof/>
                <w:webHidden/>
              </w:rPr>
              <w:fldChar w:fldCharType="begin"/>
            </w:r>
            <w:r w:rsidRPr="00EB2D8D">
              <w:rPr>
                <w:noProof/>
                <w:webHidden/>
              </w:rPr>
              <w:instrText xml:space="preserve"> PAGEREF _Toc199946483 \h </w:instrText>
            </w:r>
            <w:r w:rsidRPr="00EB2D8D">
              <w:rPr>
                <w:noProof/>
                <w:webHidden/>
              </w:rPr>
            </w:r>
            <w:r w:rsidRPr="00EB2D8D">
              <w:rPr>
                <w:noProof/>
                <w:webHidden/>
              </w:rPr>
              <w:fldChar w:fldCharType="separate"/>
            </w:r>
            <w:r w:rsidR="008B5159">
              <w:rPr>
                <w:noProof/>
                <w:webHidden/>
              </w:rPr>
              <w:t>70</w:t>
            </w:r>
            <w:r w:rsidRPr="00EB2D8D">
              <w:rPr>
                <w:noProof/>
                <w:webHidden/>
              </w:rPr>
              <w:fldChar w:fldCharType="end"/>
            </w:r>
          </w:hyperlink>
        </w:p>
        <w:p w14:paraId="2D66F39E" w14:textId="25AA4FE8" w:rsidR="00EB2D8D" w:rsidRPr="00EB2D8D" w:rsidRDefault="00EB2D8D" w:rsidP="00EB2D8D">
          <w:pPr>
            <w:pStyle w:val="20"/>
            <w:rPr>
              <w:rFonts w:eastAsiaTheme="minorEastAsia"/>
            </w:rPr>
          </w:pPr>
          <w:hyperlink w:anchor="_Toc199946484" w:history="1">
            <w:r w:rsidRPr="00EB2D8D">
              <w:rPr>
                <w:rStyle w:val="-"/>
                <w:color w:val="auto"/>
                <w:u w:val="none"/>
              </w:rPr>
              <w:t>5.1 Γενικά</w:t>
            </w:r>
            <w:r w:rsidRPr="00EB2D8D">
              <w:rPr>
                <w:webHidden/>
              </w:rPr>
              <w:tab/>
            </w:r>
            <w:r w:rsidRPr="00EB2D8D">
              <w:rPr>
                <w:webHidden/>
              </w:rPr>
              <w:fldChar w:fldCharType="begin"/>
            </w:r>
            <w:r w:rsidRPr="00EB2D8D">
              <w:rPr>
                <w:webHidden/>
              </w:rPr>
              <w:instrText xml:space="preserve"> PAGEREF _Toc199946484 \h </w:instrText>
            </w:r>
            <w:r w:rsidRPr="00EB2D8D">
              <w:rPr>
                <w:webHidden/>
              </w:rPr>
            </w:r>
            <w:r w:rsidRPr="00EB2D8D">
              <w:rPr>
                <w:webHidden/>
              </w:rPr>
              <w:fldChar w:fldCharType="separate"/>
            </w:r>
            <w:r w:rsidR="008B5159">
              <w:rPr>
                <w:webHidden/>
              </w:rPr>
              <w:t>70</w:t>
            </w:r>
            <w:r w:rsidRPr="00EB2D8D">
              <w:rPr>
                <w:webHidden/>
              </w:rPr>
              <w:fldChar w:fldCharType="end"/>
            </w:r>
          </w:hyperlink>
        </w:p>
        <w:p w14:paraId="619CC58B" w14:textId="5A72D065" w:rsidR="00EB2D8D" w:rsidRPr="00EB2D8D" w:rsidRDefault="00EB2D8D" w:rsidP="00EB2D8D">
          <w:pPr>
            <w:pStyle w:val="20"/>
            <w:rPr>
              <w:rFonts w:eastAsiaTheme="minorEastAsia"/>
            </w:rPr>
          </w:pPr>
          <w:hyperlink w:anchor="_Toc199946485" w:history="1">
            <w:r w:rsidRPr="00EB2D8D">
              <w:rPr>
                <w:rStyle w:val="-"/>
                <w:color w:val="auto"/>
                <w:u w:val="none"/>
              </w:rPr>
              <w:t>5.2 Αξιοποίηση των EVs στη Διάγνωση του Εγκεφαλικού Επεισοδίου</w:t>
            </w:r>
            <w:r w:rsidRPr="00EB2D8D">
              <w:rPr>
                <w:webHidden/>
              </w:rPr>
              <w:tab/>
            </w:r>
            <w:r w:rsidRPr="00EB2D8D">
              <w:rPr>
                <w:webHidden/>
              </w:rPr>
              <w:fldChar w:fldCharType="begin"/>
            </w:r>
            <w:r w:rsidRPr="00EB2D8D">
              <w:rPr>
                <w:webHidden/>
              </w:rPr>
              <w:instrText xml:space="preserve"> PAGEREF _Toc199946485 \h </w:instrText>
            </w:r>
            <w:r w:rsidRPr="00EB2D8D">
              <w:rPr>
                <w:webHidden/>
              </w:rPr>
            </w:r>
            <w:r w:rsidRPr="00EB2D8D">
              <w:rPr>
                <w:webHidden/>
              </w:rPr>
              <w:fldChar w:fldCharType="separate"/>
            </w:r>
            <w:r w:rsidR="008B5159">
              <w:rPr>
                <w:webHidden/>
              </w:rPr>
              <w:t>74</w:t>
            </w:r>
            <w:r w:rsidRPr="00EB2D8D">
              <w:rPr>
                <w:webHidden/>
              </w:rPr>
              <w:fldChar w:fldCharType="end"/>
            </w:r>
          </w:hyperlink>
        </w:p>
        <w:p w14:paraId="56535AD5" w14:textId="3A15A0A2" w:rsidR="00EB2D8D" w:rsidRPr="00EB2D8D" w:rsidRDefault="00EB2D8D" w:rsidP="00EB2D8D">
          <w:pPr>
            <w:pStyle w:val="30"/>
            <w:rPr>
              <w:rFonts w:eastAsiaTheme="minorEastAsia"/>
              <w:noProof/>
            </w:rPr>
          </w:pPr>
          <w:hyperlink w:anchor="_Toc199946486" w:history="1">
            <w:r w:rsidRPr="00EB2D8D">
              <w:rPr>
                <w:rStyle w:val="-"/>
                <w:noProof/>
                <w:color w:val="auto"/>
                <w:u w:val="none"/>
              </w:rPr>
              <w:t>5.2.1 Φορτίο EVs: Πρωτεΐνες</w:t>
            </w:r>
            <w:r w:rsidRPr="00EB2D8D">
              <w:rPr>
                <w:noProof/>
                <w:webHidden/>
              </w:rPr>
              <w:tab/>
            </w:r>
            <w:r w:rsidRPr="00EB2D8D">
              <w:rPr>
                <w:noProof/>
                <w:webHidden/>
              </w:rPr>
              <w:fldChar w:fldCharType="begin"/>
            </w:r>
            <w:r w:rsidRPr="00EB2D8D">
              <w:rPr>
                <w:noProof/>
                <w:webHidden/>
              </w:rPr>
              <w:instrText xml:space="preserve"> PAGEREF _Toc199946486 \h </w:instrText>
            </w:r>
            <w:r w:rsidRPr="00EB2D8D">
              <w:rPr>
                <w:noProof/>
                <w:webHidden/>
              </w:rPr>
            </w:r>
            <w:r w:rsidRPr="00EB2D8D">
              <w:rPr>
                <w:noProof/>
                <w:webHidden/>
              </w:rPr>
              <w:fldChar w:fldCharType="separate"/>
            </w:r>
            <w:r w:rsidR="008B5159">
              <w:rPr>
                <w:noProof/>
                <w:webHidden/>
              </w:rPr>
              <w:t>75</w:t>
            </w:r>
            <w:r w:rsidRPr="00EB2D8D">
              <w:rPr>
                <w:noProof/>
                <w:webHidden/>
              </w:rPr>
              <w:fldChar w:fldCharType="end"/>
            </w:r>
          </w:hyperlink>
        </w:p>
        <w:p w14:paraId="56D08873" w14:textId="3F07DF6D" w:rsidR="00EB2D8D" w:rsidRPr="00EB2D8D" w:rsidRDefault="00EB2D8D" w:rsidP="00EB2D8D">
          <w:pPr>
            <w:pStyle w:val="30"/>
            <w:rPr>
              <w:rFonts w:eastAsiaTheme="minorEastAsia"/>
              <w:noProof/>
            </w:rPr>
          </w:pPr>
          <w:hyperlink w:anchor="_Toc199946487" w:history="1">
            <w:r w:rsidRPr="00EB2D8D">
              <w:rPr>
                <w:rStyle w:val="-"/>
                <w:noProof/>
                <w:color w:val="auto"/>
                <w:u w:val="none"/>
              </w:rPr>
              <w:t>5.2.2 Φορτίο EVs: miRNAs</w:t>
            </w:r>
            <w:r w:rsidRPr="00EB2D8D">
              <w:rPr>
                <w:noProof/>
                <w:webHidden/>
              </w:rPr>
              <w:tab/>
            </w:r>
            <w:r w:rsidRPr="00EB2D8D">
              <w:rPr>
                <w:noProof/>
                <w:webHidden/>
              </w:rPr>
              <w:fldChar w:fldCharType="begin"/>
            </w:r>
            <w:r w:rsidRPr="00EB2D8D">
              <w:rPr>
                <w:noProof/>
                <w:webHidden/>
              </w:rPr>
              <w:instrText xml:space="preserve"> PAGEREF _Toc199946487 \h </w:instrText>
            </w:r>
            <w:r w:rsidRPr="00EB2D8D">
              <w:rPr>
                <w:noProof/>
                <w:webHidden/>
              </w:rPr>
            </w:r>
            <w:r w:rsidRPr="00EB2D8D">
              <w:rPr>
                <w:noProof/>
                <w:webHidden/>
              </w:rPr>
              <w:fldChar w:fldCharType="separate"/>
            </w:r>
            <w:r w:rsidR="008B5159">
              <w:rPr>
                <w:noProof/>
                <w:webHidden/>
              </w:rPr>
              <w:t>76</w:t>
            </w:r>
            <w:r w:rsidRPr="00EB2D8D">
              <w:rPr>
                <w:noProof/>
                <w:webHidden/>
              </w:rPr>
              <w:fldChar w:fldCharType="end"/>
            </w:r>
          </w:hyperlink>
        </w:p>
        <w:p w14:paraId="190F9346" w14:textId="06C5977F" w:rsidR="00EB2D8D" w:rsidRPr="00EB2D8D" w:rsidRDefault="00EB2D8D" w:rsidP="00EB2D8D">
          <w:pPr>
            <w:pStyle w:val="30"/>
            <w:rPr>
              <w:rFonts w:eastAsiaTheme="minorEastAsia"/>
              <w:noProof/>
            </w:rPr>
          </w:pPr>
          <w:hyperlink w:anchor="_Toc199946488" w:history="1">
            <w:r w:rsidRPr="00EB2D8D">
              <w:rPr>
                <w:rStyle w:val="-"/>
                <w:noProof/>
                <w:color w:val="auto"/>
                <w:u w:val="none"/>
              </w:rPr>
              <w:t>5.2.3 Φορτίο EVs: circRNAs</w:t>
            </w:r>
            <w:r w:rsidRPr="00EB2D8D">
              <w:rPr>
                <w:noProof/>
                <w:webHidden/>
              </w:rPr>
              <w:tab/>
            </w:r>
            <w:r w:rsidRPr="00EB2D8D">
              <w:rPr>
                <w:noProof/>
                <w:webHidden/>
              </w:rPr>
              <w:fldChar w:fldCharType="begin"/>
            </w:r>
            <w:r w:rsidRPr="00EB2D8D">
              <w:rPr>
                <w:noProof/>
                <w:webHidden/>
              </w:rPr>
              <w:instrText xml:space="preserve"> PAGEREF _Toc199946488 \h </w:instrText>
            </w:r>
            <w:r w:rsidRPr="00EB2D8D">
              <w:rPr>
                <w:noProof/>
                <w:webHidden/>
              </w:rPr>
            </w:r>
            <w:r w:rsidRPr="00EB2D8D">
              <w:rPr>
                <w:noProof/>
                <w:webHidden/>
              </w:rPr>
              <w:fldChar w:fldCharType="separate"/>
            </w:r>
            <w:r w:rsidR="008B5159">
              <w:rPr>
                <w:noProof/>
                <w:webHidden/>
              </w:rPr>
              <w:t>77</w:t>
            </w:r>
            <w:r w:rsidRPr="00EB2D8D">
              <w:rPr>
                <w:noProof/>
                <w:webHidden/>
              </w:rPr>
              <w:fldChar w:fldCharType="end"/>
            </w:r>
          </w:hyperlink>
        </w:p>
        <w:p w14:paraId="0591A2B3" w14:textId="504217F7" w:rsidR="00EB2D8D" w:rsidRPr="00EB2D8D" w:rsidRDefault="00EB2D8D" w:rsidP="00EB2D8D">
          <w:pPr>
            <w:pStyle w:val="20"/>
            <w:rPr>
              <w:rFonts w:eastAsiaTheme="minorEastAsia"/>
            </w:rPr>
          </w:pPr>
          <w:hyperlink w:anchor="_Toc199946489" w:history="1">
            <w:r w:rsidRPr="00EB2D8D">
              <w:rPr>
                <w:rStyle w:val="-"/>
                <w:color w:val="auto"/>
                <w:u w:val="none"/>
              </w:rPr>
              <w:t>5.3 Αξιοποίηση Μηχανικής Μάθησης στη Διάγνωση του Εγκεφαλικού Επεισοδίου με EVs</w:t>
            </w:r>
            <w:r w:rsidRPr="00EB2D8D">
              <w:rPr>
                <w:webHidden/>
              </w:rPr>
              <w:tab/>
            </w:r>
            <w:r w:rsidRPr="00EB2D8D">
              <w:rPr>
                <w:webHidden/>
              </w:rPr>
              <w:fldChar w:fldCharType="begin"/>
            </w:r>
            <w:r w:rsidRPr="00EB2D8D">
              <w:rPr>
                <w:webHidden/>
              </w:rPr>
              <w:instrText xml:space="preserve"> PAGEREF _Toc199946489 \h </w:instrText>
            </w:r>
            <w:r w:rsidRPr="00EB2D8D">
              <w:rPr>
                <w:webHidden/>
              </w:rPr>
            </w:r>
            <w:r w:rsidRPr="00EB2D8D">
              <w:rPr>
                <w:webHidden/>
              </w:rPr>
              <w:fldChar w:fldCharType="separate"/>
            </w:r>
            <w:r w:rsidR="008B5159">
              <w:rPr>
                <w:webHidden/>
              </w:rPr>
              <w:t>78</w:t>
            </w:r>
            <w:r w:rsidRPr="00EB2D8D">
              <w:rPr>
                <w:webHidden/>
              </w:rPr>
              <w:fldChar w:fldCharType="end"/>
            </w:r>
          </w:hyperlink>
        </w:p>
        <w:p w14:paraId="3F1B5E55" w14:textId="7919E0D4" w:rsidR="00EB2D8D" w:rsidRDefault="00EB2D8D" w:rsidP="00EB2D8D">
          <w:pPr>
            <w:pStyle w:val="30"/>
            <w:rPr>
              <w:rFonts w:asciiTheme="minorHAnsi" w:eastAsiaTheme="minorEastAsia" w:hAnsiTheme="minorHAnsi" w:cstheme="minorBidi"/>
              <w:noProof/>
              <w:kern w:val="2"/>
              <w:sz w:val="24"/>
              <w:lang w:val="en-US" w:eastAsia="en-US"/>
              <w14:ligatures w14:val="standardContextual"/>
            </w:rPr>
          </w:pPr>
          <w:hyperlink w:anchor="_Toc199946490" w:history="1">
            <w:r w:rsidRPr="00AB77C1">
              <w:rPr>
                <w:rStyle w:val="-"/>
                <w:noProof/>
              </w:rPr>
              <w:t>5.3.1 Εξωσωματικά microRNA και ncRN</w:t>
            </w:r>
            <w:r w:rsidRPr="00AB77C1">
              <w:rPr>
                <w:rStyle w:val="-"/>
                <w:noProof/>
                <w:lang w:val="en-US"/>
              </w:rPr>
              <w:t>A</w:t>
            </w:r>
            <w:r>
              <w:rPr>
                <w:noProof/>
                <w:webHidden/>
              </w:rPr>
              <w:tab/>
            </w:r>
            <w:r>
              <w:rPr>
                <w:noProof/>
                <w:webHidden/>
              </w:rPr>
              <w:fldChar w:fldCharType="begin"/>
            </w:r>
            <w:r>
              <w:rPr>
                <w:noProof/>
                <w:webHidden/>
              </w:rPr>
              <w:instrText xml:space="preserve"> PAGEREF _Toc199946490 \h </w:instrText>
            </w:r>
            <w:r>
              <w:rPr>
                <w:noProof/>
                <w:webHidden/>
              </w:rPr>
            </w:r>
            <w:r>
              <w:rPr>
                <w:noProof/>
                <w:webHidden/>
              </w:rPr>
              <w:fldChar w:fldCharType="separate"/>
            </w:r>
            <w:r w:rsidR="008B5159">
              <w:rPr>
                <w:noProof/>
                <w:webHidden/>
              </w:rPr>
              <w:t>80</w:t>
            </w:r>
            <w:r>
              <w:rPr>
                <w:noProof/>
                <w:webHidden/>
              </w:rPr>
              <w:fldChar w:fldCharType="end"/>
            </w:r>
          </w:hyperlink>
        </w:p>
        <w:p w14:paraId="17FEAA4A" w14:textId="272EEC42" w:rsidR="00EB2D8D" w:rsidRDefault="00EB2D8D" w:rsidP="00EB2D8D">
          <w:pPr>
            <w:pStyle w:val="30"/>
            <w:rPr>
              <w:rFonts w:asciiTheme="minorHAnsi" w:eastAsiaTheme="minorEastAsia" w:hAnsiTheme="minorHAnsi" w:cstheme="minorBidi"/>
              <w:noProof/>
              <w:kern w:val="2"/>
              <w:sz w:val="24"/>
              <w:lang w:val="en-US" w:eastAsia="en-US"/>
              <w14:ligatures w14:val="standardContextual"/>
            </w:rPr>
          </w:pPr>
          <w:hyperlink w:anchor="_Toc199946491" w:history="1">
            <w:r w:rsidRPr="00AB77C1">
              <w:rPr>
                <w:rStyle w:val="-"/>
                <w:noProof/>
              </w:rPr>
              <w:t>5.3.2 Επιφανειακοί δείκτες EVs (Πρωτεϊνική ανάλυση των EVs)</w:t>
            </w:r>
            <w:r>
              <w:rPr>
                <w:noProof/>
                <w:webHidden/>
              </w:rPr>
              <w:tab/>
            </w:r>
            <w:r>
              <w:rPr>
                <w:noProof/>
                <w:webHidden/>
              </w:rPr>
              <w:fldChar w:fldCharType="begin"/>
            </w:r>
            <w:r>
              <w:rPr>
                <w:noProof/>
                <w:webHidden/>
              </w:rPr>
              <w:instrText xml:space="preserve"> PAGEREF _Toc199946491 \h </w:instrText>
            </w:r>
            <w:r>
              <w:rPr>
                <w:noProof/>
                <w:webHidden/>
              </w:rPr>
            </w:r>
            <w:r>
              <w:rPr>
                <w:noProof/>
                <w:webHidden/>
              </w:rPr>
              <w:fldChar w:fldCharType="separate"/>
            </w:r>
            <w:r w:rsidR="008B5159">
              <w:rPr>
                <w:noProof/>
                <w:webHidden/>
              </w:rPr>
              <w:t>83</w:t>
            </w:r>
            <w:r>
              <w:rPr>
                <w:noProof/>
                <w:webHidden/>
              </w:rPr>
              <w:fldChar w:fldCharType="end"/>
            </w:r>
          </w:hyperlink>
        </w:p>
        <w:p w14:paraId="1FD79055" w14:textId="2C71740A" w:rsidR="00EB2D8D" w:rsidRPr="00EB2D8D" w:rsidRDefault="00EB2D8D" w:rsidP="00EB2D8D">
          <w:pPr>
            <w:pStyle w:val="10"/>
            <w:rPr>
              <w:noProof/>
            </w:rPr>
          </w:pPr>
          <w:hyperlink w:anchor="_Toc199946492" w:history="1">
            <w:r w:rsidRPr="00EB2D8D">
              <w:rPr>
                <w:rStyle w:val="-"/>
                <w:noProof/>
                <w:color w:val="auto"/>
                <w:u w:val="none"/>
              </w:rPr>
              <w:t>6. Συμπεράσματα &amp; Προτάσεις</w:t>
            </w:r>
            <w:r w:rsidRPr="00EB2D8D">
              <w:rPr>
                <w:noProof/>
                <w:webHidden/>
              </w:rPr>
              <w:tab/>
            </w:r>
            <w:r w:rsidRPr="00EB2D8D">
              <w:rPr>
                <w:noProof/>
                <w:webHidden/>
              </w:rPr>
              <w:fldChar w:fldCharType="begin"/>
            </w:r>
            <w:r w:rsidRPr="00EB2D8D">
              <w:rPr>
                <w:noProof/>
                <w:webHidden/>
              </w:rPr>
              <w:instrText xml:space="preserve"> PAGEREF _Toc199946492 \h </w:instrText>
            </w:r>
            <w:r w:rsidRPr="00EB2D8D">
              <w:rPr>
                <w:noProof/>
                <w:webHidden/>
              </w:rPr>
            </w:r>
            <w:r w:rsidRPr="00EB2D8D">
              <w:rPr>
                <w:noProof/>
                <w:webHidden/>
              </w:rPr>
              <w:fldChar w:fldCharType="separate"/>
            </w:r>
            <w:r w:rsidR="008B5159">
              <w:rPr>
                <w:noProof/>
                <w:webHidden/>
              </w:rPr>
              <w:t>84</w:t>
            </w:r>
            <w:r w:rsidRPr="00EB2D8D">
              <w:rPr>
                <w:noProof/>
                <w:webHidden/>
              </w:rPr>
              <w:fldChar w:fldCharType="end"/>
            </w:r>
          </w:hyperlink>
        </w:p>
        <w:p w14:paraId="2BC8D03E" w14:textId="0BA7E9EF" w:rsidR="00EB2D8D" w:rsidRPr="00EB2D8D" w:rsidRDefault="00EB2D8D" w:rsidP="00EB2D8D">
          <w:pPr>
            <w:pStyle w:val="10"/>
            <w:rPr>
              <w:noProof/>
            </w:rPr>
          </w:pPr>
          <w:hyperlink w:anchor="_Toc199946493" w:history="1">
            <w:r w:rsidRPr="00EB2D8D">
              <w:rPr>
                <w:rStyle w:val="-"/>
                <w:noProof/>
                <w:color w:val="auto"/>
                <w:u w:val="none"/>
              </w:rPr>
              <w:t>Παράρτημα Πινάκων και Εικόνων</w:t>
            </w:r>
            <w:r w:rsidRPr="00EB2D8D">
              <w:rPr>
                <w:noProof/>
                <w:webHidden/>
              </w:rPr>
              <w:tab/>
            </w:r>
            <w:r w:rsidRPr="00EB2D8D">
              <w:rPr>
                <w:noProof/>
                <w:webHidden/>
              </w:rPr>
              <w:fldChar w:fldCharType="begin"/>
            </w:r>
            <w:r w:rsidRPr="00EB2D8D">
              <w:rPr>
                <w:noProof/>
                <w:webHidden/>
              </w:rPr>
              <w:instrText xml:space="preserve"> PAGEREF _Toc199946493 \h </w:instrText>
            </w:r>
            <w:r w:rsidRPr="00EB2D8D">
              <w:rPr>
                <w:noProof/>
                <w:webHidden/>
              </w:rPr>
            </w:r>
            <w:r w:rsidRPr="00EB2D8D">
              <w:rPr>
                <w:noProof/>
                <w:webHidden/>
              </w:rPr>
              <w:fldChar w:fldCharType="separate"/>
            </w:r>
            <w:r w:rsidR="008B5159">
              <w:rPr>
                <w:noProof/>
                <w:webHidden/>
              </w:rPr>
              <w:t>89</w:t>
            </w:r>
            <w:r w:rsidRPr="00EB2D8D">
              <w:rPr>
                <w:noProof/>
                <w:webHidden/>
              </w:rPr>
              <w:fldChar w:fldCharType="end"/>
            </w:r>
          </w:hyperlink>
        </w:p>
        <w:p w14:paraId="51E99950" w14:textId="5D057D7A" w:rsidR="00EB2D8D" w:rsidRPr="00EB2D8D" w:rsidRDefault="00EB2D8D" w:rsidP="00EB2D8D">
          <w:pPr>
            <w:pStyle w:val="10"/>
            <w:rPr>
              <w:noProof/>
            </w:rPr>
          </w:pPr>
          <w:hyperlink w:anchor="_Toc199946494" w:history="1">
            <w:r w:rsidRPr="00EB2D8D">
              <w:rPr>
                <w:rStyle w:val="-"/>
                <w:noProof/>
                <w:color w:val="auto"/>
                <w:u w:val="none"/>
              </w:rPr>
              <w:t>Βιβλιογραφία</w:t>
            </w:r>
            <w:r w:rsidRPr="00EB2D8D">
              <w:rPr>
                <w:noProof/>
                <w:webHidden/>
              </w:rPr>
              <w:tab/>
            </w:r>
            <w:r w:rsidRPr="00EB2D8D">
              <w:rPr>
                <w:noProof/>
                <w:webHidden/>
              </w:rPr>
              <w:fldChar w:fldCharType="begin"/>
            </w:r>
            <w:r w:rsidRPr="00EB2D8D">
              <w:rPr>
                <w:noProof/>
                <w:webHidden/>
              </w:rPr>
              <w:instrText xml:space="preserve"> PAGEREF _Toc199946494 \h </w:instrText>
            </w:r>
            <w:r w:rsidRPr="00EB2D8D">
              <w:rPr>
                <w:noProof/>
                <w:webHidden/>
              </w:rPr>
            </w:r>
            <w:r w:rsidRPr="00EB2D8D">
              <w:rPr>
                <w:noProof/>
                <w:webHidden/>
              </w:rPr>
              <w:fldChar w:fldCharType="separate"/>
            </w:r>
            <w:r w:rsidR="008B5159">
              <w:rPr>
                <w:noProof/>
                <w:webHidden/>
              </w:rPr>
              <w:t>92</w:t>
            </w:r>
            <w:r w:rsidRPr="00EB2D8D">
              <w:rPr>
                <w:noProof/>
                <w:webHidden/>
              </w:rPr>
              <w:fldChar w:fldCharType="end"/>
            </w:r>
          </w:hyperlink>
        </w:p>
        <w:p w14:paraId="18F21468" w14:textId="09AB7426" w:rsidR="006338E3" w:rsidRPr="00EE0F79" w:rsidRDefault="00BB43D0" w:rsidP="004E69CD">
          <w:r w:rsidRPr="00EE0F79">
            <w:rPr>
              <w:rFonts w:eastAsia="Calibri"/>
              <w:sz w:val="20"/>
              <w:szCs w:val="20"/>
            </w:rPr>
            <w:fldChar w:fldCharType="end"/>
          </w:r>
        </w:p>
        <w:p w14:paraId="00616E6C" w14:textId="1D7A2A44" w:rsidR="005A6B05" w:rsidRPr="00EE0F79" w:rsidRDefault="00000000" w:rsidP="004E69CD">
          <w:pPr>
            <w:sectPr w:rsidR="005A6B05" w:rsidRPr="00EE0F79" w:rsidSect="00924BAE">
              <w:pgSz w:w="11906" w:h="16838"/>
              <w:pgMar w:top="1440" w:right="1797" w:bottom="1440" w:left="1797" w:header="708" w:footer="708" w:gutter="0"/>
              <w:cols w:space="708"/>
              <w:docGrid w:linePitch="360"/>
            </w:sectPr>
          </w:pPr>
        </w:p>
      </w:sdtContent>
    </w:sdt>
    <w:p w14:paraId="1140DA9B" w14:textId="263CE264" w:rsidR="0032161E" w:rsidRPr="00780547" w:rsidRDefault="0032161E" w:rsidP="00802952">
      <w:pPr>
        <w:pStyle w:val="1"/>
        <w:spacing w:line="360" w:lineRule="auto"/>
        <w:jc w:val="center"/>
        <w:rPr>
          <w:rFonts w:ascii="Times New Roman" w:hAnsi="Times New Roman" w:cs="Times New Roman"/>
          <w:b/>
          <w:bCs/>
          <w:color w:val="auto"/>
          <w:sz w:val="32"/>
          <w:szCs w:val="32"/>
        </w:rPr>
      </w:pPr>
      <w:bookmarkStart w:id="1" w:name="_Toc199787374"/>
      <w:bookmarkStart w:id="2" w:name="_Toc199946443"/>
      <w:bookmarkStart w:id="3" w:name="_Toc73896040"/>
      <w:bookmarkStart w:id="4" w:name="_Toc103619699"/>
      <w:bookmarkStart w:id="5" w:name="_Toc154923806"/>
      <w:r w:rsidRPr="00780547">
        <w:rPr>
          <w:rFonts w:ascii="Times New Roman" w:hAnsi="Times New Roman" w:cs="Times New Roman"/>
          <w:b/>
          <w:bCs/>
          <w:color w:val="auto"/>
          <w:sz w:val="32"/>
          <w:szCs w:val="32"/>
        </w:rPr>
        <w:lastRenderedPageBreak/>
        <w:t>Ευρετήριο Εικόνων</w:t>
      </w:r>
      <w:bookmarkEnd w:id="1"/>
      <w:bookmarkEnd w:id="2"/>
    </w:p>
    <w:p w14:paraId="0384CAE8" w14:textId="20B48458" w:rsidR="00780547" w:rsidRPr="00780547" w:rsidRDefault="006338E3">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r w:rsidRPr="00780547">
        <w:rPr>
          <w:sz w:val="18"/>
          <w:szCs w:val="18"/>
        </w:rPr>
        <w:fldChar w:fldCharType="begin"/>
      </w:r>
      <w:r w:rsidRPr="00780547">
        <w:rPr>
          <w:sz w:val="18"/>
          <w:szCs w:val="18"/>
        </w:rPr>
        <w:instrText xml:space="preserve"> TOC \h \z \c "Εικόνα" </w:instrText>
      </w:r>
      <w:r w:rsidRPr="00780547">
        <w:rPr>
          <w:sz w:val="18"/>
          <w:szCs w:val="18"/>
        </w:rPr>
        <w:fldChar w:fldCharType="separate"/>
      </w:r>
      <w:hyperlink w:anchor="_Toc199787688" w:history="1">
        <w:r w:rsidR="00780547" w:rsidRPr="00780547">
          <w:rPr>
            <w:rStyle w:val="-"/>
            <w:rFonts w:eastAsiaTheme="majorEastAsia"/>
            <w:noProof/>
          </w:rPr>
          <w:t>Εικόνα 1: Διάγραμμα Ροής Συστηματικής Ανασκόπησης</w:t>
        </w:r>
        <w:r w:rsidR="00780547" w:rsidRPr="00780547">
          <w:rPr>
            <w:noProof/>
            <w:webHidden/>
          </w:rPr>
          <w:tab/>
        </w:r>
        <w:r w:rsidR="00780547" w:rsidRPr="00780547">
          <w:rPr>
            <w:noProof/>
            <w:webHidden/>
          </w:rPr>
          <w:fldChar w:fldCharType="begin"/>
        </w:r>
        <w:r w:rsidR="00780547" w:rsidRPr="00780547">
          <w:rPr>
            <w:noProof/>
            <w:webHidden/>
          </w:rPr>
          <w:instrText xml:space="preserve"> PAGEREF _Toc199787688 \h </w:instrText>
        </w:r>
        <w:r w:rsidR="00780547" w:rsidRPr="00780547">
          <w:rPr>
            <w:noProof/>
            <w:webHidden/>
          </w:rPr>
        </w:r>
        <w:r w:rsidR="00780547" w:rsidRPr="00780547">
          <w:rPr>
            <w:noProof/>
            <w:webHidden/>
          </w:rPr>
          <w:fldChar w:fldCharType="separate"/>
        </w:r>
        <w:r w:rsidR="008B5159">
          <w:rPr>
            <w:noProof/>
            <w:webHidden/>
          </w:rPr>
          <w:t>31</w:t>
        </w:r>
        <w:r w:rsidR="00780547" w:rsidRPr="00780547">
          <w:rPr>
            <w:noProof/>
            <w:webHidden/>
          </w:rPr>
          <w:fldChar w:fldCharType="end"/>
        </w:r>
      </w:hyperlink>
    </w:p>
    <w:p w14:paraId="1868E5D3" w14:textId="7BFC544F"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689" w:history="1">
        <w:r w:rsidRPr="00780547">
          <w:rPr>
            <w:rStyle w:val="-"/>
            <w:rFonts w:eastAsiaTheme="majorEastAsia"/>
            <w:noProof/>
          </w:rPr>
          <w:t>Εικόνα 2: Η δομή της νευροαγγειακής μονάδας (NVU).</w:t>
        </w:r>
        <w:r w:rsidRPr="00780547">
          <w:rPr>
            <w:noProof/>
            <w:webHidden/>
          </w:rPr>
          <w:tab/>
        </w:r>
        <w:r w:rsidRPr="00780547">
          <w:rPr>
            <w:noProof/>
            <w:webHidden/>
          </w:rPr>
          <w:fldChar w:fldCharType="begin"/>
        </w:r>
        <w:r w:rsidRPr="00780547">
          <w:rPr>
            <w:noProof/>
            <w:webHidden/>
          </w:rPr>
          <w:instrText xml:space="preserve"> PAGEREF _Toc199787689 \h </w:instrText>
        </w:r>
        <w:r w:rsidRPr="00780547">
          <w:rPr>
            <w:noProof/>
            <w:webHidden/>
          </w:rPr>
        </w:r>
        <w:r w:rsidRPr="00780547">
          <w:rPr>
            <w:noProof/>
            <w:webHidden/>
          </w:rPr>
          <w:fldChar w:fldCharType="separate"/>
        </w:r>
        <w:r w:rsidR="008B5159">
          <w:rPr>
            <w:noProof/>
            <w:webHidden/>
          </w:rPr>
          <w:t>71</w:t>
        </w:r>
        <w:r w:rsidRPr="00780547">
          <w:rPr>
            <w:noProof/>
            <w:webHidden/>
          </w:rPr>
          <w:fldChar w:fldCharType="end"/>
        </w:r>
      </w:hyperlink>
    </w:p>
    <w:p w14:paraId="102CF370" w14:textId="0B458455" w:rsidR="006338E3" w:rsidRPr="00A831E7" w:rsidRDefault="006338E3" w:rsidP="006338E3">
      <w:r w:rsidRPr="00780547">
        <w:rPr>
          <w:sz w:val="18"/>
          <w:szCs w:val="18"/>
        </w:rPr>
        <w:fldChar w:fldCharType="end"/>
      </w:r>
    </w:p>
    <w:p w14:paraId="473FCC5A" w14:textId="77777777" w:rsidR="00433D7D" w:rsidRPr="00780547" w:rsidRDefault="00433D7D" w:rsidP="00433D7D">
      <w:pPr>
        <w:pStyle w:val="1"/>
        <w:jc w:val="center"/>
        <w:rPr>
          <w:rFonts w:ascii="Times New Roman" w:hAnsi="Times New Roman" w:cs="Times New Roman"/>
          <w:b/>
          <w:bCs/>
          <w:color w:val="auto"/>
          <w:sz w:val="32"/>
          <w:szCs w:val="32"/>
        </w:rPr>
      </w:pPr>
      <w:bookmarkStart w:id="6" w:name="_Toc73896039"/>
      <w:bookmarkStart w:id="7" w:name="_Toc103619698"/>
      <w:bookmarkStart w:id="8" w:name="_Toc154923805"/>
      <w:bookmarkStart w:id="9" w:name="_Toc199787375"/>
      <w:bookmarkStart w:id="10" w:name="_Toc199946444"/>
      <w:r w:rsidRPr="00780547">
        <w:rPr>
          <w:rFonts w:ascii="Times New Roman" w:hAnsi="Times New Roman" w:cs="Times New Roman"/>
          <w:b/>
          <w:bCs/>
          <w:color w:val="auto"/>
          <w:sz w:val="32"/>
          <w:szCs w:val="32"/>
        </w:rPr>
        <w:t>Ευρετήριο Πινάκων</w:t>
      </w:r>
      <w:bookmarkEnd w:id="6"/>
      <w:bookmarkEnd w:id="7"/>
      <w:bookmarkEnd w:id="8"/>
      <w:bookmarkEnd w:id="9"/>
      <w:bookmarkEnd w:id="10"/>
    </w:p>
    <w:p w14:paraId="28CAD2DF" w14:textId="1170F78C" w:rsidR="00780547" w:rsidRPr="00780547" w:rsidRDefault="00433D7D">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r w:rsidRPr="00780547">
        <w:rPr>
          <w:sz w:val="18"/>
          <w:szCs w:val="16"/>
        </w:rPr>
        <w:fldChar w:fldCharType="begin"/>
      </w:r>
      <w:r w:rsidRPr="00780547">
        <w:rPr>
          <w:sz w:val="18"/>
          <w:szCs w:val="16"/>
        </w:rPr>
        <w:instrText xml:space="preserve"> TOC \h \z \c "Πίνακας" </w:instrText>
      </w:r>
      <w:r w:rsidRPr="00780547">
        <w:rPr>
          <w:sz w:val="18"/>
          <w:szCs w:val="16"/>
        </w:rPr>
        <w:fldChar w:fldCharType="separate"/>
      </w:r>
      <w:hyperlink w:anchor="_Toc199787736" w:history="1">
        <w:r w:rsidR="00780547" w:rsidRPr="00780547">
          <w:rPr>
            <w:rStyle w:val="-"/>
            <w:rFonts w:eastAsiaTheme="majorEastAsia"/>
            <w:noProof/>
          </w:rPr>
          <w:t xml:space="preserve">Πίνακας 1: Αίτια ΑΕΕ </w:t>
        </w:r>
        <w:r w:rsidR="00780547" w:rsidRPr="00780547">
          <w:rPr>
            <w:rStyle w:val="-"/>
            <w:rFonts w:eastAsia="Calibri"/>
            <w:noProof/>
          </w:rPr>
          <w:t>[9]</w:t>
        </w:r>
        <w:r w:rsidR="00780547" w:rsidRPr="00780547">
          <w:rPr>
            <w:noProof/>
            <w:webHidden/>
          </w:rPr>
          <w:tab/>
        </w:r>
        <w:r w:rsidR="00780547" w:rsidRPr="00780547">
          <w:rPr>
            <w:noProof/>
            <w:webHidden/>
          </w:rPr>
          <w:fldChar w:fldCharType="begin"/>
        </w:r>
        <w:r w:rsidR="00780547" w:rsidRPr="00780547">
          <w:rPr>
            <w:noProof/>
            <w:webHidden/>
          </w:rPr>
          <w:instrText xml:space="preserve"> PAGEREF _Toc199787736 \h </w:instrText>
        </w:r>
        <w:r w:rsidR="00780547" w:rsidRPr="00780547">
          <w:rPr>
            <w:noProof/>
            <w:webHidden/>
          </w:rPr>
        </w:r>
        <w:r w:rsidR="00780547" w:rsidRPr="00780547">
          <w:rPr>
            <w:noProof/>
            <w:webHidden/>
          </w:rPr>
          <w:fldChar w:fldCharType="separate"/>
        </w:r>
        <w:r w:rsidR="008B5159">
          <w:rPr>
            <w:noProof/>
            <w:webHidden/>
          </w:rPr>
          <w:t>16</w:t>
        </w:r>
        <w:r w:rsidR="00780547" w:rsidRPr="00780547">
          <w:rPr>
            <w:noProof/>
            <w:webHidden/>
          </w:rPr>
          <w:fldChar w:fldCharType="end"/>
        </w:r>
      </w:hyperlink>
    </w:p>
    <w:p w14:paraId="08088111" w14:textId="4B39BF2A"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37" w:history="1">
        <w:r w:rsidRPr="00780547">
          <w:rPr>
            <w:rStyle w:val="-"/>
            <w:rFonts w:eastAsiaTheme="majorEastAsia"/>
            <w:noProof/>
          </w:rPr>
          <w:t>Πίνακας 2</w:t>
        </w:r>
        <w:r w:rsidRPr="00780547">
          <w:rPr>
            <w:rStyle w:val="-"/>
            <w:rFonts w:eastAsia="Calibri"/>
            <w:noProof/>
          </w:rPr>
          <w:t>: Κοινά Σημεία και Συμπτώματα ΑΕΕ και TIA [9]</w:t>
        </w:r>
        <w:r w:rsidRPr="00780547">
          <w:rPr>
            <w:noProof/>
            <w:webHidden/>
          </w:rPr>
          <w:tab/>
        </w:r>
        <w:r w:rsidRPr="00780547">
          <w:rPr>
            <w:noProof/>
            <w:webHidden/>
          </w:rPr>
          <w:fldChar w:fldCharType="begin"/>
        </w:r>
        <w:r w:rsidRPr="00780547">
          <w:rPr>
            <w:noProof/>
            <w:webHidden/>
          </w:rPr>
          <w:instrText xml:space="preserve"> PAGEREF _Toc199787737 \h </w:instrText>
        </w:r>
        <w:r w:rsidRPr="00780547">
          <w:rPr>
            <w:noProof/>
            <w:webHidden/>
          </w:rPr>
        </w:r>
        <w:r w:rsidRPr="00780547">
          <w:rPr>
            <w:noProof/>
            <w:webHidden/>
          </w:rPr>
          <w:fldChar w:fldCharType="separate"/>
        </w:r>
        <w:r w:rsidR="008B5159">
          <w:rPr>
            <w:noProof/>
            <w:webHidden/>
          </w:rPr>
          <w:t>17</w:t>
        </w:r>
        <w:r w:rsidRPr="00780547">
          <w:rPr>
            <w:noProof/>
            <w:webHidden/>
          </w:rPr>
          <w:fldChar w:fldCharType="end"/>
        </w:r>
      </w:hyperlink>
    </w:p>
    <w:p w14:paraId="494C2AAA" w14:textId="4441FA14"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38" w:history="1">
        <w:r w:rsidRPr="00780547">
          <w:rPr>
            <w:rStyle w:val="-"/>
            <w:rFonts w:eastAsiaTheme="majorEastAsia"/>
            <w:noProof/>
          </w:rPr>
          <w:t>Πίνακας 3</w:t>
        </w:r>
        <w:r w:rsidRPr="00780547">
          <w:rPr>
            <w:rStyle w:val="-"/>
            <w:rFonts w:eastAsia="Calibri"/>
            <w:noProof/>
          </w:rPr>
          <w:t>: Αρχικά κλινικά σημεία που βοηθούν στη διαφορική διάγνωση μεταξύ αιμορραγικού και ισχαιμικού ΑΕΕ [9]</w:t>
        </w:r>
        <w:r w:rsidRPr="00780547">
          <w:rPr>
            <w:noProof/>
            <w:webHidden/>
          </w:rPr>
          <w:tab/>
        </w:r>
        <w:r w:rsidRPr="00780547">
          <w:rPr>
            <w:noProof/>
            <w:webHidden/>
          </w:rPr>
          <w:fldChar w:fldCharType="begin"/>
        </w:r>
        <w:r w:rsidRPr="00780547">
          <w:rPr>
            <w:noProof/>
            <w:webHidden/>
          </w:rPr>
          <w:instrText xml:space="preserve"> PAGEREF _Toc199787738 \h </w:instrText>
        </w:r>
        <w:r w:rsidRPr="00780547">
          <w:rPr>
            <w:noProof/>
            <w:webHidden/>
          </w:rPr>
        </w:r>
        <w:r w:rsidRPr="00780547">
          <w:rPr>
            <w:noProof/>
            <w:webHidden/>
          </w:rPr>
          <w:fldChar w:fldCharType="separate"/>
        </w:r>
        <w:r w:rsidR="008B5159">
          <w:rPr>
            <w:noProof/>
            <w:webHidden/>
          </w:rPr>
          <w:t>18</w:t>
        </w:r>
        <w:r w:rsidRPr="00780547">
          <w:rPr>
            <w:noProof/>
            <w:webHidden/>
          </w:rPr>
          <w:fldChar w:fldCharType="end"/>
        </w:r>
      </w:hyperlink>
    </w:p>
    <w:p w14:paraId="0A0D8C29" w14:textId="23421549"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39" w:history="1">
        <w:r w:rsidRPr="00780547">
          <w:rPr>
            <w:rStyle w:val="-"/>
            <w:rFonts w:eastAsiaTheme="majorEastAsia"/>
            <w:noProof/>
          </w:rPr>
          <w:t>Πίνακας 4</w:t>
        </w:r>
        <w:r w:rsidRPr="00780547">
          <w:rPr>
            <w:rStyle w:val="-"/>
            <w:rFonts w:eastAsia="Calibri"/>
            <w:noProof/>
          </w:rPr>
          <w:t>: Κύρια Αίτια stroke mimics [17]</w:t>
        </w:r>
        <w:r w:rsidRPr="00780547">
          <w:rPr>
            <w:noProof/>
            <w:webHidden/>
          </w:rPr>
          <w:tab/>
        </w:r>
        <w:r w:rsidRPr="00780547">
          <w:rPr>
            <w:noProof/>
            <w:webHidden/>
          </w:rPr>
          <w:fldChar w:fldCharType="begin"/>
        </w:r>
        <w:r w:rsidRPr="00780547">
          <w:rPr>
            <w:noProof/>
            <w:webHidden/>
          </w:rPr>
          <w:instrText xml:space="preserve"> PAGEREF _Toc199787739 \h </w:instrText>
        </w:r>
        <w:r w:rsidRPr="00780547">
          <w:rPr>
            <w:noProof/>
            <w:webHidden/>
          </w:rPr>
        </w:r>
        <w:r w:rsidRPr="00780547">
          <w:rPr>
            <w:noProof/>
            <w:webHidden/>
          </w:rPr>
          <w:fldChar w:fldCharType="separate"/>
        </w:r>
        <w:r w:rsidR="008B5159">
          <w:rPr>
            <w:noProof/>
            <w:webHidden/>
          </w:rPr>
          <w:t>19</w:t>
        </w:r>
        <w:r w:rsidRPr="00780547">
          <w:rPr>
            <w:noProof/>
            <w:webHidden/>
          </w:rPr>
          <w:fldChar w:fldCharType="end"/>
        </w:r>
      </w:hyperlink>
    </w:p>
    <w:p w14:paraId="44C6B08D" w14:textId="2C10AEB4"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0" w:history="1">
        <w:r w:rsidRPr="00780547">
          <w:rPr>
            <w:rStyle w:val="-"/>
            <w:rFonts w:eastAsiaTheme="majorEastAsia"/>
            <w:noProof/>
          </w:rPr>
          <w:t>Πίνακας 5</w:t>
        </w:r>
        <w:r w:rsidRPr="00780547">
          <w:rPr>
            <w:rStyle w:val="-"/>
            <w:rFonts w:eastAsia="Calibri"/>
            <w:noProof/>
          </w:rPr>
          <w:t>: Πλεονεκτήματα και Περιορισμοί των Απεικονιστικών Εξετάσεων [27]</w:t>
        </w:r>
        <w:r w:rsidRPr="00780547">
          <w:rPr>
            <w:noProof/>
            <w:webHidden/>
          </w:rPr>
          <w:tab/>
        </w:r>
        <w:r w:rsidRPr="00780547">
          <w:rPr>
            <w:noProof/>
            <w:webHidden/>
          </w:rPr>
          <w:fldChar w:fldCharType="begin"/>
        </w:r>
        <w:r w:rsidRPr="00780547">
          <w:rPr>
            <w:noProof/>
            <w:webHidden/>
          </w:rPr>
          <w:instrText xml:space="preserve"> PAGEREF _Toc199787740 \h </w:instrText>
        </w:r>
        <w:r w:rsidRPr="00780547">
          <w:rPr>
            <w:noProof/>
            <w:webHidden/>
          </w:rPr>
        </w:r>
        <w:r w:rsidRPr="00780547">
          <w:rPr>
            <w:noProof/>
            <w:webHidden/>
          </w:rPr>
          <w:fldChar w:fldCharType="separate"/>
        </w:r>
        <w:r w:rsidR="008B5159">
          <w:rPr>
            <w:noProof/>
            <w:webHidden/>
          </w:rPr>
          <w:t>33</w:t>
        </w:r>
        <w:r w:rsidRPr="00780547">
          <w:rPr>
            <w:noProof/>
            <w:webHidden/>
          </w:rPr>
          <w:fldChar w:fldCharType="end"/>
        </w:r>
      </w:hyperlink>
    </w:p>
    <w:p w14:paraId="156FD8C8" w14:textId="335C6962"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1" w:history="1">
        <w:r w:rsidRPr="00780547">
          <w:rPr>
            <w:rStyle w:val="-"/>
            <w:rFonts w:eastAsiaTheme="majorEastAsia"/>
            <w:noProof/>
          </w:rPr>
          <w:t>Πίνακας 6</w:t>
        </w:r>
        <w:r w:rsidRPr="00780547">
          <w:rPr>
            <w:rStyle w:val="-"/>
            <w:rFonts w:eastAsia="Calibri"/>
            <w:noProof/>
          </w:rPr>
          <w:t>: Πρόοδος Ερευνών στην Ανακατασκευή Εικόνας [26]</w:t>
        </w:r>
        <w:r w:rsidRPr="00780547">
          <w:rPr>
            <w:noProof/>
            <w:webHidden/>
          </w:rPr>
          <w:tab/>
        </w:r>
        <w:r w:rsidRPr="00780547">
          <w:rPr>
            <w:noProof/>
            <w:webHidden/>
          </w:rPr>
          <w:fldChar w:fldCharType="begin"/>
        </w:r>
        <w:r w:rsidRPr="00780547">
          <w:rPr>
            <w:noProof/>
            <w:webHidden/>
          </w:rPr>
          <w:instrText xml:space="preserve"> PAGEREF _Toc199787741 \h </w:instrText>
        </w:r>
        <w:r w:rsidRPr="00780547">
          <w:rPr>
            <w:noProof/>
            <w:webHidden/>
          </w:rPr>
        </w:r>
        <w:r w:rsidRPr="00780547">
          <w:rPr>
            <w:noProof/>
            <w:webHidden/>
          </w:rPr>
          <w:fldChar w:fldCharType="separate"/>
        </w:r>
        <w:r w:rsidR="008B5159">
          <w:rPr>
            <w:noProof/>
            <w:webHidden/>
          </w:rPr>
          <w:t>39</w:t>
        </w:r>
        <w:r w:rsidRPr="00780547">
          <w:rPr>
            <w:noProof/>
            <w:webHidden/>
          </w:rPr>
          <w:fldChar w:fldCharType="end"/>
        </w:r>
      </w:hyperlink>
    </w:p>
    <w:p w14:paraId="7EDC3609" w14:textId="332B5BB3"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2" w:history="1">
        <w:r w:rsidRPr="00780547">
          <w:rPr>
            <w:rStyle w:val="-"/>
            <w:rFonts w:eastAsiaTheme="majorEastAsia"/>
            <w:noProof/>
          </w:rPr>
          <w:t>Πίνακας 7</w:t>
        </w:r>
        <w:r w:rsidRPr="00780547">
          <w:rPr>
            <w:rStyle w:val="-"/>
            <w:rFonts w:eastAsia="Calibri"/>
            <w:noProof/>
          </w:rPr>
          <w:t>: Μελέτες για τη Μείωση Απεικονιστικού Θορύβου [26]</w:t>
        </w:r>
        <w:r w:rsidRPr="00780547">
          <w:rPr>
            <w:noProof/>
            <w:webHidden/>
          </w:rPr>
          <w:tab/>
        </w:r>
        <w:r w:rsidRPr="00780547">
          <w:rPr>
            <w:noProof/>
            <w:webHidden/>
          </w:rPr>
          <w:fldChar w:fldCharType="begin"/>
        </w:r>
        <w:r w:rsidRPr="00780547">
          <w:rPr>
            <w:noProof/>
            <w:webHidden/>
          </w:rPr>
          <w:instrText xml:space="preserve"> PAGEREF _Toc199787742 \h </w:instrText>
        </w:r>
        <w:r w:rsidRPr="00780547">
          <w:rPr>
            <w:noProof/>
            <w:webHidden/>
          </w:rPr>
        </w:r>
        <w:r w:rsidRPr="00780547">
          <w:rPr>
            <w:noProof/>
            <w:webHidden/>
          </w:rPr>
          <w:fldChar w:fldCharType="separate"/>
        </w:r>
        <w:r w:rsidR="008B5159">
          <w:rPr>
            <w:noProof/>
            <w:webHidden/>
          </w:rPr>
          <w:t>40</w:t>
        </w:r>
        <w:r w:rsidRPr="00780547">
          <w:rPr>
            <w:noProof/>
            <w:webHidden/>
          </w:rPr>
          <w:fldChar w:fldCharType="end"/>
        </w:r>
      </w:hyperlink>
    </w:p>
    <w:p w14:paraId="6111FF1D" w14:textId="1039E30D"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3" w:history="1">
        <w:r w:rsidRPr="00780547">
          <w:rPr>
            <w:rStyle w:val="-"/>
            <w:rFonts w:eastAsiaTheme="majorEastAsia"/>
            <w:noProof/>
          </w:rPr>
          <w:t>Πίνακας 8</w:t>
        </w:r>
        <w:r w:rsidRPr="00780547">
          <w:rPr>
            <w:rStyle w:val="-"/>
            <w:rFonts w:eastAsia="Calibri"/>
            <w:noProof/>
          </w:rPr>
          <w:t>:</w:t>
        </w:r>
        <w:r w:rsidRPr="00780547">
          <w:rPr>
            <w:rStyle w:val="-"/>
            <w:rFonts w:eastAsiaTheme="majorEastAsia"/>
            <w:noProof/>
          </w:rPr>
          <w:t xml:space="preserve"> </w:t>
        </w:r>
        <w:r w:rsidRPr="00780547">
          <w:rPr>
            <w:rStyle w:val="-"/>
            <w:rFonts w:eastAsia="Calibri"/>
            <w:noProof/>
          </w:rPr>
          <w:t>Μελέτες χρήσης CNN αλγορίθμων για μείωση του «Artifacting» [26]</w:t>
        </w:r>
        <w:r w:rsidRPr="00780547">
          <w:rPr>
            <w:noProof/>
            <w:webHidden/>
          </w:rPr>
          <w:tab/>
        </w:r>
        <w:r w:rsidRPr="00780547">
          <w:rPr>
            <w:noProof/>
            <w:webHidden/>
          </w:rPr>
          <w:fldChar w:fldCharType="begin"/>
        </w:r>
        <w:r w:rsidRPr="00780547">
          <w:rPr>
            <w:noProof/>
            <w:webHidden/>
          </w:rPr>
          <w:instrText xml:space="preserve"> PAGEREF _Toc199787743 \h </w:instrText>
        </w:r>
        <w:r w:rsidRPr="00780547">
          <w:rPr>
            <w:noProof/>
            <w:webHidden/>
          </w:rPr>
        </w:r>
        <w:r w:rsidRPr="00780547">
          <w:rPr>
            <w:noProof/>
            <w:webHidden/>
          </w:rPr>
          <w:fldChar w:fldCharType="separate"/>
        </w:r>
        <w:r w:rsidR="008B5159">
          <w:rPr>
            <w:noProof/>
            <w:webHidden/>
          </w:rPr>
          <w:t>41</w:t>
        </w:r>
        <w:r w:rsidRPr="00780547">
          <w:rPr>
            <w:noProof/>
            <w:webHidden/>
          </w:rPr>
          <w:fldChar w:fldCharType="end"/>
        </w:r>
      </w:hyperlink>
    </w:p>
    <w:p w14:paraId="0A74E184" w14:textId="4FBF893A"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4" w:history="1">
        <w:r w:rsidRPr="00780547">
          <w:rPr>
            <w:rStyle w:val="-"/>
            <w:rFonts w:eastAsiaTheme="majorEastAsia"/>
            <w:noProof/>
          </w:rPr>
          <w:t>Πίνακας 9</w:t>
        </w:r>
        <w:r w:rsidRPr="00780547">
          <w:rPr>
            <w:rStyle w:val="-"/>
            <w:rFonts w:eastAsia="Calibri"/>
            <w:noProof/>
          </w:rPr>
          <w:t>:</w:t>
        </w:r>
        <w:r w:rsidRPr="00780547">
          <w:rPr>
            <w:rStyle w:val="-"/>
            <w:rFonts w:eastAsiaTheme="majorEastAsia"/>
            <w:noProof/>
          </w:rPr>
          <w:t xml:space="preserve"> </w:t>
        </w:r>
        <w:r w:rsidRPr="00780547">
          <w:rPr>
            <w:rStyle w:val="-"/>
            <w:rFonts w:eastAsia="Calibri"/>
            <w:noProof/>
          </w:rPr>
          <w:t>Μελέτες χρήσης CNN αλγορίθμων για Βελτίωση Ανάλυσης [26]</w:t>
        </w:r>
        <w:r w:rsidRPr="00780547">
          <w:rPr>
            <w:noProof/>
            <w:webHidden/>
          </w:rPr>
          <w:tab/>
        </w:r>
        <w:r w:rsidRPr="00780547">
          <w:rPr>
            <w:noProof/>
            <w:webHidden/>
          </w:rPr>
          <w:fldChar w:fldCharType="begin"/>
        </w:r>
        <w:r w:rsidRPr="00780547">
          <w:rPr>
            <w:noProof/>
            <w:webHidden/>
          </w:rPr>
          <w:instrText xml:space="preserve"> PAGEREF _Toc199787744 \h </w:instrText>
        </w:r>
        <w:r w:rsidRPr="00780547">
          <w:rPr>
            <w:noProof/>
            <w:webHidden/>
          </w:rPr>
        </w:r>
        <w:r w:rsidRPr="00780547">
          <w:rPr>
            <w:noProof/>
            <w:webHidden/>
          </w:rPr>
          <w:fldChar w:fldCharType="separate"/>
        </w:r>
        <w:r w:rsidR="008B5159">
          <w:rPr>
            <w:noProof/>
            <w:webHidden/>
          </w:rPr>
          <w:t>41</w:t>
        </w:r>
        <w:r w:rsidRPr="00780547">
          <w:rPr>
            <w:noProof/>
            <w:webHidden/>
          </w:rPr>
          <w:fldChar w:fldCharType="end"/>
        </w:r>
      </w:hyperlink>
    </w:p>
    <w:p w14:paraId="40FC4099" w14:textId="70213248"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5" w:history="1">
        <w:r w:rsidRPr="00780547">
          <w:rPr>
            <w:rStyle w:val="-"/>
            <w:rFonts w:eastAsiaTheme="majorEastAsia"/>
            <w:noProof/>
          </w:rPr>
          <w:t>Πίνακας 10</w:t>
        </w:r>
        <w:r w:rsidRPr="00780547">
          <w:rPr>
            <w:rStyle w:val="-"/>
            <w:rFonts w:eastAsia="Calibri"/>
            <w:noProof/>
          </w:rPr>
          <w:t>: Χρήση ΑΙ για Ανίχνευση και Τμηματοποίηση Απεικονιστικών Εξετάσεων [26]</w:t>
        </w:r>
        <w:r w:rsidRPr="00780547">
          <w:rPr>
            <w:noProof/>
            <w:webHidden/>
          </w:rPr>
          <w:tab/>
        </w:r>
        <w:r w:rsidRPr="00780547">
          <w:rPr>
            <w:noProof/>
            <w:webHidden/>
          </w:rPr>
          <w:fldChar w:fldCharType="begin"/>
        </w:r>
        <w:r w:rsidRPr="00780547">
          <w:rPr>
            <w:noProof/>
            <w:webHidden/>
          </w:rPr>
          <w:instrText xml:space="preserve"> PAGEREF _Toc199787745 \h </w:instrText>
        </w:r>
        <w:r w:rsidRPr="00780547">
          <w:rPr>
            <w:noProof/>
            <w:webHidden/>
          </w:rPr>
        </w:r>
        <w:r w:rsidRPr="00780547">
          <w:rPr>
            <w:noProof/>
            <w:webHidden/>
          </w:rPr>
          <w:fldChar w:fldCharType="separate"/>
        </w:r>
        <w:r w:rsidR="008B5159">
          <w:rPr>
            <w:noProof/>
            <w:webHidden/>
          </w:rPr>
          <w:t>42</w:t>
        </w:r>
        <w:r w:rsidRPr="00780547">
          <w:rPr>
            <w:noProof/>
            <w:webHidden/>
          </w:rPr>
          <w:fldChar w:fldCharType="end"/>
        </w:r>
      </w:hyperlink>
    </w:p>
    <w:p w14:paraId="2846F78A" w14:textId="2791B48B"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6" w:history="1">
        <w:r w:rsidRPr="00780547">
          <w:rPr>
            <w:rStyle w:val="-"/>
            <w:rFonts w:eastAsiaTheme="majorEastAsia"/>
            <w:noProof/>
          </w:rPr>
          <w:t>Πίνακας 11</w:t>
        </w:r>
        <w:r w:rsidRPr="00780547">
          <w:rPr>
            <w:rStyle w:val="-"/>
            <w:rFonts w:eastAsia="Calibri"/>
            <w:noProof/>
          </w:rPr>
          <w:t>: Πρόβλεψη Εξέλιξης Ιστών (Μοντέλα MRI) [26]</w:t>
        </w:r>
        <w:r w:rsidRPr="00780547">
          <w:rPr>
            <w:noProof/>
            <w:webHidden/>
          </w:rPr>
          <w:tab/>
        </w:r>
        <w:r w:rsidRPr="00780547">
          <w:rPr>
            <w:noProof/>
            <w:webHidden/>
          </w:rPr>
          <w:fldChar w:fldCharType="begin"/>
        </w:r>
        <w:r w:rsidRPr="00780547">
          <w:rPr>
            <w:noProof/>
            <w:webHidden/>
          </w:rPr>
          <w:instrText xml:space="preserve"> PAGEREF _Toc199787746 \h </w:instrText>
        </w:r>
        <w:r w:rsidRPr="00780547">
          <w:rPr>
            <w:noProof/>
            <w:webHidden/>
          </w:rPr>
        </w:r>
        <w:r w:rsidRPr="00780547">
          <w:rPr>
            <w:noProof/>
            <w:webHidden/>
          </w:rPr>
          <w:fldChar w:fldCharType="separate"/>
        </w:r>
        <w:r w:rsidR="008B5159">
          <w:rPr>
            <w:noProof/>
            <w:webHidden/>
          </w:rPr>
          <w:t>43</w:t>
        </w:r>
        <w:r w:rsidRPr="00780547">
          <w:rPr>
            <w:noProof/>
            <w:webHidden/>
          </w:rPr>
          <w:fldChar w:fldCharType="end"/>
        </w:r>
      </w:hyperlink>
    </w:p>
    <w:p w14:paraId="45932753" w14:textId="113F4C13"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7" w:history="1">
        <w:r w:rsidRPr="00780547">
          <w:rPr>
            <w:rStyle w:val="-"/>
            <w:rFonts w:eastAsiaTheme="majorEastAsia"/>
            <w:noProof/>
          </w:rPr>
          <w:t>Πίνακας 12</w:t>
        </w:r>
        <w:r w:rsidRPr="00780547">
          <w:rPr>
            <w:rStyle w:val="-"/>
            <w:rFonts w:eastAsia="Calibri"/>
            <w:noProof/>
          </w:rPr>
          <w:t>: Πρόβλεψη Ιστικών Αποτελεσμάτων (Μοντέλα CT) [26]</w:t>
        </w:r>
        <w:r w:rsidRPr="00780547">
          <w:rPr>
            <w:noProof/>
            <w:webHidden/>
          </w:rPr>
          <w:tab/>
        </w:r>
        <w:r w:rsidRPr="00780547">
          <w:rPr>
            <w:noProof/>
            <w:webHidden/>
          </w:rPr>
          <w:fldChar w:fldCharType="begin"/>
        </w:r>
        <w:r w:rsidRPr="00780547">
          <w:rPr>
            <w:noProof/>
            <w:webHidden/>
          </w:rPr>
          <w:instrText xml:space="preserve"> PAGEREF _Toc199787747 \h </w:instrText>
        </w:r>
        <w:r w:rsidRPr="00780547">
          <w:rPr>
            <w:noProof/>
            <w:webHidden/>
          </w:rPr>
        </w:r>
        <w:r w:rsidRPr="00780547">
          <w:rPr>
            <w:noProof/>
            <w:webHidden/>
          </w:rPr>
          <w:fldChar w:fldCharType="separate"/>
        </w:r>
        <w:r w:rsidR="008B5159">
          <w:rPr>
            <w:noProof/>
            <w:webHidden/>
          </w:rPr>
          <w:t>43</w:t>
        </w:r>
        <w:r w:rsidRPr="00780547">
          <w:rPr>
            <w:noProof/>
            <w:webHidden/>
          </w:rPr>
          <w:fldChar w:fldCharType="end"/>
        </w:r>
      </w:hyperlink>
    </w:p>
    <w:p w14:paraId="39586BDA" w14:textId="3220FAEA"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8" w:history="1">
        <w:r w:rsidRPr="00780547">
          <w:rPr>
            <w:rStyle w:val="-"/>
            <w:rFonts w:eastAsiaTheme="majorEastAsia"/>
            <w:noProof/>
          </w:rPr>
          <w:t>Πίνακας 13</w:t>
        </w:r>
        <w:r w:rsidRPr="00780547">
          <w:rPr>
            <w:rStyle w:val="-"/>
            <w:rFonts w:eastAsia="Calibri"/>
            <w:noProof/>
          </w:rPr>
          <w:t>: Πρόβλεψη Επιπλοκών Εγκεφαλικού [26]</w:t>
        </w:r>
        <w:r w:rsidRPr="00780547">
          <w:rPr>
            <w:noProof/>
            <w:webHidden/>
          </w:rPr>
          <w:tab/>
        </w:r>
        <w:r w:rsidRPr="00780547">
          <w:rPr>
            <w:noProof/>
            <w:webHidden/>
          </w:rPr>
          <w:fldChar w:fldCharType="begin"/>
        </w:r>
        <w:r w:rsidRPr="00780547">
          <w:rPr>
            <w:noProof/>
            <w:webHidden/>
          </w:rPr>
          <w:instrText xml:space="preserve"> PAGEREF _Toc199787748 \h </w:instrText>
        </w:r>
        <w:r w:rsidRPr="00780547">
          <w:rPr>
            <w:noProof/>
            <w:webHidden/>
          </w:rPr>
        </w:r>
        <w:r w:rsidRPr="00780547">
          <w:rPr>
            <w:noProof/>
            <w:webHidden/>
          </w:rPr>
          <w:fldChar w:fldCharType="separate"/>
        </w:r>
        <w:r w:rsidR="008B5159">
          <w:rPr>
            <w:noProof/>
            <w:webHidden/>
          </w:rPr>
          <w:t>43</w:t>
        </w:r>
        <w:r w:rsidRPr="00780547">
          <w:rPr>
            <w:noProof/>
            <w:webHidden/>
          </w:rPr>
          <w:fldChar w:fldCharType="end"/>
        </w:r>
      </w:hyperlink>
    </w:p>
    <w:p w14:paraId="102E55BA" w14:textId="72AEBB23"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49" w:history="1">
        <w:r w:rsidRPr="00780547">
          <w:rPr>
            <w:rStyle w:val="-"/>
            <w:rFonts w:eastAsiaTheme="majorEastAsia"/>
            <w:noProof/>
          </w:rPr>
          <w:t>Πίνακας 14</w:t>
        </w:r>
        <w:r w:rsidRPr="00780547">
          <w:rPr>
            <w:rStyle w:val="-"/>
            <w:rFonts w:eastAsia="Calibri"/>
            <w:noProof/>
          </w:rPr>
          <w:t>: Πρόβλεψη Κλινικής Έκβασης [26]</w:t>
        </w:r>
        <w:r w:rsidRPr="00780547">
          <w:rPr>
            <w:noProof/>
            <w:webHidden/>
          </w:rPr>
          <w:tab/>
        </w:r>
        <w:r w:rsidRPr="00780547">
          <w:rPr>
            <w:noProof/>
            <w:webHidden/>
          </w:rPr>
          <w:fldChar w:fldCharType="begin"/>
        </w:r>
        <w:r w:rsidRPr="00780547">
          <w:rPr>
            <w:noProof/>
            <w:webHidden/>
          </w:rPr>
          <w:instrText xml:space="preserve"> PAGEREF _Toc199787749 \h </w:instrText>
        </w:r>
        <w:r w:rsidRPr="00780547">
          <w:rPr>
            <w:noProof/>
            <w:webHidden/>
          </w:rPr>
        </w:r>
        <w:r w:rsidRPr="00780547">
          <w:rPr>
            <w:noProof/>
            <w:webHidden/>
          </w:rPr>
          <w:fldChar w:fldCharType="separate"/>
        </w:r>
        <w:r w:rsidR="008B5159">
          <w:rPr>
            <w:noProof/>
            <w:webHidden/>
          </w:rPr>
          <w:t>43</w:t>
        </w:r>
        <w:r w:rsidRPr="00780547">
          <w:rPr>
            <w:noProof/>
            <w:webHidden/>
          </w:rPr>
          <w:fldChar w:fldCharType="end"/>
        </w:r>
      </w:hyperlink>
    </w:p>
    <w:p w14:paraId="5C9B77A4" w14:textId="4BFF5D54"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0" w:history="1">
        <w:r w:rsidRPr="00780547">
          <w:rPr>
            <w:rStyle w:val="-"/>
            <w:rFonts w:eastAsiaTheme="majorEastAsia"/>
            <w:noProof/>
          </w:rPr>
          <w:t>Πίνακας 15: Διαγνωστική Επίδοση Βιοδεικτών</w:t>
        </w:r>
        <w:r w:rsidRPr="00780547">
          <w:rPr>
            <w:noProof/>
            <w:webHidden/>
          </w:rPr>
          <w:tab/>
        </w:r>
        <w:r w:rsidRPr="00780547">
          <w:rPr>
            <w:noProof/>
            <w:webHidden/>
          </w:rPr>
          <w:fldChar w:fldCharType="begin"/>
        </w:r>
        <w:r w:rsidRPr="00780547">
          <w:rPr>
            <w:noProof/>
            <w:webHidden/>
          </w:rPr>
          <w:instrText xml:space="preserve"> PAGEREF _Toc199787750 \h </w:instrText>
        </w:r>
        <w:r w:rsidRPr="00780547">
          <w:rPr>
            <w:noProof/>
            <w:webHidden/>
          </w:rPr>
        </w:r>
        <w:r w:rsidRPr="00780547">
          <w:rPr>
            <w:noProof/>
            <w:webHidden/>
          </w:rPr>
          <w:fldChar w:fldCharType="separate"/>
        </w:r>
        <w:r w:rsidR="008B5159">
          <w:rPr>
            <w:noProof/>
            <w:webHidden/>
          </w:rPr>
          <w:t>51</w:t>
        </w:r>
        <w:r w:rsidRPr="00780547">
          <w:rPr>
            <w:noProof/>
            <w:webHidden/>
          </w:rPr>
          <w:fldChar w:fldCharType="end"/>
        </w:r>
      </w:hyperlink>
    </w:p>
    <w:p w14:paraId="5349BBD3" w14:textId="7B09D949"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1" w:history="1">
        <w:r w:rsidRPr="00780547">
          <w:rPr>
            <w:rStyle w:val="-"/>
            <w:rFonts w:eastAsiaTheme="majorEastAsia"/>
            <w:noProof/>
          </w:rPr>
          <w:t>Πίνακας 16: Διαγνωστική Επίδοση Βιοδεικτών με χρήση ML</w:t>
        </w:r>
        <w:r w:rsidRPr="00780547">
          <w:rPr>
            <w:noProof/>
            <w:webHidden/>
          </w:rPr>
          <w:tab/>
        </w:r>
        <w:r w:rsidRPr="00780547">
          <w:rPr>
            <w:noProof/>
            <w:webHidden/>
          </w:rPr>
          <w:fldChar w:fldCharType="begin"/>
        </w:r>
        <w:r w:rsidRPr="00780547">
          <w:rPr>
            <w:noProof/>
            <w:webHidden/>
          </w:rPr>
          <w:instrText xml:space="preserve"> PAGEREF _Toc199787751 \h </w:instrText>
        </w:r>
        <w:r w:rsidRPr="00780547">
          <w:rPr>
            <w:noProof/>
            <w:webHidden/>
          </w:rPr>
        </w:r>
        <w:r w:rsidRPr="00780547">
          <w:rPr>
            <w:noProof/>
            <w:webHidden/>
          </w:rPr>
          <w:fldChar w:fldCharType="separate"/>
        </w:r>
        <w:r w:rsidR="008B5159">
          <w:rPr>
            <w:noProof/>
            <w:webHidden/>
          </w:rPr>
          <w:t>56</w:t>
        </w:r>
        <w:r w:rsidRPr="00780547">
          <w:rPr>
            <w:noProof/>
            <w:webHidden/>
          </w:rPr>
          <w:fldChar w:fldCharType="end"/>
        </w:r>
      </w:hyperlink>
    </w:p>
    <w:p w14:paraId="4EB7610C" w14:textId="662F4B2E"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2" w:history="1">
        <w:r w:rsidRPr="00780547">
          <w:rPr>
            <w:rStyle w:val="-"/>
            <w:rFonts w:eastAsiaTheme="majorEastAsia"/>
            <w:noProof/>
          </w:rPr>
          <w:t>Πίνακας 17:</w:t>
        </w:r>
        <w:r w:rsidRPr="00780547">
          <w:rPr>
            <w:rStyle w:val="-"/>
            <w:rFonts w:eastAsia="Calibri"/>
            <w:noProof/>
          </w:rPr>
          <w:t xml:space="preserve"> Καθιερωμένες PoCT συσκευές [12]</w:t>
        </w:r>
        <w:r w:rsidRPr="00780547">
          <w:rPr>
            <w:noProof/>
            <w:webHidden/>
          </w:rPr>
          <w:tab/>
        </w:r>
        <w:r w:rsidRPr="00780547">
          <w:rPr>
            <w:noProof/>
            <w:webHidden/>
          </w:rPr>
          <w:fldChar w:fldCharType="begin"/>
        </w:r>
        <w:r w:rsidRPr="00780547">
          <w:rPr>
            <w:noProof/>
            <w:webHidden/>
          </w:rPr>
          <w:instrText xml:space="preserve"> PAGEREF _Toc199787752 \h </w:instrText>
        </w:r>
        <w:r w:rsidRPr="00780547">
          <w:rPr>
            <w:noProof/>
            <w:webHidden/>
          </w:rPr>
        </w:r>
        <w:r w:rsidRPr="00780547">
          <w:rPr>
            <w:noProof/>
            <w:webHidden/>
          </w:rPr>
          <w:fldChar w:fldCharType="separate"/>
        </w:r>
        <w:r w:rsidR="008B5159">
          <w:rPr>
            <w:noProof/>
            <w:webHidden/>
          </w:rPr>
          <w:t>65</w:t>
        </w:r>
        <w:r w:rsidRPr="00780547">
          <w:rPr>
            <w:noProof/>
            <w:webHidden/>
          </w:rPr>
          <w:fldChar w:fldCharType="end"/>
        </w:r>
      </w:hyperlink>
    </w:p>
    <w:p w14:paraId="6C12E991" w14:textId="141E5382"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3" w:history="1">
        <w:r w:rsidRPr="00780547">
          <w:rPr>
            <w:rStyle w:val="-"/>
            <w:rFonts w:eastAsiaTheme="majorEastAsia"/>
            <w:noProof/>
          </w:rPr>
          <w:t>Πίνακας 18: Βιοδείκτες σε εφαρμογές PoC</w:t>
        </w:r>
        <w:r w:rsidRPr="00780547">
          <w:rPr>
            <w:noProof/>
            <w:webHidden/>
          </w:rPr>
          <w:tab/>
        </w:r>
        <w:r w:rsidRPr="00780547">
          <w:rPr>
            <w:noProof/>
            <w:webHidden/>
          </w:rPr>
          <w:fldChar w:fldCharType="begin"/>
        </w:r>
        <w:r w:rsidRPr="00780547">
          <w:rPr>
            <w:noProof/>
            <w:webHidden/>
          </w:rPr>
          <w:instrText xml:space="preserve"> PAGEREF _Toc199787753 \h </w:instrText>
        </w:r>
        <w:r w:rsidRPr="00780547">
          <w:rPr>
            <w:noProof/>
            <w:webHidden/>
          </w:rPr>
        </w:r>
        <w:r w:rsidRPr="00780547">
          <w:rPr>
            <w:noProof/>
            <w:webHidden/>
          </w:rPr>
          <w:fldChar w:fldCharType="separate"/>
        </w:r>
        <w:r w:rsidR="008B5159">
          <w:rPr>
            <w:noProof/>
            <w:webHidden/>
          </w:rPr>
          <w:t>67</w:t>
        </w:r>
        <w:r w:rsidRPr="00780547">
          <w:rPr>
            <w:noProof/>
            <w:webHidden/>
          </w:rPr>
          <w:fldChar w:fldCharType="end"/>
        </w:r>
      </w:hyperlink>
    </w:p>
    <w:p w14:paraId="2C974235" w14:textId="716DC005"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4" w:history="1">
        <w:r w:rsidRPr="00780547">
          <w:rPr>
            <w:rStyle w:val="-"/>
            <w:rFonts w:eastAsiaTheme="majorEastAsia"/>
            <w:noProof/>
          </w:rPr>
          <w:t>Πίνακας 19: EVs στη Διάγνωση Εγκεφαλικού Επεισοδίου</w:t>
        </w:r>
        <w:r w:rsidRPr="00780547">
          <w:rPr>
            <w:noProof/>
            <w:webHidden/>
          </w:rPr>
          <w:tab/>
        </w:r>
        <w:r w:rsidRPr="00780547">
          <w:rPr>
            <w:noProof/>
            <w:webHidden/>
          </w:rPr>
          <w:fldChar w:fldCharType="begin"/>
        </w:r>
        <w:r w:rsidRPr="00780547">
          <w:rPr>
            <w:noProof/>
            <w:webHidden/>
          </w:rPr>
          <w:instrText xml:space="preserve"> PAGEREF _Toc199787754 \h </w:instrText>
        </w:r>
        <w:r w:rsidRPr="00780547">
          <w:rPr>
            <w:noProof/>
            <w:webHidden/>
          </w:rPr>
        </w:r>
        <w:r w:rsidRPr="00780547">
          <w:rPr>
            <w:noProof/>
            <w:webHidden/>
          </w:rPr>
          <w:fldChar w:fldCharType="separate"/>
        </w:r>
        <w:r w:rsidR="008B5159">
          <w:rPr>
            <w:noProof/>
            <w:webHidden/>
          </w:rPr>
          <w:t>75</w:t>
        </w:r>
        <w:r w:rsidRPr="00780547">
          <w:rPr>
            <w:noProof/>
            <w:webHidden/>
          </w:rPr>
          <w:fldChar w:fldCharType="end"/>
        </w:r>
      </w:hyperlink>
    </w:p>
    <w:p w14:paraId="41D3BFB3" w14:textId="1407ECF5"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5" w:history="1">
        <w:r w:rsidRPr="00780547">
          <w:rPr>
            <w:rStyle w:val="-"/>
            <w:rFonts w:eastAsiaTheme="majorEastAsia"/>
            <w:noProof/>
          </w:rPr>
          <w:t>Πίνακας 20: EVs στη Διάγνωση Εγκεφαλικού Επεισοδίου με αξιοποίηση ML</w:t>
        </w:r>
        <w:r w:rsidRPr="00780547">
          <w:rPr>
            <w:noProof/>
            <w:webHidden/>
          </w:rPr>
          <w:tab/>
        </w:r>
        <w:r w:rsidRPr="00780547">
          <w:rPr>
            <w:noProof/>
            <w:webHidden/>
          </w:rPr>
          <w:fldChar w:fldCharType="begin"/>
        </w:r>
        <w:r w:rsidRPr="00780547">
          <w:rPr>
            <w:noProof/>
            <w:webHidden/>
          </w:rPr>
          <w:instrText xml:space="preserve"> PAGEREF _Toc199787755 \h </w:instrText>
        </w:r>
        <w:r w:rsidRPr="00780547">
          <w:rPr>
            <w:noProof/>
            <w:webHidden/>
          </w:rPr>
        </w:r>
        <w:r w:rsidRPr="00780547">
          <w:rPr>
            <w:noProof/>
            <w:webHidden/>
          </w:rPr>
          <w:fldChar w:fldCharType="separate"/>
        </w:r>
        <w:r w:rsidR="008B5159">
          <w:rPr>
            <w:noProof/>
            <w:webHidden/>
          </w:rPr>
          <w:t>79</w:t>
        </w:r>
        <w:r w:rsidRPr="00780547">
          <w:rPr>
            <w:noProof/>
            <w:webHidden/>
          </w:rPr>
          <w:fldChar w:fldCharType="end"/>
        </w:r>
      </w:hyperlink>
    </w:p>
    <w:p w14:paraId="736E04B3" w14:textId="33F54654" w:rsidR="00780547" w:rsidRPr="00780547" w:rsidRDefault="00780547">
      <w:pPr>
        <w:pStyle w:val="af4"/>
        <w:tabs>
          <w:tab w:val="right" w:leader="dot" w:pos="8302"/>
        </w:tabs>
        <w:rPr>
          <w:rFonts w:asciiTheme="minorHAnsi" w:eastAsiaTheme="minorEastAsia" w:hAnsiTheme="minorHAnsi" w:cstheme="minorBidi"/>
          <w:noProof/>
          <w:kern w:val="2"/>
          <w:sz w:val="24"/>
          <w:szCs w:val="24"/>
          <w:lang w:val="en-US"/>
          <w14:ligatures w14:val="standardContextual"/>
        </w:rPr>
      </w:pPr>
      <w:hyperlink w:anchor="_Toc199787756" w:history="1">
        <w:r w:rsidRPr="00780547">
          <w:rPr>
            <w:rStyle w:val="-"/>
            <w:rFonts w:eastAsiaTheme="majorEastAsia"/>
            <w:noProof/>
          </w:rPr>
          <w:t>Πίνακας 21: Έρευνες με miRNA διπλής προέλευσης (αίμα και EVs)</w:t>
        </w:r>
        <w:r w:rsidRPr="00780547">
          <w:rPr>
            <w:noProof/>
            <w:webHidden/>
          </w:rPr>
          <w:tab/>
        </w:r>
        <w:r w:rsidRPr="00780547">
          <w:rPr>
            <w:noProof/>
            <w:webHidden/>
          </w:rPr>
          <w:fldChar w:fldCharType="begin"/>
        </w:r>
        <w:r w:rsidRPr="00780547">
          <w:rPr>
            <w:noProof/>
            <w:webHidden/>
          </w:rPr>
          <w:instrText xml:space="preserve"> PAGEREF _Toc199787756 \h </w:instrText>
        </w:r>
        <w:r w:rsidRPr="00780547">
          <w:rPr>
            <w:noProof/>
            <w:webHidden/>
          </w:rPr>
        </w:r>
        <w:r w:rsidRPr="00780547">
          <w:rPr>
            <w:noProof/>
            <w:webHidden/>
          </w:rPr>
          <w:fldChar w:fldCharType="separate"/>
        </w:r>
        <w:r w:rsidR="008B5159">
          <w:rPr>
            <w:noProof/>
            <w:webHidden/>
          </w:rPr>
          <w:t>80</w:t>
        </w:r>
        <w:r w:rsidRPr="00780547">
          <w:rPr>
            <w:noProof/>
            <w:webHidden/>
          </w:rPr>
          <w:fldChar w:fldCharType="end"/>
        </w:r>
      </w:hyperlink>
    </w:p>
    <w:p w14:paraId="007B1509" w14:textId="5EB73C97" w:rsidR="00331C3E" w:rsidRPr="008351E7" w:rsidRDefault="00433D7D" w:rsidP="00433D7D">
      <w:pPr>
        <w:rPr>
          <w:b/>
          <w:bCs/>
          <w:sz w:val="20"/>
          <w:szCs w:val="20"/>
        </w:rPr>
      </w:pPr>
      <w:r w:rsidRPr="00780547">
        <w:rPr>
          <w:sz w:val="18"/>
          <w:szCs w:val="16"/>
        </w:rPr>
        <w:fldChar w:fldCharType="end"/>
      </w:r>
    </w:p>
    <w:p w14:paraId="2E3D9248" w14:textId="1C9621F2" w:rsidR="005A6B05" w:rsidRPr="00A831E7" w:rsidRDefault="00540F82" w:rsidP="00F32EEE">
      <w:pPr>
        <w:pStyle w:val="1"/>
        <w:spacing w:line="360" w:lineRule="auto"/>
        <w:jc w:val="center"/>
        <w:rPr>
          <w:rFonts w:ascii="Times New Roman" w:hAnsi="Times New Roman"/>
          <w:b/>
          <w:bCs/>
          <w:color w:val="auto"/>
          <w:sz w:val="32"/>
          <w:szCs w:val="32"/>
        </w:rPr>
      </w:pPr>
      <w:bookmarkStart w:id="11" w:name="_Toc199787376"/>
      <w:bookmarkStart w:id="12" w:name="_Toc199946445"/>
      <w:r w:rsidRPr="00A831E7">
        <w:rPr>
          <w:rFonts w:ascii="Times New Roman" w:hAnsi="Times New Roman"/>
          <w:b/>
          <w:bCs/>
          <w:color w:val="auto"/>
          <w:sz w:val="32"/>
          <w:szCs w:val="32"/>
        </w:rPr>
        <w:lastRenderedPageBreak/>
        <w:t>Ε</w:t>
      </w:r>
      <w:r w:rsidR="005A6B05" w:rsidRPr="00A831E7">
        <w:rPr>
          <w:rFonts w:ascii="Times New Roman" w:hAnsi="Times New Roman"/>
          <w:b/>
          <w:bCs/>
          <w:color w:val="auto"/>
          <w:sz w:val="32"/>
          <w:szCs w:val="32"/>
        </w:rPr>
        <w:t>ισαγωγή</w:t>
      </w:r>
      <w:bookmarkEnd w:id="3"/>
      <w:bookmarkEnd w:id="4"/>
      <w:bookmarkEnd w:id="5"/>
      <w:bookmarkEnd w:id="11"/>
      <w:bookmarkEnd w:id="12"/>
    </w:p>
    <w:p w14:paraId="2148D8EC" w14:textId="041374F6" w:rsidR="005A6B05" w:rsidRPr="00A831E7" w:rsidRDefault="005A6B05" w:rsidP="00F32EEE">
      <w:pPr>
        <w:tabs>
          <w:tab w:val="left" w:pos="2758"/>
        </w:tabs>
        <w:autoSpaceDE w:val="0"/>
        <w:autoSpaceDN w:val="0"/>
        <w:adjustRightInd w:val="0"/>
        <w:spacing w:line="360" w:lineRule="auto"/>
        <w:rPr>
          <w:rFonts w:ascii="Times" w:eastAsia="Calibri" w:hAnsi="Times" w:cs="Times"/>
          <w:color w:val="18191B"/>
        </w:rPr>
      </w:pPr>
    </w:p>
    <w:p w14:paraId="5EE745AA" w14:textId="6D91078D" w:rsidR="006B4298" w:rsidRPr="00A831E7" w:rsidRDefault="005A6B05" w:rsidP="00F32EEE">
      <w:pPr>
        <w:spacing w:line="360" w:lineRule="auto"/>
        <w:ind w:firstLine="720"/>
        <w:jc w:val="both"/>
        <w:rPr>
          <w:rFonts w:eastAsia="Calibri"/>
          <w:color w:val="18191B"/>
        </w:rPr>
      </w:pPr>
      <w:r w:rsidRPr="00A831E7">
        <w:rPr>
          <w:rFonts w:ascii="Times-Roman" w:eastAsia="Calibri" w:hAnsi="Times-Roman" w:cs="Times-Roman"/>
          <w:color w:val="18191B"/>
        </w:rPr>
        <w:t xml:space="preserve"> </w:t>
      </w:r>
      <w:r w:rsidRPr="00A831E7">
        <w:rPr>
          <w:rFonts w:eastAsia="Calibri"/>
          <w:color w:val="18191B"/>
        </w:rPr>
        <w:t>Κάθε χρόνο σημειώνονται κατά μέσο όρο 12 εκατομμύρια</w:t>
      </w:r>
      <w:r w:rsidR="00A80467" w:rsidRPr="00A831E7">
        <w:rPr>
          <w:rFonts w:eastAsia="Calibri"/>
          <w:color w:val="18191B"/>
        </w:rPr>
        <w:t xml:space="preserve"> </w:t>
      </w:r>
      <w:r w:rsidRPr="00A831E7">
        <w:rPr>
          <w:rFonts w:eastAsia="Calibri"/>
          <w:color w:val="18191B"/>
        </w:rPr>
        <w:t xml:space="preserve">εγκεφαλικά επεισόδια παγκοσμίως. Σε σύγκριση με το 1990 παρατηρείται αύξηση </w:t>
      </w:r>
      <w:r w:rsidR="0032161E" w:rsidRPr="00A831E7">
        <w:rPr>
          <w:rFonts w:eastAsia="Calibri"/>
          <w:color w:val="18191B"/>
        </w:rPr>
        <w:t>των</w:t>
      </w:r>
      <w:r w:rsidRPr="00A831E7">
        <w:rPr>
          <w:rFonts w:eastAsia="Calibri"/>
          <w:color w:val="18191B"/>
        </w:rPr>
        <w:t xml:space="preserve"> περιστατικών κατά 85% και των θανάτων που αποδίδονται σε</w:t>
      </w:r>
      <w:r w:rsidR="00C84402" w:rsidRPr="00A831E7">
        <w:rPr>
          <w:rFonts w:eastAsia="Calibri"/>
          <w:color w:val="18191B"/>
        </w:rPr>
        <w:t xml:space="preserve"> εγκεφαλικό επεισόδιο</w:t>
      </w:r>
      <w:r w:rsidRPr="00A831E7">
        <w:rPr>
          <w:rFonts w:eastAsia="Calibri"/>
          <w:color w:val="18191B"/>
        </w:rPr>
        <w:t xml:space="preserve"> κατά 43% </w:t>
      </w:r>
      <w:r w:rsidRPr="00A831E7">
        <w:rPr>
          <w:rFonts w:eastAsia="Calibri"/>
          <w:color w:val="18191B"/>
        </w:rPr>
        <w:fldChar w:fldCharType="begin"/>
      </w:r>
      <w:r w:rsidRPr="00A831E7">
        <w:rPr>
          <w:rFonts w:eastAsia="Calibri"/>
          <w:color w:val="18191B"/>
        </w:rPr>
        <w:instrText xml:space="preserve"> ADDIN ZOTERO_ITEM CSL_CITATION {"citationID":"M2xoXXBJ","properties":{"custom":"[1]","formattedCitation":"[1]","plainCitation":"[1]","noteIndex":0},"citationItems":[{"id":1109,"uris":["http://zotero.org/users/local/mfHf28QG/items/6UVLIDUF"],"itemData":{"id":1109,"type":"article-journal","container-title":"The Lancet Neurology","DOI":"10.1016/S1474-4422(21)00252-0","ISSN":"1474-4422, 1474-4465","issue":"10","journalAbbreviation":"The Lancet Neurology","language":"English","note":"publisher: Elsevier\nPMID: 34487721","page":"795-820","source":"www.thelancet.com","title":"Global, regional, and national burden of stroke and its risk factors, 1990–2019: a systematic analysis for the Global Burden of Disease Study 2019","title-short":"Global, regional, and national burden of stroke and its risk factors, 1990–2019","volume":"20","author":[{"family":"Feigin","given":"Valery L."},{"family":"Stark","given":"Benjamin A."},{"family":"Johnson","given":"Catherine Owens"},{"family":"Roth","given":"Gregory A."},{"family":"Bisignano","given":"Catherine"},{"family":"Abady","given":"Gdiom Gebreheat"},{"family":"Abbasifard","given":"Mitra"},{"family":"Abbasi-Kangevari","given":"Mohsen"},{"family":"Abd-Allah","given":"Foad"},{"family":"Abedi","given":"Vida"},{"family":"Abualhasan","given":"Ahmed"},{"family":"Abu-Rmeileh","given":"Niveen ME"},{"family":"Abushouk","given":"Abdelrahman I."},{"family":"Adebayo","given":"Oladimeji M."},{"family":"Agarwal","given":"Gina"},{"family":"Agasthi","given":"Pradyumna"},{"family":"Ahinkorah","given":"Bright Opoku"},{"family":"Ahmad","given":"Sohail"},{"family":"Ahmadi","given":"Sepideh"},{"family":"Salih","given":"Yusra Ahmed"},{"family":"Aji","given":"Budi"},{"family":"Akbarpour","given":"Samaneh"},{"family":"Akinyemi","given":"Rufus Olusola"},{"family":"Hamad","given":"Hanadi Al"},{"family":"Alahdab","given":"Fares"},{"family":"Alif","given":"Sheikh Mohammad"},{"family":"Alipour","given":"Vahid"},{"family":"Aljunid","given":"Syed Mohamed"},{"family":"Almustanyir","given":"Sami"},{"family":"Al-Raddadi","given":"Rajaa M."},{"family":"Salman","given":"Rustam Al-Shahi"},{"family":"Alvis-Guzman","given":"Nelson"},{"family":"Ancuceanu","given":"Robert"},{"family":"Anderlini","given":"Deanna"},{"family":"Anderson","given":"Jason A."},{"family":"Ansar","given":"Adnan"},{"family":"Antonazzo","given":"Ippazio Cosimo"},{"family":"Arabloo","given":"Jalal"},{"family":"Ärnlöv","given":"Johan"},{"family":"Artanti","given":"Kurnia Dwi"},{"family":"Aryan","given":"Zahra"},{"family":"Asgari","given":"Samaneh"},{"family":"Ashraf","given":"Tahira"},{"family":"Athar","given":"Mohammad"},{"family":"Atreya","given":"Alok"},{"family":"Ausloos","given":"Marcel"},{"family":"Baig","given":"Atif Amin"},{"family":"Baltatu","given":"Ovidiu Constantin"},{"family":"Banach","given":"Maciej"},{"family":"Barboza","given":"Miguel A."},{"family":"Barker-Collo","given":"Suzanne Lyn"},{"family":"Bärnighausen","given":"Till Winfried"},{"family":"Barone","given":"Mark Thomaz Ugliara"},{"family":"Basu","given":"Sanjay"},{"family":"Bazmandegan","given":"Gholamreza"},{"family":"Beghi","given":"Ettore"},{"family":"Beheshti","given":"Mahya"},{"family":"Béjot","given":"Yannick"},{"family":"Bell","given":"Arielle Wilder"},{"family":"Bennett","given":"Derrick A."},{"family":"Bensenor","given":"Isabela M."},{"family":"Bezabhe","given":"Woldesellassie Mequanint"},{"family":"Bezabih","given":"Yihienew Mequanint"},{"family":"Bhagavathula","given":"Akshaya Srikanth"},{"family":"Bhardwaj","given":"Pankaj"},{"family":"Bhattacharyya","given":"Krittika"},{"family":"Bijani","given":"Ali"},{"family":"Bikbov","given":"Boris"},{"family":"Birhanu","given":"Mulugeta M."},{"family":"Boloor","given":"Archith"},{"family":"Bonny","given":"Aime"},{"family":"Brauer","given":"Michael"},{"family":"Brenner","given":"Hermann"},{"family":"Bryazka","given":"Dana"},{"family":"Butt","given":"Zahid A."},{"family":"Santos","given":"Florentino Luciano Caetano","dropping-particle":"dos"},{"family":"Campos-Nonato","given":"Ismael R."},{"family":"Cantu-Brito","given":"Carlos"},{"family":"Carrero","given":"Juan J."},{"family":"Castañeda-Orjuela","given":"Carlos A."},{"family":"Catapano","given":"Alberico L."},{"family":"Chakraborty","given":"Promit Ananyo"},{"family":"Charan","given":"Jaykaran"},{"family":"Choudhari","given":"Sonali Gajanan"},{"family":"Chowdhury","given":"Enayet Karim"},{"family":"Chu","given":"Dinh-Toi"},{"family":"Chung","given":"Sheng-Chia"},{"family":"Colozza","given":"David"},{"family":"Costa","given":"Vera Marisa"},{"family":"Costanzo","given":"Simona"},{"family":"Criqui","given":"Michael H."},{"family":"Dadras","given":"Omid"},{"family":"Dagnew","given":"Baye"},{"family":"Dai","given":"Xiaochen"},{"family":"Dalal","given":"Koustuv"},{"family":"Damasceno","given":"Albertino Antonio Moura"},{"family":"D'Amico","given":"Emanuele"},{"family":"Dandona","given":"Lalit"},{"family":"Dandona","given":"Rakhi"},{"family":"Gela","given":"Jiregna Darega"},{"family":"Davletov","given":"Kairat"},{"family":"Cruz-Góngora","given":"Vanessa De","dropping-particle":"la"},{"family":"Desai","given":"Rupak"},{"family":"Dhamnetiya","given":"Deepak"},{"family":"Dharmaratne","given":"Samath Dhamminda"},{"family":"Dhimal","given":"Mandira Lamichhane"},{"family":"Dhimal","given":"Meghnath"},{"family":"Diaz","given":"Daniel"},{"family":"Dichgans","given":"Martin"},{"family":"Dokova","given":"Klara"},{"family":"Doshi","given":"Rajkumar"},{"family":"Douiri","given":"Abdel"},{"family":"Duncan","given":"Bruce B."},{"family":"Eftekharzadeh","given":"Sahar"},{"family":"Ekholuenetale","given":"Michael"},{"family":"Nahas","given":"Nevine El"},{"family":"Elgendy","given":"Islam Y."},{"family":"Elhadi","given":"Muhammed"},{"family":"El-Jaafary","given":"Shaimaa I."},{"family":"Endres","given":"Matthias"},{"family":"Endries","given":"Aman Yesuf"},{"family":"Erku","given":"Daniel Asfaw"},{"family":"Faraon","given":"Emerito Jose A."},{"family":"Farooque","given":"Umar"},{"family":"Farzadfar","given":"Farshad"},{"family":"Feroze","given":"Abdullah Hamid"},{"family":"Filip","given":"Irina"},{"family":"Fischer","given":"Florian"},{"family":"Flood","given":"David"},{"family":"Gad","given":"Mohamed M."},{"family":"Gaidhane","given":"Shilpa"},{"family":"Gheshlagh","given":"Reza Ghanei"},{"family":"Ghashghaee","given":"Ahmad"},{"family":"Ghith","given":"Nermin"},{"family":"Ghozali","given":"Ghozali"},{"family":"Ghozy","given":"Sherief"},{"family":"Gialluisi","given":"Alessandro"},{"family":"Giampaoli","given":"Simona"},{"family":"Gilani","given":"Syed Amir"},{"family":"Gill","given":"Paramjit Singh"},{"family":"Gnedovskaya","given":"Elena V."},{"family":"Golechha","given":"Mahaveer"},{"family":"Goulart","given":"Alessandra C."},{"family":"Guo","given":"Yuming"},{"family":"Gupta","given":"Rajeev"},{"family":"Gupta","given":"Veer Bala"},{"family":"Gupta","given":"Vivek Kumar"},{"family":"Gyanwali","given":"Pradip"},{"family":"Hafezi-Nejad","given":"Nima"},{"family":"Hamidi","given":"Samer"},{"family":"Hanif","given":"Asif"},{"family":"Hankey","given":"Graeme J."},{"family":"Hargono","given":"Arief"},{"family":"Hashi","given":"Abdiwahab"},{"family":"Hassan","given":"Treska S."},{"family":"Hassen","given":"Hamid Yimam"},{"family":"Havmoeller","given":"Rasmus J."},{"family":"Hay","given":"Simon I."},{"family":"Hayat","given":"Khezar"},{"family":"Hegazy","given":"Mohamed I."},{"family":"Herteliu","given":"Claudiu"},{"family":"Holla","given":"Ramesh"},{"family":"Hostiuc","given":"Sorin"},{"family":"Househ","given":"Mowafa"},{"family":"Huang","given":"Junjie"},{"family":"Humayun","given":"Ayesha"},{"family":"Hwang","given":"Bing-Fang"},{"family":"Iacoviello","given":"Licia"},{"family":"Iavicoli","given":"Ivo"},{"family":"Ibitoye","given":"Segun Emmanuel"},{"family":"Ilesanmi","given":"Olayinka Stephen"},{"family":"Ilic","given":"Irena M."},{"family":"Ilic","given":"Milena D."},{"family":"Iqbal","given":"Usman"},{"family":"Irvani","given":"Seyed Sina Naghibi"},{"family":"Islam","given":"Sheikh Mohammed Shariful"},{"family":"Ismail","given":"Nahlah Elkudssiah"},{"family":"Iso","given":"Hiroyasu"},{"family":"Isola","given":"Gaetano"},{"family":"Iwagami","given":"Masao"},{"family":"Jacob","given":"Louis"},{"family":"Jain","given":"Vardhmaan"},{"family":"Jang","given":"Sung-In"},{"family":"Jayapal","given":"Sathish Kumar"},{"family":"Jayaram","given":"Shubha"},{"family":"Jayawardena","given":"Ranil"},{"family":"Jeemon","given":"Panniyammakal"},{"family":"Jha","given":"Ravi Prakash"},{"family":"Johnson","given":"Walter D."},{"family":"Jonas","given":"Jost B."},{"family":"Joseph","given":"Nitin"},{"family":"Jozwiak","given":"Jacek Jerzy"},{"family":"Jürisson","given":"Mikk"},{"family":"Kalani","given":"Rizwan"},{"family":"Kalhor","given":"Rohollah"},{"family":"Kalkonde","given":"Yogeshwar"},{"family":"Kamath","given":"Ashwin"},{"family":"Kamiab","given":"Zahra"},{"family":"Kanchan","given":"Tanuj"},{"family":"Kandel","given":"Himal"},{"family":"Karch","given":"André"},{"family":"Katoto","given":"Patrick DMC"},{"family":"Kayode","given":"Gbenga A."},{"family":"Keshavarz","given":"Pedram"},{"family":"Khader","given":"Yousef Saleh"},{"family":"Khan","given":"Ejaz Ahmad"},{"family":"Khan","given":"Imteyaz A."},{"family":"Khan","given":"Maseer"},{"family":"Khan","given":"Moien AB"},{"family":"Khatib","given":"Mahalaqua Nazli"},{"family":"Khubchandani","given":"Jagdish"},{"family":"Kim","given":"Gyu Ri"},{"family":"Kim","given":"Min Seo"},{"family":"Kim","given":"Yun Jin"},{"family":"Kisa","given":"Adnan"},{"family":"Kisa","given":"Sezer"},{"family":"Kivimäki","given":"Mika"},{"family":"Kolte","given":"Dhaval"},{"family":"Koolivand","given":"Ali"},{"family":"Laxminarayana","given":"Sindhura Lakshmi Koulmane"},{"family":"Koyanagi","given":"Ai"},{"family":"Krishan","given":"Kewal"},{"family":"Krishnamoorthy","given":"Vijay"},{"family":"Krishnamurthi","given":"Rita V."},{"family":"Kumar","given":"G. Anil"},{"family":"Kusuma","given":"Dian"},{"family":"Vecchia","given":"Carlo La"},{"family":"Lacey","given":"Ben"},{"family":"Lak","given":"Hassan Mehmood"},{"family":"Lallukka","given":"Tea"},{"family":"Lasrado","given":"Savita"},{"family":"Lavados","given":"Pablo M."},{"family":"Leonardi","given":"Matilde"},{"family":"Li","given":"Bingyu"},{"family":"Li","given":"Shanshan"},{"family":"Lin","given":"Hualiang"},{"family":"Lin","given":"Ro-Ting"},{"family":"Liu","given":"Xuefeng"},{"family":"Lo","given":"Warren David"},{"family":"Lorkowski","given":"Stefan"},{"family":"Lucchetti","given":"Giancarlo"},{"family":"Saute","given":"Ricardo Lutzky"},{"family":"Razek","given":"Hassan Magdy Abd El"},{"family":"Magnani","given":"Francesca Giulia"},{"family":"Mahajan","given":"Preetam Bhalchandra"},{"family":"Majeed","given":"Azeem"},{"family":"Makki","given":"Alaa"},{"family":"Malekzadeh","given":"Reza"},{"family":"Malik","given":"Ahmad Azam"},{"family":"Manafi","given":"Navid"},{"family":"Mansournia","given":"Mohammad Ali"},{"family":"Mantovani","given":"Lorenzo Giovanni"},{"family":"Martini","given":"Santi"},{"family":"Mazzaglia","given":"Giampiero"},{"family":"Mehndiratta","given":"Man Mohan"},{"family":"Menezes","given":"Ritesh G."},{"family":"Meretoja","given":"Atte"},{"family":"Mersha","given":"Amanual Getnet"},{"family":"Jonasson","given":"Junmei Miao"},{"family":"Miazgowski","given":"Bartosz"},{"family":"Miazgowski","given":"Tomasz"},{"family":"Michalek","given":"Irmina Maria"},{"family":"Mirrakhimov","given":"Erkin M."},{"family":"Mohammad","given":"Yousef"},{"family":"Mohammadian-Hafshejani","given":"Abdollah"},{"family":"Mohammed","given":"Shafiu"},{"family":"Mokdad","given":"Ali H."},{"family":"Mokhayeri","given":"Yaser"},{"family":"Molokhia","given":"Mariam"},{"family":"Moni","given":"Mohammad Ali"},{"family":"Montasir","given":"Ahmed Al"},{"family":"Moradzadeh","given":"Rahmatollah"},{"family":"Morawska","given":"Lidia"},{"family":"Morze","given":"Jakub"},{"family":"Muruet","given":"Walter"},{"family":"Musa","given":"Kamarul Imran"},{"family":"Nagarajan","given":"Ahamarshan Jayaraman"},{"family":"Naghavi","given":"Mohsen"},{"family":"Swamy","given":"Sreenivas Narasimha"},{"family":"Nascimento","given":"Bruno Ramos"},{"family":"Negoi","given":"Ruxandra Irina"},{"family":"Kandel","given":"Sandhya Neupane"},{"family":"Nguyen","given":"Trang Huyen"},{"family":"Norrving","given":"Bo"},{"family":"Noubiap","given":"Jean Jacques"},{"family":"Nwatah","given":"Vincent Ebuka"},{"family":"Oancea","given":"Bogdan"},{"family":"Odukoya","given":"Oluwakemi Ololade"},{"family":"Olagunju","given":"Andrew T."},{"family":"Orru","given":"Hans"},{"family":"Owolabi","given":"Mayowa O."},{"family":"Padubidri","given":"Jagadish Rao"},{"family":"Pana","given":"Adrian"},{"family":"Parekh","given":"Tarang"},{"family":"Park","given":"Eun-Cheol"},{"family":"Kan","given":"Fatemeh Pashazadeh"},{"family":"Pathak","given":"Mona"},{"family":"Peres","given":"Mario F. P."},{"family":"Perianayagam","given":"Arokiasamy"},{"family":"Pham","given":"Truong-Minh"},{"family":"Piradov","given":"Michael A."},{"family":"Podder","given":"Vivek"},{"family":"Polinder","given":"Suzanne"},{"family":"Postma","given":"Maarten J."},{"family":"Pourshams","given":"Akram"},{"family":"Radfar","given":"Amir"},{"family":"Rafiei","given":"Alireza"},{"family":"Raggi","given":"Alberto"},{"family":"Rahim","given":"Fakher"},{"family":"Rahimi-Movaghar","given":"Vafa"},{"family":"Rahman","given":"Mosiur"},{"family":"Rahman","given":"Muhammad Aziz"},{"family":"Rahmani","given":"Amir Masoud"},{"family":"Rajai","given":"Nazanin"},{"family":"Ranasinghe","given":"Priyanga"},{"family":"Rao","given":"Chythra R."},{"family":"Rao","given":"Sowmya J."},{"family":"Rathi","given":"Priya"},{"family":"Rawaf","given":"David Laith"},{"family":"Rawaf","given":"Salman"},{"family":"Reitsma","given":"Marissa B."},{"family":"Renjith","given":"Vishnu"},{"family":"Renzaho","given":"Andre M. N."},{"family":"Rezapour","given":"Aziz"},{"family":"Rodriguez","given":"Jefferson Antonio Buendia"},{"family":"Roever","given":"Leonardo"},{"family":"Romoli","given":"Michele"},{"family":"Rynkiewicz","given":"Andrzej"},{"family":"Sacco","given":"Simona"},{"family":"Sadeghi","given":"Masoumeh"},{"family":"Moghaddam","given":"Sahar Saeedi"},{"family":"Sahebkar","given":"Amirhossein"},{"family":"Saif-Ur-Rahman","given":"K. M."},{"family":"Salah","given":"Rehab"},{"family":"Samaei","given":"Mehrnoosh"},{"family":"Samy","given":"Abdallah M."},{"family":"Santos","given":"Itamar S."},{"family":"Santric-Milicevic","given":"Milena M."},{"family":"Sarrafzadegan","given":"Nizal"},{"family":"Sathian","given":"Brijesh"},{"family":"Sattin","given":"Davide"},{"family":"Schiavolin","given":"Silvia"},{"family":"Schlaich","given":"Markus P."},{"family":"Schmidt","given":"Maria Inês"},{"family":"Schutte","given":"Aletta Elisabeth"},{"family":"Sepanlou","given":"Sadaf G."},{"family":"Seylani","given":"Allen"},{"family":"Sha","given":"Feng"},{"family":"Shahabi","given":"Saeed"},{"family":"Shaikh","given":"Masood Ali"},{"family":"Shannawaz","given":"Mohammed"},{"family":"Shawon","given":"Md Shajedur Rahman"},{"family":"Sheikh","given":"Aziz"},{"family":"Sheikhbahaei","given":"Sara"},{"family":"Shibuya","given":"Kenji"},{"family":"Siabani","given":"Soraya"},{"family":"Silva","given":"Diego Augusto Santos"},{"family":"Singh","given":"Jasvinder A."},{"family":"Singh","given":"Jitendra Kumar"},{"family":"Skryabin","given":"Valentin Yurievich"},{"family":"Skryabina","given":"Anna Aleksandrovna"},{"family":"Sobaih","given":"Badr Hasan"},{"family":"Stortecky","given":"Stefan"},{"family":"Stranges","given":"Saverio"},{"family":"Tadesse","given":"Eyayou Girma"},{"family":"Tarigan","given":"Ingan Ukur"},{"family":"Temsah","given":"Mohamad-Hani"},{"family":"Teuschl","given":"Yvonne"},{"family":"Thrift","given":"Amanda G."},{"family":"Tonelli","given":"Marcello"},{"family":"Tovani-Palone","given":"Marcos Roberto"},{"family":"Tran","given":"Bach Xuan"},{"family":"Tripathi","given":"Manjari"},{"family":"Tsegaye","given":"Gebiyaw Wudie"},{"family":"Ullah","given":"Anayat"},{"family":"Unim","given":"Brigid"},{"family":"Unnikrishnan","given":"Bhaskaran"},{"family":"Vakilian","given":"Alireza"},{"family":"Tahbaz","given":"Sahel Valadan"},{"family":"Vasankari","given":"Tommi Juhani"},{"family":"Venketasubramanian","given":"Narayanaswamy"},{"family":"Vervoort","given":"Dominique"},{"family":"Vo","given":"Bay"},{"family":"Volovici","given":"Victor"},{"family":"Vosoughi","given":"Kia"},{"family":"Vu","given":"Giang Thu"},{"family":"Vu","given":"Linh Gia"},{"family":"Wafa","given":"Hatem A."},{"family":"Waheed","given":"Yasir"},{"family":"Wang","given":"Yanzhong"},{"family":"Wijeratne","given":"Tissa"},{"family":"Winkler","given":"Andrea Sylvia"},{"family":"Wolfe","given":"Charles D. A."},{"family":"Woodward","given":"Mark"},{"family":"Wu","given":"Jason H."},{"family":"Hanson","given":"Sarah Wulf"},{"family":"Xu","given":"Xiaoyue"},{"family":"Yadav","given":"Lalit"},{"family":"Yadollahpour","given":"Ali"},{"family":"Jabbari","given":"Seyed Hossein Yahyazadeh"},{"family":"Yamagishi","given":"Kazumasa"},{"family":"Yatsuya","given":"Hiroshi"},{"family":"Yonemoto","given":"Naohiro"},{"family":"Yu","given":"Chuanhua"},{"family":"Yunusa","given":"Ismaeel"},{"family":"Zaman","given":"Muhammed Shahriar"},{"family":"Zaman","given":"Sojib Bin"},{"family":"Zamanian","given":"Maryam"},{"family":"Zand","given":"Ramin"},{"family":"Zandifar","given":"Alireza"},{"family":"Zastrozhin","given":"Mikhail Sergeevich"},{"family":"Zastrozhina","given":"Anasthasia"},{"family":"Zhang","given":"Yunquan"},{"family":"Zhang","given":"Zhi-Jiang"},{"family":"Zhong","given":"Chenwen"},{"family":"Zuniga","given":"Yves Miel H."},{"family":"Murray","given":"Christopher J. L."}],"issued":{"date-parts":[["2021",10,1]]}},"suppress-author":true}],"schema":"https://github.com/citation-style-language/schema/raw/master/csl-citation.json"} </w:instrText>
      </w:r>
      <w:r w:rsidRPr="00A831E7">
        <w:rPr>
          <w:rFonts w:eastAsia="Calibri"/>
          <w:color w:val="18191B"/>
        </w:rPr>
        <w:fldChar w:fldCharType="separate"/>
      </w:r>
      <w:r w:rsidR="00BB58D8" w:rsidRPr="00A831E7">
        <w:rPr>
          <w:rFonts w:eastAsia="Calibri"/>
        </w:rPr>
        <w:t>[1]</w:t>
      </w:r>
      <w:r w:rsidRPr="00A831E7">
        <w:rPr>
          <w:rFonts w:eastAsia="Calibri"/>
          <w:color w:val="18191B"/>
        </w:rPr>
        <w:fldChar w:fldCharType="end"/>
      </w:r>
      <w:r w:rsidRPr="00A831E7">
        <w:rPr>
          <w:rFonts w:eastAsia="Calibri"/>
          <w:color w:val="18191B"/>
        </w:rPr>
        <w:t>.</w:t>
      </w:r>
      <w:r w:rsidR="00321449" w:rsidRPr="00A831E7">
        <w:rPr>
          <w:rFonts w:eastAsia="Calibri"/>
          <w:color w:val="18191B"/>
        </w:rPr>
        <w:t xml:space="preserve"> </w:t>
      </w:r>
      <w:r w:rsidR="00F274D1" w:rsidRPr="00A831E7">
        <w:rPr>
          <w:rFonts w:eastAsia="Calibri"/>
          <w:color w:val="18191B"/>
        </w:rPr>
        <w:t xml:space="preserve">Πέρα από σημαντική αιτία θανάτου αποτελεί και σημαντικό παράγοντα μακροχρόνιων αναπηριών για τους ασθενείς που επιβιώνουν. Πρόκειται λοιπόν για μια εξαιρετικά διαδεδομένη και συχνά καταστροφική </w:t>
      </w:r>
      <w:r w:rsidR="007F4DB4" w:rsidRPr="00A831E7">
        <w:rPr>
          <w:rFonts w:eastAsia="Calibri"/>
          <w:color w:val="18191B"/>
        </w:rPr>
        <w:t>ασθένεια</w:t>
      </w:r>
      <w:r w:rsidR="00A127CC" w:rsidRPr="00A831E7">
        <w:rPr>
          <w:rFonts w:eastAsia="Calibri"/>
          <w:color w:val="18191B"/>
        </w:rPr>
        <w:t>,</w:t>
      </w:r>
      <w:r w:rsidR="007F4DB4" w:rsidRPr="00A831E7">
        <w:rPr>
          <w:rFonts w:eastAsia="Calibri"/>
          <w:color w:val="18191B"/>
        </w:rPr>
        <w:t xml:space="preserve"> η οποία παρουσιάζει </w:t>
      </w:r>
      <w:r w:rsidR="00F274D1" w:rsidRPr="00A831E7">
        <w:rPr>
          <w:rFonts w:eastAsia="Calibri"/>
          <w:color w:val="18191B"/>
        </w:rPr>
        <w:t>σημαντική κοινωνικ</w:t>
      </w:r>
      <w:r w:rsidR="00483326" w:rsidRPr="00A831E7">
        <w:rPr>
          <w:rFonts w:eastAsia="Calibri"/>
          <w:color w:val="18191B"/>
        </w:rPr>
        <w:t xml:space="preserve">ή και </w:t>
      </w:r>
      <w:r w:rsidR="00F274D1" w:rsidRPr="00A831E7">
        <w:rPr>
          <w:rFonts w:eastAsia="Calibri"/>
          <w:color w:val="18191B"/>
        </w:rPr>
        <w:t>οικονομική επιβάρυνση</w:t>
      </w:r>
      <w:r w:rsidR="00122ABA" w:rsidRPr="00A831E7">
        <w:rPr>
          <w:rFonts w:eastAsia="Calibri"/>
          <w:color w:val="18191B"/>
        </w:rPr>
        <w:t xml:space="preserve"> </w:t>
      </w:r>
      <w:r w:rsidR="00F274D1" w:rsidRPr="00A831E7">
        <w:rPr>
          <w:rFonts w:eastAsia="Calibri"/>
          <w:color w:val="18191B"/>
        </w:rPr>
        <w:fldChar w:fldCharType="begin"/>
      </w:r>
      <w:r w:rsidR="00122ABA" w:rsidRPr="00A831E7">
        <w:rPr>
          <w:rFonts w:eastAsia="Calibri"/>
          <w:color w:val="18191B"/>
        </w:rPr>
        <w:instrText xml:space="preserve"> ADDIN ZOTERO_ITEM CSL_CITATION {"citationID":"5gBqfFMa","properties":{"custom":"[2]","formattedCitation":"[2]","plainCitation":"[2]","noteIndex":0},"citationItems":[{"id":184,"uris":["http://zotero.org/users/local/mfHf28QG/items/W4URIHVM"],"itemData":{"id":184,"type":"article-journal","abstract":"Stroke remains a leading cause of death and disability, with limited therapeutic options and suboptimal tools for diagnosis and prognosis. High throughput technologies such as proteomics generate large volumes of experimental data at once, thus ...","container-title":"Circulation research","DOI":"10.1161/CIRCRESAHA.122.320110","issue":"8","language":"en","note":"PMID: 35420912","page":"1145","source":"pmc.ncbi.nlm.nih.gov","title":"Stroke Proteomics: From Discovery to Diagnostic and Therapeutic Applications","title-short":"Stroke Proteomics","volume":"130","author":[{"family":"Hochrainer","given":"Karin"},{"family":"Yang","given":"Wei"}],"issued":{"date-parts":[["2022",4,14]]}},"suppress-author":true}],"schema":"https://github.com/citation-style-language/schema/raw/master/csl-citation.json"} </w:instrText>
      </w:r>
      <w:r w:rsidR="00F274D1" w:rsidRPr="00A831E7">
        <w:rPr>
          <w:rFonts w:eastAsia="Calibri"/>
          <w:color w:val="18191B"/>
        </w:rPr>
        <w:fldChar w:fldCharType="separate"/>
      </w:r>
      <w:r w:rsidR="00122ABA" w:rsidRPr="00A831E7">
        <w:rPr>
          <w:rFonts w:eastAsia="Calibri"/>
        </w:rPr>
        <w:t>[2]</w:t>
      </w:r>
      <w:r w:rsidR="00F274D1" w:rsidRPr="00A831E7">
        <w:rPr>
          <w:rFonts w:eastAsia="Calibri"/>
          <w:color w:val="18191B"/>
        </w:rPr>
        <w:fldChar w:fldCharType="end"/>
      </w:r>
      <w:r w:rsidR="00122ABA" w:rsidRPr="00A831E7">
        <w:rPr>
          <w:rFonts w:eastAsia="Calibri"/>
          <w:color w:val="18191B"/>
        </w:rPr>
        <w:t>.</w:t>
      </w:r>
      <w:r w:rsidR="007F4DB4" w:rsidRPr="00A831E7">
        <w:rPr>
          <w:rFonts w:eastAsia="Calibri"/>
          <w:color w:val="18191B"/>
        </w:rPr>
        <w:t xml:space="preserve"> Πλήττει κυρίως ηλικιωμένους</w:t>
      </w:r>
      <w:r w:rsidR="00371600" w:rsidRPr="00A831E7">
        <w:rPr>
          <w:rFonts w:eastAsia="Calibri"/>
          <w:color w:val="18191B"/>
        </w:rPr>
        <w:t>, ωστόσο</w:t>
      </w:r>
      <w:r w:rsidR="007F4DB4" w:rsidRPr="00A831E7">
        <w:rPr>
          <w:rFonts w:eastAsia="Calibri"/>
          <w:color w:val="18191B"/>
        </w:rPr>
        <w:t xml:space="preserve"> τα ποσοστά εμφάνισης σε νεότερες ηλικίες</w:t>
      </w:r>
      <w:r w:rsidR="00371600" w:rsidRPr="00A831E7">
        <w:rPr>
          <w:rFonts w:eastAsia="Calibri"/>
          <w:color w:val="18191B"/>
        </w:rPr>
        <w:t xml:space="preserve"> δεν είναι αμελητέα και διπλασιάζονται για κάθε δεκαετία άνω των 55 χρονών </w:t>
      </w:r>
      <w:r w:rsidR="00371600" w:rsidRPr="00A831E7">
        <w:rPr>
          <w:rFonts w:eastAsia="Calibri"/>
          <w:color w:val="18191B"/>
        </w:rPr>
        <w:fldChar w:fldCharType="begin"/>
      </w:r>
      <w:r w:rsidR="00371600" w:rsidRPr="00A831E7">
        <w:rPr>
          <w:rFonts w:eastAsia="Calibri"/>
          <w:color w:val="18191B"/>
        </w:rPr>
        <w:instrText xml:space="preserve"> ADDIN ZOTERO_ITEM CSL_CITATION {"citationID":"cuN24EvH","properties":{"formattedCitation":"[3]","plainCitation":"[3]","noteIndex":0},"citationItems":[{"id":1157,"uris":["http://zotero.org/users/local/mfHf28QG/items/HXEFAES7"],"itemData":{"id":1157,"type":"article-journal","abstract":"BACKGROUND AND PURPOSE: This guideline provides an overview of the evidence on various established and potential stroke risk factors and provides recommendations for the reduction of stroke risk.\nMETHODS: Writing group members were nominated by the committee chair on the basis of each writer's previous work in relevant topic areas and were approved by the American Heart Association Stroke Council's Scientific Statement Oversight Committee. The writers used systematic literature reviews (covering the time period since the last review published in 2001 up to January 2005), reference to previously published guidelines, personal files, and expert opinion to summarize existing evidence, indicate gaps in current knowledge, and when appropriate, formulate recommendations based on standard American Heart Association criteria. All members of the writing group had numerous opportunities to comment in writing on the recommendations and approved the final version of this document. The guideline underwent extensive peer review before consideration and approval by the AHA Science Advisory and Coordinating Committee.\nRESULTS: Schemes for assessing a person's risk of a first stroke were evaluated. Risk factors or risk markers for a first stroke were classified according to their potential for modification (nonmodifiable, modifiable, or potentially modifiable) and strength of evidence (well documented or less well documented). Nonmodifiable risk factors include age, sex, low birth weight, race/ethnicity, and genetic factors. Well-documented and modifiable risk factors include hypertension, exposure to cigarette smoke, diabetes, atrial fibrillation and certain other cardiac conditions, dyslipidemia, carotid artery stenosis, sickle cell disease, postmenopausal hormone therapy, poor diet, physical inactivity, and obesity and body fat distribution. Less well-documented or potentially modifiable risk factors include the metabolic syndrome, alcohol abuse, drug abuse, oral contraceptive use, sleep-disordered breathing, migraine headache, hyperhomocysteinemia, elevated lipoprotein(a), elevated lipoprotein-associated phospholipase, hypercoagulability, inflammation, and infection. Data on the use of aspirin for primary stroke prevention are reviewed.\nCONCLUSIONS: Extensive evidence is available identifying a variety of specific factors that increase the risk of a first stroke and providing strategies for reducing that risk.","container-title":"Stroke","DOI":"10.1161/01.STR.0000223048.70103.F1","ISSN":"1524-4628","issue":"6","journalAbbreviation":"Stroke","language":"eng","note":"PMID: 16675728","page":"1583-1633","source":"PubMed","title":"Primary prevention of ischemic stroke: a guideline from the American Heart Association/American Stroke Association Stroke Council: cosponsored by the Atherosclerotic Peripheral Vascular Disease Interdisciplinary Working Group; Cardiovascular Nursing Council; Clinical Cardiology Council; Nutrition, Physical Activity, and Metabolism Council; and the Quality of Care and Outcomes Research Interdisciplinary Working Group: the American Academy of Neurology affirms the value of this guideline","title-short":"Primary prevention of ischemic stroke","volume":"37","author":[{"family":"Goldstein","given":"Larry B."},{"family":"Adams","given":"Robert"},{"family":"Alberts","given":"Mark J."},{"family":"Appel","given":"Lawrence J."},{"family":"Brass","given":"Lawrence M."},{"family":"Bushnell","given":"Cheryl D."},{"family":"Culebras","given":"Antonio"},{"family":"Degraba","given":"Thomas J."},{"family":"Gorelick","given":"Philip B."},{"family":"Guyton","given":"John R."},{"family":"Hart","given":"Robert G."},{"family":"Howard","given":"George"},{"family":"Kelly-Hayes","given":"Margaret"},{"family":"Nixon","given":"J. V. Ian"},{"family":"Sacco","given":"Ralph L."},{"literal":"American Heart Association/American Stroke Association Stroke Council"},{"literal":"Atherosclerotic Peripheral Vascular Disease Interdisciplinary Working Group"},{"literal":"Cardiovascular Nursing Council"},{"literal":"Clinical Cardiology Council"},{"literal":"Nutrition, Physical Activity, and Metabolism Council"},{"literal":"Quality of Care and Outcomes Research Interdisciplinary Working Group"},{"literal":"American Academy of Neurology"}],"issued":{"date-parts":[["2006",6]]}},"suppress-author":true}],"schema":"https://github.com/citation-style-language/schema/raw/master/csl-citation.json"} </w:instrText>
      </w:r>
      <w:r w:rsidR="00371600" w:rsidRPr="00A831E7">
        <w:rPr>
          <w:rFonts w:eastAsia="Calibri"/>
          <w:color w:val="18191B"/>
        </w:rPr>
        <w:fldChar w:fldCharType="separate"/>
      </w:r>
      <w:r w:rsidR="00371600" w:rsidRPr="00A831E7">
        <w:rPr>
          <w:rFonts w:eastAsia="Calibri"/>
        </w:rPr>
        <w:t>[3]</w:t>
      </w:r>
      <w:r w:rsidR="00371600" w:rsidRPr="00A831E7">
        <w:rPr>
          <w:rFonts w:eastAsia="Calibri"/>
          <w:color w:val="18191B"/>
        </w:rPr>
        <w:fldChar w:fldCharType="end"/>
      </w:r>
      <w:r w:rsidR="00371600" w:rsidRPr="00A831E7">
        <w:rPr>
          <w:rFonts w:eastAsia="Calibri"/>
          <w:color w:val="18191B"/>
        </w:rPr>
        <w:t xml:space="preserve">. </w:t>
      </w:r>
    </w:p>
    <w:p w14:paraId="4644F148" w14:textId="3DD53F79" w:rsidR="003B436B" w:rsidRPr="00A831E7" w:rsidRDefault="00FE73B8" w:rsidP="00F32EEE">
      <w:pPr>
        <w:spacing w:line="360" w:lineRule="auto"/>
        <w:ind w:firstLine="720"/>
        <w:jc w:val="both"/>
        <w:rPr>
          <w:rFonts w:eastAsia="Calibri"/>
          <w:color w:val="18191B"/>
        </w:rPr>
      </w:pPr>
      <w:r w:rsidRPr="00A831E7">
        <w:rPr>
          <w:rFonts w:eastAsia="Calibri"/>
          <w:color w:val="18191B"/>
        </w:rPr>
        <w:t xml:space="preserve">Τα περιστατικά </w:t>
      </w:r>
      <w:r w:rsidR="00C84402" w:rsidRPr="00A831E7">
        <w:rPr>
          <w:rFonts w:eastAsia="Calibri"/>
          <w:color w:val="18191B"/>
        </w:rPr>
        <w:t>εγκεφαλικών επεισοδίων</w:t>
      </w:r>
      <w:r w:rsidRPr="00A831E7">
        <w:rPr>
          <w:rFonts w:eastAsia="Calibri"/>
          <w:color w:val="18191B"/>
        </w:rPr>
        <w:t xml:space="preserve"> εμπίπτουν σε </w:t>
      </w:r>
      <w:r w:rsidR="007A294A" w:rsidRPr="00A831E7">
        <w:rPr>
          <w:rFonts w:eastAsia="Calibri"/>
          <w:color w:val="18191B"/>
        </w:rPr>
        <w:t>δυο</w:t>
      </w:r>
      <w:r w:rsidRPr="00A831E7">
        <w:rPr>
          <w:rFonts w:eastAsia="Calibri"/>
          <w:color w:val="18191B"/>
        </w:rPr>
        <w:t xml:space="preserve"> ευρύτερες κατηγορίες</w:t>
      </w:r>
      <w:r w:rsidR="00C84402" w:rsidRPr="00A831E7">
        <w:rPr>
          <w:rFonts w:eastAsia="Calibri"/>
          <w:color w:val="18191B"/>
        </w:rPr>
        <w:t xml:space="preserve"> Αγγειακών Εγκεφαλικών Επεισοδίων (ΑΕΕ)</w:t>
      </w:r>
      <w:r w:rsidRPr="00A831E7">
        <w:rPr>
          <w:rFonts w:eastAsia="Calibri"/>
          <w:color w:val="18191B"/>
        </w:rPr>
        <w:t xml:space="preserve">: το </w:t>
      </w:r>
      <w:r w:rsidR="009979D0" w:rsidRPr="00A831E7">
        <w:rPr>
          <w:rFonts w:eastAsia="Calibri"/>
          <w:color w:val="18191B"/>
        </w:rPr>
        <w:t>ι</w:t>
      </w:r>
      <w:r w:rsidRPr="00A831E7">
        <w:rPr>
          <w:rFonts w:eastAsia="Calibri"/>
          <w:color w:val="18191B"/>
        </w:rPr>
        <w:t xml:space="preserve">σχαιμικό </w:t>
      </w:r>
      <w:r w:rsidR="00A80467" w:rsidRPr="00A831E7">
        <w:rPr>
          <w:rFonts w:eastAsia="Calibri"/>
          <w:color w:val="18191B"/>
        </w:rPr>
        <w:t xml:space="preserve">ΑΕΕ </w:t>
      </w:r>
      <w:r w:rsidR="00A127CC" w:rsidRPr="00A831E7">
        <w:rPr>
          <w:rFonts w:eastAsia="Calibri"/>
          <w:color w:val="18191B"/>
        </w:rPr>
        <w:t>(</w:t>
      </w:r>
      <w:r w:rsidRPr="00A831E7">
        <w:rPr>
          <w:rFonts w:eastAsia="Calibri"/>
          <w:color w:val="18191B"/>
        </w:rPr>
        <w:t xml:space="preserve"> Ischemic stroke</w:t>
      </w:r>
      <w:r w:rsidR="00483326" w:rsidRPr="00A831E7">
        <w:rPr>
          <w:rFonts w:eastAsia="Calibri"/>
          <w:color w:val="18191B"/>
        </w:rPr>
        <w:t>,</w:t>
      </w:r>
      <w:r w:rsidRPr="00A831E7">
        <w:rPr>
          <w:rFonts w:eastAsia="Calibri"/>
          <w:color w:val="18191B"/>
        </w:rPr>
        <w:t xml:space="preserve"> </w:t>
      </w:r>
      <w:r w:rsidR="00371600" w:rsidRPr="00A831E7">
        <w:rPr>
          <w:rFonts w:eastAsia="Calibri"/>
          <w:color w:val="18191B"/>
        </w:rPr>
        <w:t>IS)</w:t>
      </w:r>
      <w:r w:rsidRPr="00A831E7">
        <w:rPr>
          <w:rFonts w:eastAsia="Calibri"/>
          <w:color w:val="18191B"/>
        </w:rPr>
        <w:t xml:space="preserve"> </w:t>
      </w:r>
      <w:r w:rsidR="00902A18" w:rsidRPr="00A831E7">
        <w:rPr>
          <w:rFonts w:eastAsia="Calibri"/>
          <w:color w:val="18191B"/>
        </w:rPr>
        <w:t xml:space="preserve">που αποδίδεται σε απόφραξη εγκεφαλικής αρτηρίας </w:t>
      </w:r>
      <w:r w:rsidRPr="00A831E7">
        <w:rPr>
          <w:rFonts w:eastAsia="Calibri"/>
          <w:color w:val="18191B"/>
        </w:rPr>
        <w:t xml:space="preserve">και το </w:t>
      </w:r>
      <w:r w:rsidR="009979D0" w:rsidRPr="00A831E7">
        <w:rPr>
          <w:rFonts w:eastAsia="Calibri"/>
          <w:color w:val="18191B"/>
        </w:rPr>
        <w:t>α</w:t>
      </w:r>
      <w:r w:rsidRPr="00A831E7">
        <w:rPr>
          <w:rFonts w:eastAsia="Calibri"/>
          <w:color w:val="18191B"/>
        </w:rPr>
        <w:t>ιμορραγικό</w:t>
      </w:r>
      <w:r w:rsidR="00371600" w:rsidRPr="00A831E7">
        <w:rPr>
          <w:rFonts w:eastAsia="Calibri"/>
          <w:color w:val="18191B"/>
        </w:rPr>
        <w:t xml:space="preserve"> </w:t>
      </w:r>
      <w:r w:rsidR="00A80467" w:rsidRPr="00A831E7">
        <w:rPr>
          <w:rFonts w:eastAsia="Calibri"/>
          <w:color w:val="18191B"/>
        </w:rPr>
        <w:t>ΑΕΕ</w:t>
      </w:r>
      <w:r w:rsidR="00A127CC" w:rsidRPr="00A831E7">
        <w:rPr>
          <w:rFonts w:eastAsia="Calibri"/>
          <w:color w:val="18191B"/>
        </w:rPr>
        <w:t xml:space="preserve"> (Hemorrhagic stroke, HS)</w:t>
      </w:r>
      <w:r w:rsidR="00902A18" w:rsidRPr="00A831E7">
        <w:rPr>
          <w:rFonts w:eastAsia="Calibri"/>
          <w:color w:val="18191B"/>
        </w:rPr>
        <w:t xml:space="preserve"> που αποδίδεται σε ρήξη αιμοφόρων αγγείων</w:t>
      </w:r>
      <w:r w:rsidRPr="00A831E7">
        <w:rPr>
          <w:rFonts w:eastAsia="Calibri"/>
          <w:color w:val="18191B"/>
        </w:rPr>
        <w:t>.</w:t>
      </w:r>
      <w:r w:rsidR="00A124E1" w:rsidRPr="00A831E7">
        <w:rPr>
          <w:rFonts w:eastAsia="Calibri"/>
          <w:color w:val="18191B"/>
        </w:rPr>
        <w:t xml:space="preserve"> </w:t>
      </w:r>
      <w:r w:rsidR="006B4298" w:rsidRPr="00A831E7">
        <w:rPr>
          <w:rFonts w:eastAsia="Calibri"/>
          <w:color w:val="18191B"/>
        </w:rPr>
        <w:t>Στόχος κατά την</w:t>
      </w:r>
      <w:r w:rsidR="00AC661D" w:rsidRPr="00A831E7">
        <w:rPr>
          <w:rFonts w:eastAsia="Calibri"/>
          <w:color w:val="18191B"/>
        </w:rPr>
        <w:t xml:space="preserve"> αντιμετώπιση των περιστατικών</w:t>
      </w:r>
      <w:r w:rsidR="006B4298" w:rsidRPr="00A831E7">
        <w:rPr>
          <w:rFonts w:eastAsia="Calibri"/>
          <w:color w:val="18191B"/>
        </w:rPr>
        <w:t xml:space="preserve"> είναι η αποκατάσταση της κυκλοφορίας του αίματος. </w:t>
      </w:r>
      <w:r w:rsidR="00A127CC" w:rsidRPr="00A831E7">
        <w:rPr>
          <w:rFonts w:eastAsia="Calibri"/>
          <w:color w:val="18191B"/>
        </w:rPr>
        <w:t>Στον τομέα της θεραπείας αναδύονται συνεχώς</w:t>
      </w:r>
      <w:r w:rsidR="00C84402" w:rsidRPr="00A831E7">
        <w:rPr>
          <w:rFonts w:eastAsia="Calibri"/>
          <w:color w:val="18191B"/>
        </w:rPr>
        <w:t xml:space="preserve"> νέες θεραπευτικές μ</w:t>
      </w:r>
      <w:r w:rsidR="00A127CC" w:rsidRPr="00A831E7">
        <w:rPr>
          <w:rFonts w:eastAsia="Calibri"/>
          <w:color w:val="18191B"/>
        </w:rPr>
        <w:t>έθοδοι, αλλά η αντιμετώπιση διαφέρει ανάλογα με την κατάταξη του εγκεφαλικού επεισοδίου</w:t>
      </w:r>
      <w:r w:rsidR="007D4CA8" w:rsidRPr="00A831E7">
        <w:rPr>
          <w:rFonts w:eastAsia="Calibri"/>
          <w:color w:val="18191B"/>
        </w:rPr>
        <w:t xml:space="preserve"> </w:t>
      </w:r>
      <w:r w:rsidR="00AC661D" w:rsidRPr="00A831E7">
        <w:rPr>
          <w:rFonts w:eastAsia="Calibri"/>
          <w:color w:val="18191B"/>
        </w:rPr>
        <w:fldChar w:fldCharType="begin"/>
      </w:r>
      <w:r w:rsidR="001E53CA" w:rsidRPr="00A831E7">
        <w:rPr>
          <w:rFonts w:eastAsia="Calibri"/>
          <w:color w:val="18191B"/>
        </w:rPr>
        <w:instrText xml:space="preserve"> ADDIN ZOTERO_ITEM CSL_CITATION {"citationID":"UIFftqO1","properties":{"formattedCitation":"[2], [4], [5], [6]","plainCitation":"[2], [4], [5], [6]","noteIndex":0},"citationItems":[{"id":184,"uris":["http://zotero.org/users/local/mfHf28QG/items/W4URIHVM"],"itemData":{"id":184,"type":"article-journal","abstract":"Stroke remains a leading cause of death and disability, with limited therapeutic options and suboptimal tools for diagnosis and prognosis. High throughput technologies such as proteomics generate large volumes of experimental data at once, thus ...","container-title":"Circulation research","DOI":"10.1161/CIRCRESAHA.122.320110","issue":"8","language":"en","note":"PMID: 35420912","page":"1145","source":"pmc.ncbi.nlm.nih.gov","title":"Stroke Proteomics: From Discovery to Diagnostic and Therapeutic Applications","title-short":"Stroke Proteomics","volume":"130","author":[{"family":"Hochrainer","given":"Karin"},{"family":"Yang","given":"Wei"}],"issued":{"date-parts":[["2022",4,14]]}},"label":"page","suppress-author":true},{"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Sang"}],"issued":{"date-parts":[["2022",7,28]]}},"label":"page"},{"id":1162,"uris":["http://zotero.org/users/local/mfHf28QG/items/2LCD2KMK"],"itemData":{"id":1162,"type":"article-journal","abstract":"In this randomized trial involving patients with acute ischemic stroke with proximal anterior circulation occlusion, endovascular treatment with a Solitaire stent retriever was more effective than medical therapy alone in improving functional outcomes at 90 days. Recently completed prospective, randomized trials involving patients with acute stroke have consistently shown a clinical benefit for mechanical thrombectomy.1–4 Our study, called the Randomized Trial of Revascularization with Solitaire FR Device versus Best Medical Therapy in the Treatment of Acute Stroke Due to Anterior Circulation Large Vessel Occlusion Presenting within Eight Hours of Symptom Onset (REVASCAT), shares the following four features with the previously cited trials: enrollment limited to patients with imaging-based evidence of proximal occlusion of the M1 segment (main trunk) of the middle cerebral artery with or without concomitant occlusion of the internal carotid artery, imaging-based exclusion . . .","container-title":"New England Journal of Medicine","DOI":"10.1056/NEJMoa1503780","ISSN":"0028-4793","issue":"24","note":"publisher: Massachusetts Medical Society\n_eprint: https://www.nejm.org/doi/pdf/10.1056/NEJMoa1503780","page":"2296-2306","source":"Taylor and Francis+NEJM","title":"Thrombectomy within 8 Hours after Symptom Onset in Ischemic Stroke","volume":"372","author":[{"family":"Jovin","given":"Tudor G."},{"family":"Chamorro","given":"Angel"},{"family":"Cobo","given":"Erik"},{"family":"Miquel","given":"María A.","dropping-particle":"de"},{"family":"Molina","given":"Carlos A."},{"family":"Rovira","given":"Alex"},{"family":"Román","given":"Luis San"},{"family":"Serena","given":"Joaquín"},{"family":"Abilleira","given":"Sonia"},{"family":"Ribó","given":"Marc"},{"family":"Millán","given":"Mònica"},{"family":"Urra","given":"Xabier"},{"family":"Cardona","given":"Pere"},{"family":"López-Cancio","given":"Elena"},{"family":"Tomasello","given":"Alejandro"},{"family":"Castaño","given":"Carlos"},{"family":"Blasco","given":"Jordi"},{"family":"Aja","given":"Lucía"},{"family":"Dorado","given":"Laura"},{"family":"Quesada","given":"Helena"},{"family":"Rubiera","given":"Marta"},{"family":"Hernandez-Pérez","given":"María"},{"family":"Goyal","given":"Mayank"},{"family":"Demchuk","given":"Andrew M."},{"family":"Kummer","given":"Rüdiger","dropping-particle":"von"},{"family":"Gallofré","given":"Miquel"},{"family":"Dávalos","given":"Antoni"}],"issued":{"date-parts":[["2015",6,11]]}},"label":"page"},{"id":1160,"uris":["http://zotero.org/users/local/mfHf28QG/items/M7ITABR2"],"itemData":{"id":1160,"type":"article-journal","abstract":"Background and Purpose— The goal of this study was to assess the specific influence of stroke etiology on rehabilitation results.Methods— This was a case-control study of 270 inpatients with sequelae of first stroke who were enrolled in homogeneous subgroups and matched for stroke severity, basal disability, age (within 1 year), sex, and onset admission interval (within 3 days) who were different only in terms of stroke origin, infarction versus hemorrhage. We compared the groups’ length of stay, efficiency and effectiveness of treatment, and percentage of low and high responder patients. Odds ratios of dropouts and of low and high therapeutic response were also quantified.Results— Compared with ischemic patients, hemorrhagic patients had significantly higher Canadian Neurological Scale and Rivermead Mobility Index scores at discharge; higher effectiveness and efficiency on the Canadian Neurological Scale, Barthel Index, and Rivermead Mobility Index; and a higher percentage of high responders on the Barthel Index. Hemorrhagic patients showed a probability of a high therapeutic response on the Barthel Index that was ≈2.5 times greater than that of ischemic patients (odds ratio, 2.48; 95% confidence interval, 1.19 to 5.20; accuracy on prediction, 87.06%).Conclusions— The results of this study provide further evidence of better functional prognosis in stroke survivors with hemorrhagic stroke.","container-title":"Stroke","DOI":"10.1161/01.STR.0000102902.39759.D3","issue":"12","note":"publisher: American Heart Association","page":"2861-2865","source":"ahajournals.org (Atypon)","title":"Functional Outcome of Ischemic and Hemorrhagic Stroke Patients After Inpatient Rehabilitation","volume":"34","author":[{"family":"Paolucci","given":"Stefano"},{"family":"Antonucci","given":"Gabriella"},{"family":"Grasso","given":"Maria Grazia"},{"family":"Bragoni","given":"Maura"},{"family":"Coiro","given":"Paola"},{"family":"De Angelis","given":"Domenico"},{"family":"Fusco","given":"Francesca Romana"},{"family":"Morelli","given":"Daniela"},{"family":"Venturiero","given":"Vincenzo"},{"family":"Troisi","given":"Elio"},{"family":"Pratesi","given":"Luca"}],"issued":{"date-parts":[["2003",12]]}},"label":"page"}],"schema":"https://github.com/citation-style-language/schema/raw/master/csl-citation.json"} </w:instrText>
      </w:r>
      <w:r w:rsidR="00AC661D" w:rsidRPr="00A831E7">
        <w:rPr>
          <w:rFonts w:eastAsia="Calibri"/>
          <w:color w:val="18191B"/>
        </w:rPr>
        <w:fldChar w:fldCharType="separate"/>
      </w:r>
      <w:r w:rsidR="00A952A0" w:rsidRPr="00A831E7">
        <w:rPr>
          <w:rFonts w:eastAsia="Calibri"/>
        </w:rPr>
        <w:t>[2], [4], [5], [6]</w:t>
      </w:r>
      <w:r w:rsidR="00AC661D" w:rsidRPr="00A831E7">
        <w:rPr>
          <w:rFonts w:eastAsia="Calibri"/>
          <w:color w:val="18191B"/>
        </w:rPr>
        <w:fldChar w:fldCharType="end"/>
      </w:r>
      <w:r w:rsidR="001E53CA" w:rsidRPr="00A831E7">
        <w:rPr>
          <w:rFonts w:eastAsia="Calibri"/>
          <w:color w:val="18191B"/>
        </w:rPr>
        <w:t>.</w:t>
      </w:r>
      <w:r w:rsidR="007D4CA8" w:rsidRPr="00A831E7">
        <w:rPr>
          <w:rFonts w:eastAsia="Calibri"/>
          <w:color w:val="18191B"/>
        </w:rPr>
        <w:t xml:space="preserve"> </w:t>
      </w:r>
      <w:r w:rsidR="006B4298" w:rsidRPr="00A831E7">
        <w:rPr>
          <w:rFonts w:eastAsia="Calibri"/>
          <w:color w:val="18191B"/>
        </w:rPr>
        <w:t>Ωστόσο</w:t>
      </w:r>
      <w:r w:rsidR="007A294A" w:rsidRPr="00A831E7">
        <w:rPr>
          <w:rFonts w:eastAsia="Calibri"/>
          <w:color w:val="18191B"/>
        </w:rPr>
        <w:t>,</w:t>
      </w:r>
      <w:r w:rsidR="006B4298" w:rsidRPr="00A831E7">
        <w:rPr>
          <w:rFonts w:eastAsia="Calibri"/>
          <w:color w:val="18191B"/>
        </w:rPr>
        <w:t xml:space="preserve"> τ</w:t>
      </w:r>
      <w:r w:rsidR="00AC661D" w:rsidRPr="00A831E7">
        <w:rPr>
          <w:rFonts w:eastAsia="Calibri"/>
          <w:color w:val="18191B"/>
        </w:rPr>
        <w:t xml:space="preserve">ο χρονικό περιθώριο για παροχή θεραπείας παραμένει μικρό με αποτέλεσμα η έκβαση της ασθένειας να εξαρτάται σε μεγάλο βαθμό από την έγκαιρη διάγνωση και </w:t>
      </w:r>
      <w:r w:rsidR="00A127CC" w:rsidRPr="00A831E7">
        <w:rPr>
          <w:rFonts w:eastAsia="Calibri"/>
          <w:color w:val="18191B"/>
        </w:rPr>
        <w:t>διάκριση του επεισοδίου</w:t>
      </w:r>
      <w:r w:rsidR="00A952A0" w:rsidRPr="00A831E7">
        <w:rPr>
          <w:rFonts w:eastAsia="Calibri"/>
          <w:color w:val="18191B"/>
        </w:rPr>
        <w:t xml:space="preserve"> </w:t>
      </w:r>
      <w:r w:rsidR="00A952A0" w:rsidRPr="00A831E7">
        <w:rPr>
          <w:rFonts w:eastAsia="Calibri"/>
          <w:color w:val="18191B"/>
        </w:rPr>
        <w:fldChar w:fldCharType="begin"/>
      </w:r>
      <w:r w:rsidR="00A952A0" w:rsidRPr="00A831E7">
        <w:rPr>
          <w:rFonts w:eastAsia="Calibri"/>
          <w:color w:val="18191B"/>
        </w:rPr>
        <w:instrText xml:space="preserve"> ADDIN ZOTERO_ITEM CSL_CITATION {"citationID":"uIC1d1MB","properties":{"formattedCitation":"[7], [8]","plainCitation":"[7], [8]","noteIndex":0},"citationItems":[{"id":282,"uris":["http://zotero.org/users/local/mfHf28QG/items/JMCKN5BM"],"itemData":{"id":282,"type":"article-journal","abstract":"Ischemic stroke is a leading cause of morbidity and mortality worldwide, necessitating advancements in early diagnosis and treatment modalities. This review aims to provide an overview of recent advances in the early diagnosis and treatment of ...","container-title":"Galen Medical Journal","DOI":"10.31661/gmj.v12i0.2993","language":"en","note":"PMID: 39430040","page":"1","source":"pmc.ncbi.nlm.nih.gov","title":"A Short Review on Advances in Early Diagnosis and Treatment of Ischemic Stroke","volume":"12","author":[{"family":"Sun","given":"Bin"},{"family":"Wang","given":"Zhigang"}],"issued":{"date-parts":[["2023",8,21]]}},"label":"page","suppress-author":true},{"id":314,"uris":["http://zotero.org/users/local/mfHf28QG/items/LETSEK8W"],"itemData":{"id":314,"type":"article-journal","abstract":"Stroke is a time-critical condition and one of the leading causes of mortality and disability worldwide. To decrease mortality and improve patient outcome by improving access to optimal treatment, there is an emerging need to improve the accuracy of ...","container-title":"BMJ Open","DOI":"10.1136/bmjopen-2022-069660","issue":"5","language":"en","note":"PMID: 37217266","page":"e069660","source":"pmc.ncbi.nlm.nih.gov","title":"Early identification and characterisation of stroke to support prehospital decision-making using artificial intelligence: a scoping review protocol","title-short":"Early identification and characterisation of stroke to support prehospital decision-making using artificial intelligence","volume":"13","author":[{"family":"Jalo","given":"Hoor"},{"family":"Seth","given":"Mattias"},{"family":"Pikkarainen","given":"Minna"},{"family":"Häggström","given":"Ida"},{"family":"Jood","given":"Katarina"},{"family":"Bakidou","given":"Anna"},{"family":"Sjöqvist","given":"Bengt Arne"},{"family":"Candefjord","given":"Stefan"}],"issued":{"date-parts":[["2023",5,22]]}},"label":"page"}],"schema":"https://github.com/citation-style-language/schema/raw/master/csl-citation.json"} </w:instrText>
      </w:r>
      <w:r w:rsidR="00A952A0" w:rsidRPr="00A831E7">
        <w:rPr>
          <w:rFonts w:eastAsia="Calibri"/>
          <w:color w:val="18191B"/>
        </w:rPr>
        <w:fldChar w:fldCharType="separate"/>
      </w:r>
      <w:r w:rsidR="00A952A0" w:rsidRPr="00A831E7">
        <w:rPr>
          <w:rFonts w:eastAsia="Calibri"/>
        </w:rPr>
        <w:t>[7], [8]</w:t>
      </w:r>
      <w:r w:rsidR="00A952A0" w:rsidRPr="00A831E7">
        <w:rPr>
          <w:rFonts w:eastAsia="Calibri"/>
          <w:color w:val="18191B"/>
        </w:rPr>
        <w:fldChar w:fldCharType="end"/>
      </w:r>
      <w:r w:rsidR="00A952A0" w:rsidRPr="00A831E7">
        <w:rPr>
          <w:rFonts w:eastAsia="Calibri"/>
          <w:color w:val="18191B"/>
        </w:rPr>
        <w:t xml:space="preserve">. </w:t>
      </w:r>
    </w:p>
    <w:p w14:paraId="7E14A4E7" w14:textId="284446C0" w:rsidR="001A4529" w:rsidRPr="00A831E7" w:rsidRDefault="00A80467" w:rsidP="00F32EEE">
      <w:pPr>
        <w:spacing w:line="360" w:lineRule="auto"/>
        <w:ind w:firstLine="720"/>
        <w:jc w:val="both"/>
        <w:rPr>
          <w:rFonts w:eastAsia="Calibri"/>
          <w:color w:val="18191B"/>
        </w:rPr>
      </w:pPr>
      <w:r w:rsidRPr="00A831E7">
        <w:rPr>
          <w:rFonts w:eastAsia="Calibri"/>
          <w:color w:val="18191B"/>
        </w:rPr>
        <w:t>Οι πρόσφατες θεραπευτικές εξελίξεις αναδεικνύουν το μείζον θέμα στην αντιμετώπιση τ</w:t>
      </w:r>
      <w:r w:rsidR="00C84402" w:rsidRPr="00A831E7">
        <w:rPr>
          <w:rFonts w:eastAsia="Calibri"/>
          <w:color w:val="18191B"/>
        </w:rPr>
        <w:t>ων εγκεφαλικών επεισοδίων</w:t>
      </w:r>
      <w:r w:rsidRPr="00A831E7">
        <w:rPr>
          <w:rFonts w:eastAsia="Calibri"/>
          <w:color w:val="18191B"/>
        </w:rPr>
        <w:t xml:space="preserve"> που συνοψίζεται σ</w:t>
      </w:r>
      <w:r w:rsidR="00B07C78" w:rsidRPr="00A831E7">
        <w:rPr>
          <w:rFonts w:eastAsia="Calibri"/>
          <w:color w:val="18191B"/>
        </w:rPr>
        <w:t>τα εξής</w:t>
      </w:r>
      <w:r w:rsidRPr="00A831E7">
        <w:rPr>
          <w:rFonts w:eastAsia="Calibri"/>
          <w:color w:val="18191B"/>
        </w:rPr>
        <w:t xml:space="preserve"> σημεία: την ταχεία και έγκαιρη μεταφορά σε εξειδικευμένο κέντρο, την ταχεία </w:t>
      </w:r>
      <w:r w:rsidR="00B07C78" w:rsidRPr="00A831E7">
        <w:rPr>
          <w:rFonts w:eastAsia="Calibri"/>
          <w:color w:val="18191B"/>
        </w:rPr>
        <w:t>διάγνωση</w:t>
      </w:r>
      <w:r w:rsidRPr="00A831E7">
        <w:rPr>
          <w:rFonts w:eastAsia="Calibri"/>
          <w:color w:val="18191B"/>
        </w:rPr>
        <w:t>, την ταχεία εφαρμογή γενικών υποστηρικτικών μέτρων και ιδίως την εφαρμογή θεραπευτικών προσεγγίσεων τις 3</w:t>
      </w:r>
      <w:r w:rsidR="00483326" w:rsidRPr="00A831E7">
        <w:rPr>
          <w:rFonts w:eastAsia="Calibri"/>
          <w:color w:val="18191B"/>
        </w:rPr>
        <w:t xml:space="preserve"> με </w:t>
      </w:r>
      <w:r w:rsidRPr="00A831E7">
        <w:rPr>
          <w:rFonts w:eastAsia="Calibri"/>
          <w:color w:val="18191B"/>
        </w:rPr>
        <w:t xml:space="preserve">6 πρώτες ώρες. </w:t>
      </w:r>
      <w:r w:rsidR="00B07C78" w:rsidRPr="00A831E7">
        <w:rPr>
          <w:rFonts w:eastAsia="Calibri"/>
          <w:color w:val="18191B"/>
        </w:rPr>
        <w:t xml:space="preserve">Η πρώτη περίοδος που χαρακτηρίζεται ως </w:t>
      </w:r>
      <w:r w:rsidR="006352F4" w:rsidRPr="00A831E7">
        <w:rPr>
          <w:rFonts w:eastAsia="Calibri"/>
          <w:color w:val="18191B"/>
        </w:rPr>
        <w:t>προνο</w:t>
      </w:r>
      <w:r w:rsidR="00B07C78" w:rsidRPr="00A831E7">
        <w:rPr>
          <w:rFonts w:eastAsia="Calibri"/>
          <w:color w:val="18191B"/>
        </w:rPr>
        <w:t xml:space="preserve">σοκομειακή είναι εξαιρετικά κρίσιμη αφού εκεί χάνεται συνήθως το πολύτιμο πρώτο τρίωρο </w:t>
      </w:r>
      <w:r w:rsidR="00B07C78" w:rsidRPr="00A831E7">
        <w:rPr>
          <w:rFonts w:eastAsia="Calibri"/>
          <w:color w:val="18191B"/>
        </w:rPr>
        <w:fldChar w:fldCharType="begin"/>
      </w:r>
      <w:r w:rsidR="00B07C78" w:rsidRPr="00A831E7">
        <w:rPr>
          <w:rFonts w:eastAsia="Calibri"/>
          <w:color w:val="18191B"/>
        </w:rPr>
        <w:instrText xml:space="preserve"> ADDIN ZOTERO_ITEM CSL_CITATION {"citationID":"ylRjeZwt","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B07C78" w:rsidRPr="00A831E7">
        <w:rPr>
          <w:rFonts w:eastAsia="Calibri"/>
          <w:color w:val="18191B"/>
        </w:rPr>
        <w:fldChar w:fldCharType="separate"/>
      </w:r>
      <w:r w:rsidR="00B07C78" w:rsidRPr="00A831E7">
        <w:rPr>
          <w:rFonts w:eastAsia="Calibri"/>
        </w:rPr>
        <w:t>[9]</w:t>
      </w:r>
      <w:r w:rsidR="00B07C78" w:rsidRPr="00A831E7">
        <w:rPr>
          <w:rFonts w:eastAsia="Calibri"/>
          <w:color w:val="18191B"/>
        </w:rPr>
        <w:fldChar w:fldCharType="end"/>
      </w:r>
      <w:r w:rsidR="00B07C78" w:rsidRPr="00A831E7">
        <w:rPr>
          <w:rFonts w:eastAsia="Calibri"/>
          <w:color w:val="18191B"/>
        </w:rPr>
        <w:t xml:space="preserve">. </w:t>
      </w:r>
    </w:p>
    <w:p w14:paraId="0EFBB579" w14:textId="71769A47" w:rsidR="00002799" w:rsidRPr="00A831E7" w:rsidRDefault="00BA5CDA" w:rsidP="00A831E7">
      <w:pPr>
        <w:spacing w:line="360" w:lineRule="auto"/>
        <w:ind w:firstLine="720"/>
        <w:jc w:val="both"/>
        <w:rPr>
          <w:rFonts w:eastAsia="Calibri"/>
          <w:color w:val="18191B"/>
        </w:rPr>
      </w:pPr>
      <w:r w:rsidRPr="00A831E7">
        <w:rPr>
          <w:rFonts w:eastAsia="Calibri"/>
          <w:color w:val="18191B"/>
        </w:rPr>
        <w:t>Για να επιτευχθεί διάγνωση στην</w:t>
      </w:r>
      <w:r w:rsidR="001A4529" w:rsidRPr="00A831E7">
        <w:rPr>
          <w:rFonts w:eastAsia="Calibri"/>
          <w:color w:val="18191B"/>
        </w:rPr>
        <w:t xml:space="preserve"> προνοσοκομειακή </w:t>
      </w:r>
      <w:r w:rsidRPr="00A831E7">
        <w:rPr>
          <w:rFonts w:eastAsia="Calibri"/>
          <w:color w:val="18191B"/>
        </w:rPr>
        <w:t>περίοδο πρέπει να εξασφαλισθούν</w:t>
      </w:r>
      <w:r w:rsidR="00A127CC" w:rsidRPr="00A831E7">
        <w:rPr>
          <w:rFonts w:eastAsia="Calibri"/>
          <w:color w:val="18191B"/>
        </w:rPr>
        <w:t>:</w:t>
      </w:r>
      <w:r w:rsidRPr="00A831E7">
        <w:rPr>
          <w:rFonts w:eastAsia="Calibri"/>
          <w:color w:val="18191B"/>
        </w:rPr>
        <w:t xml:space="preserve"> η έγκαιρη ανταπόκριση των υπηρεσιών πρώτων βοηθειών (EMS – Emergency Medical Services), η άρτια εκπαίδευση των διασωστών και EMTs (Emergency Medical Technicians) καθώς και η παροχή σε αυτούς κατάλληλων εργαλείων διάγνωσης</w:t>
      </w:r>
      <w:r w:rsidR="00416C76" w:rsidRPr="00A831E7">
        <w:rPr>
          <w:rFonts w:eastAsia="Calibri"/>
          <w:color w:val="18191B"/>
        </w:rPr>
        <w:t xml:space="preserve"> όπως MSUs (Medical Stroke Unit) , απεικονιστικές συσκευές </w:t>
      </w:r>
      <w:r w:rsidR="00416C76" w:rsidRPr="00A831E7">
        <w:rPr>
          <w:rFonts w:eastAsia="Calibri"/>
          <w:color w:val="18191B"/>
        </w:rPr>
        <w:lastRenderedPageBreak/>
        <w:t>και συσκευές P</w:t>
      </w:r>
      <w:r w:rsidR="007273FF" w:rsidRPr="00A831E7">
        <w:rPr>
          <w:rFonts w:eastAsia="Calibri"/>
          <w:color w:val="18191B"/>
        </w:rPr>
        <w:t>o</w:t>
      </w:r>
      <w:r w:rsidR="00416C76" w:rsidRPr="00A831E7">
        <w:rPr>
          <w:rFonts w:eastAsia="Calibri"/>
          <w:color w:val="18191B"/>
        </w:rPr>
        <w:t xml:space="preserve">CT (Point-of-Care </w:t>
      </w:r>
      <w:r w:rsidR="00A831E7" w:rsidRPr="00A831E7">
        <w:rPr>
          <w:rFonts w:eastAsia="Calibri"/>
          <w:color w:val="18191B"/>
        </w:rPr>
        <w:t>Testing</w:t>
      </w:r>
      <w:r w:rsidR="00416C76" w:rsidRPr="00A831E7">
        <w:rPr>
          <w:rFonts w:eastAsia="Calibri"/>
          <w:color w:val="18191B"/>
        </w:rPr>
        <w:t>). Ανάλογα με το κόστος</w:t>
      </w:r>
      <w:r w:rsidR="00001C61" w:rsidRPr="00A831E7">
        <w:rPr>
          <w:rFonts w:eastAsia="Calibri"/>
          <w:color w:val="18191B"/>
        </w:rPr>
        <w:t xml:space="preserve">, </w:t>
      </w:r>
      <w:r w:rsidR="00416C76" w:rsidRPr="00A831E7">
        <w:rPr>
          <w:rFonts w:eastAsia="Calibri"/>
          <w:color w:val="18191B"/>
        </w:rPr>
        <w:t>τον διαθέσιμο εξοπλισμό</w:t>
      </w:r>
      <w:r w:rsidR="00001C61" w:rsidRPr="00A831E7">
        <w:rPr>
          <w:rFonts w:eastAsia="Calibri"/>
          <w:color w:val="18191B"/>
        </w:rPr>
        <w:t xml:space="preserve"> αλλά και τον διαθέσιμο εναπομείναντα χρόνο για διάγνωση,</w:t>
      </w:r>
      <w:r w:rsidR="00416C76" w:rsidRPr="00A831E7">
        <w:rPr>
          <w:rFonts w:eastAsia="Calibri"/>
          <w:color w:val="18191B"/>
        </w:rPr>
        <w:t xml:space="preserve"> προκύπτουν επιπλέον διαγνωστικές μέθοδοι, είτε απεικονιστικές είτε μέσω βιοδεικτών. </w:t>
      </w:r>
      <w:r w:rsidR="00001C61" w:rsidRPr="00A831E7">
        <w:rPr>
          <w:rFonts w:eastAsia="Calibri"/>
          <w:color w:val="18191B"/>
        </w:rPr>
        <w:t>Λόγω των περιορισμών χρόνου και κόστους η αξιοποίηση βιοδεικτών σε εφαρμογές P</w:t>
      </w:r>
      <w:r w:rsidR="007273FF" w:rsidRPr="00A831E7">
        <w:rPr>
          <w:rFonts w:eastAsia="Calibri"/>
          <w:color w:val="18191B"/>
        </w:rPr>
        <w:t>o</w:t>
      </w:r>
      <w:r w:rsidR="00001C61" w:rsidRPr="00A831E7">
        <w:rPr>
          <w:rFonts w:eastAsia="Calibri"/>
          <w:color w:val="18191B"/>
        </w:rPr>
        <w:t>C αποτελεί ιδανική λύση</w:t>
      </w:r>
      <w:r w:rsidR="00002799" w:rsidRPr="00A831E7">
        <w:rPr>
          <w:rFonts w:eastAsia="Calibri"/>
          <w:color w:val="18191B"/>
        </w:rPr>
        <w:t xml:space="preserve"> </w:t>
      </w:r>
      <w:r w:rsidR="00002799" w:rsidRPr="00A831E7">
        <w:rPr>
          <w:rFonts w:eastAsia="Calibri"/>
          <w:color w:val="18191B"/>
        </w:rPr>
        <w:fldChar w:fldCharType="begin"/>
      </w:r>
      <w:r w:rsidR="00002799" w:rsidRPr="00A831E7">
        <w:rPr>
          <w:rFonts w:eastAsia="Calibri"/>
          <w:color w:val="18191B"/>
        </w:rPr>
        <w:instrText xml:space="preserve"> ADDIN ZOTERO_ITEM CSL_CITATION {"citationID":"MFLi56ro","properties":{"formattedCitation":"[10]","plainCitation":"[10]","noteIndex":0},"citationItems":[{"id":1084,"uris":["http://zotero.org/users/local/mfHf28QG/items/UDN8SAAT"],"itemData":{"id":1084,"type":"article-journal","abstract":"Rapid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Van"}],"issued":{"date-parts":[["2020",1,24]]}},"suppress-author":true}],"schema":"https://github.com/citation-style-language/schema/raw/master/csl-citation.json"} </w:instrText>
      </w:r>
      <w:r w:rsidR="00002799" w:rsidRPr="00A831E7">
        <w:rPr>
          <w:rFonts w:eastAsia="Calibri"/>
          <w:color w:val="18191B"/>
        </w:rPr>
        <w:fldChar w:fldCharType="separate"/>
      </w:r>
      <w:r w:rsidR="00002799" w:rsidRPr="00A831E7">
        <w:rPr>
          <w:rFonts w:eastAsia="Calibri"/>
        </w:rPr>
        <w:t>[10]</w:t>
      </w:r>
      <w:r w:rsidR="00002799" w:rsidRPr="00A831E7">
        <w:rPr>
          <w:rFonts w:eastAsia="Calibri"/>
          <w:color w:val="18191B"/>
        </w:rPr>
        <w:fldChar w:fldCharType="end"/>
      </w:r>
      <w:r w:rsidR="00001C61" w:rsidRPr="00A831E7">
        <w:rPr>
          <w:rFonts w:eastAsia="Calibri"/>
          <w:color w:val="18191B"/>
        </w:rPr>
        <w:t xml:space="preserve">. </w:t>
      </w:r>
    </w:p>
    <w:p w14:paraId="763858A8" w14:textId="034B3C82" w:rsidR="001A4529" w:rsidRPr="00A831E7" w:rsidRDefault="00001C61" w:rsidP="00F32EEE">
      <w:pPr>
        <w:spacing w:line="360" w:lineRule="auto"/>
        <w:ind w:firstLine="720"/>
        <w:jc w:val="both"/>
        <w:rPr>
          <w:rFonts w:eastAsia="Calibri"/>
          <w:color w:val="18191B"/>
        </w:rPr>
      </w:pPr>
      <w:r w:rsidRPr="00A831E7">
        <w:rPr>
          <w:rFonts w:eastAsia="Calibri"/>
          <w:color w:val="18191B"/>
        </w:rPr>
        <w:t>Ανάμεσα στην πληθώρα βιοδεικτών που έχουν εξεταστεί και μελετηθεί στη βιβλιογραφία</w:t>
      </w:r>
      <w:r w:rsidR="00394846" w:rsidRPr="00A831E7">
        <w:rPr>
          <w:rFonts w:eastAsia="Calibri"/>
          <w:color w:val="18191B"/>
        </w:rPr>
        <w:t xml:space="preserve"> για διάγνωση του </w:t>
      </w:r>
      <w:r w:rsidR="00C84402" w:rsidRPr="00A831E7">
        <w:rPr>
          <w:rFonts w:eastAsia="Calibri"/>
          <w:color w:val="18191B"/>
        </w:rPr>
        <w:t>εγκεφαλικού επεισοδίου</w:t>
      </w:r>
      <w:r w:rsidR="00394846" w:rsidRPr="00A831E7">
        <w:rPr>
          <w:rFonts w:eastAsia="Calibri"/>
          <w:color w:val="18191B"/>
        </w:rPr>
        <w:t>,</w:t>
      </w:r>
      <w:r w:rsidRPr="00A831E7">
        <w:rPr>
          <w:rFonts w:eastAsia="Calibri"/>
          <w:color w:val="18191B"/>
        </w:rPr>
        <w:t xml:space="preserve"> ξεχωρίζουν </w:t>
      </w:r>
      <w:r w:rsidR="00002799" w:rsidRPr="00A831E7">
        <w:rPr>
          <w:rFonts w:eastAsia="Calibri"/>
          <w:color w:val="18191B"/>
        </w:rPr>
        <w:t>τα εξωκυτταρικά κυστίδια (Extracellular Vesicles</w:t>
      </w:r>
      <w:r w:rsidR="00483326" w:rsidRPr="00A831E7">
        <w:rPr>
          <w:rFonts w:eastAsia="Calibri"/>
          <w:color w:val="18191B"/>
        </w:rPr>
        <w:t>, EVs</w:t>
      </w:r>
      <w:r w:rsidR="00002799" w:rsidRPr="00A831E7">
        <w:rPr>
          <w:rFonts w:eastAsia="Calibri"/>
          <w:color w:val="18191B"/>
        </w:rPr>
        <w:t>).</w:t>
      </w:r>
      <w:r w:rsidR="00394846" w:rsidRPr="00A831E7">
        <w:rPr>
          <w:rFonts w:eastAsia="Calibri"/>
          <w:color w:val="18191B"/>
        </w:rPr>
        <w:t xml:space="preserve"> Παρουσιάζουν ιδιαίτερο ενδιαφέρον λόγω της σταθερότητας τους στο αίμα, της ικανότητας τους να </w:t>
      </w:r>
      <w:r w:rsidR="00E06B14">
        <w:rPr>
          <w:rFonts w:eastAsia="Calibri"/>
          <w:color w:val="18191B"/>
        </w:rPr>
        <w:t xml:space="preserve">μεταφέρουν πληροφορία μέσα </w:t>
      </w:r>
      <w:r w:rsidR="002F0951">
        <w:rPr>
          <w:rFonts w:eastAsia="Calibri"/>
          <w:color w:val="18191B"/>
        </w:rPr>
        <w:t>από</w:t>
      </w:r>
      <w:r w:rsidR="00394846" w:rsidRPr="00A831E7">
        <w:rPr>
          <w:rFonts w:eastAsia="Calibri"/>
          <w:color w:val="18191B"/>
        </w:rPr>
        <w:t xml:space="preserve"> τον αιματοεγκεφαλικό φραγμό (BBB)</w:t>
      </w:r>
      <w:r w:rsidR="005C5026">
        <w:rPr>
          <w:rFonts w:eastAsia="Calibri"/>
          <w:color w:val="18191B"/>
        </w:rPr>
        <w:t xml:space="preserve"> – όσο αυτός είναι άθικτος –</w:t>
      </w:r>
      <w:r w:rsidR="00394846" w:rsidRPr="00A831E7">
        <w:rPr>
          <w:rFonts w:eastAsia="Calibri"/>
          <w:color w:val="18191B"/>
        </w:rPr>
        <w:t xml:space="preserve"> και της μοναδικότητάς τους όσον αφορά τις επιφανειακές πρωτεΐνες και το</w:t>
      </w:r>
      <w:r w:rsidR="00E14525" w:rsidRPr="00A831E7">
        <w:rPr>
          <w:rFonts w:eastAsia="Calibri"/>
          <w:color w:val="18191B"/>
        </w:rPr>
        <w:t xml:space="preserve"> </w:t>
      </w:r>
      <w:r w:rsidR="00394846" w:rsidRPr="00A831E7">
        <w:rPr>
          <w:rFonts w:eastAsia="Calibri"/>
          <w:color w:val="18191B"/>
        </w:rPr>
        <w:t xml:space="preserve">φορτίο τους </w:t>
      </w:r>
      <w:r w:rsidR="00394846" w:rsidRPr="00A831E7">
        <w:rPr>
          <w:rFonts w:eastAsia="Calibri"/>
          <w:color w:val="18191B"/>
        </w:rPr>
        <w:fldChar w:fldCharType="begin"/>
      </w:r>
      <w:r w:rsidR="00394846" w:rsidRPr="00A831E7">
        <w:rPr>
          <w:rFonts w:eastAsia="Calibri"/>
          <w:color w:val="18191B"/>
        </w:rPr>
        <w:instrText xml:space="preserve"> ADDIN ZOTERO_ITEM CSL_CITATION {"citationID":"dSTRkJai","properties":{"formattedCitation":"[11]","plainCitation":"[11]","noteIndex":0},"citationItems":[{"id":127,"uris":["http://zotero.org/users/local/mfHf28QG/items/NIFKWPSY"],"itemData":{"id":127,"type":"article-journal","abstract":"There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Ryun"}],"issued":{"date-parts":[["2020",7,28]]}},"suppress-author":true}],"schema":"https://github.com/citation-style-language/schema/raw/master/csl-citation.json"} </w:instrText>
      </w:r>
      <w:r w:rsidR="00394846" w:rsidRPr="00A831E7">
        <w:rPr>
          <w:rFonts w:eastAsia="Calibri"/>
          <w:color w:val="18191B"/>
        </w:rPr>
        <w:fldChar w:fldCharType="separate"/>
      </w:r>
      <w:r w:rsidR="00394846" w:rsidRPr="00A831E7">
        <w:rPr>
          <w:rFonts w:eastAsia="Calibri"/>
        </w:rPr>
        <w:t>[11]</w:t>
      </w:r>
      <w:r w:rsidR="00394846" w:rsidRPr="00A831E7">
        <w:rPr>
          <w:rFonts w:eastAsia="Calibri"/>
          <w:color w:val="18191B"/>
        </w:rPr>
        <w:fldChar w:fldCharType="end"/>
      </w:r>
      <w:r w:rsidR="00394846" w:rsidRPr="00A831E7">
        <w:rPr>
          <w:rFonts w:eastAsia="Calibri"/>
          <w:color w:val="18191B"/>
        </w:rPr>
        <w:t xml:space="preserve">. </w:t>
      </w:r>
    </w:p>
    <w:p w14:paraId="39583A2A" w14:textId="3DDCE85A" w:rsidR="00BD6DE5" w:rsidRPr="00A831E7" w:rsidRDefault="00BD6DE5" w:rsidP="00F32EEE">
      <w:pPr>
        <w:spacing w:line="360" w:lineRule="auto"/>
        <w:ind w:firstLine="720"/>
        <w:jc w:val="both"/>
        <w:rPr>
          <w:rFonts w:eastAsia="Calibri"/>
          <w:color w:val="18191B"/>
        </w:rPr>
      </w:pPr>
      <w:r w:rsidRPr="00A831E7">
        <w:rPr>
          <w:rFonts w:eastAsia="Calibri"/>
          <w:color w:val="18191B"/>
        </w:rPr>
        <w:t xml:space="preserve">Η </w:t>
      </w:r>
      <w:r w:rsidR="009E35BE" w:rsidRPr="00A831E7">
        <w:rPr>
          <w:rFonts w:eastAsia="Calibri"/>
          <w:color w:val="18191B"/>
        </w:rPr>
        <w:t>αξιοποίηση</w:t>
      </w:r>
      <w:r w:rsidRPr="00A831E7">
        <w:rPr>
          <w:rFonts w:eastAsia="Calibri"/>
          <w:color w:val="18191B"/>
        </w:rPr>
        <w:t xml:space="preserve"> της μηχανικής μάθησης (Machine Learning</w:t>
      </w:r>
      <w:r w:rsidR="00483326" w:rsidRPr="00A831E7">
        <w:rPr>
          <w:rFonts w:eastAsia="Calibri"/>
          <w:color w:val="18191B"/>
        </w:rPr>
        <w:t>,</w:t>
      </w:r>
      <w:r w:rsidRPr="00A831E7">
        <w:rPr>
          <w:rFonts w:eastAsia="Calibri"/>
          <w:color w:val="18191B"/>
        </w:rPr>
        <w:t xml:space="preserve"> ML) και της τεχνητής νοημοσύνης (Artificial intelligence</w:t>
      </w:r>
      <w:r w:rsidR="00483326" w:rsidRPr="00A831E7">
        <w:rPr>
          <w:rFonts w:eastAsia="Calibri"/>
          <w:color w:val="18191B"/>
        </w:rPr>
        <w:t>,</w:t>
      </w:r>
      <w:r w:rsidRPr="00A831E7">
        <w:rPr>
          <w:rFonts w:eastAsia="Calibri"/>
          <w:color w:val="18191B"/>
        </w:rPr>
        <w:t xml:space="preserve"> AI) για τη διάγνωση του </w:t>
      </w:r>
      <w:r w:rsidR="00295D95" w:rsidRPr="00A831E7">
        <w:rPr>
          <w:rFonts w:eastAsia="Calibri"/>
          <w:color w:val="18191B"/>
        </w:rPr>
        <w:t>εγκεφαλικού επεισοδίου</w:t>
      </w:r>
      <w:r w:rsidR="009E35BE" w:rsidRPr="00A831E7">
        <w:rPr>
          <w:rFonts w:eastAsia="Calibri"/>
          <w:color w:val="18191B"/>
        </w:rPr>
        <w:t xml:space="preserve"> θα αποδειχθεί στο μέλλον ιδιαίτερα χρήσιμη</w:t>
      </w:r>
      <w:r w:rsidRPr="00A831E7">
        <w:rPr>
          <w:rFonts w:eastAsia="Calibri"/>
          <w:color w:val="18191B"/>
        </w:rPr>
        <w:t xml:space="preserve"> σε εφαρμογές P</w:t>
      </w:r>
      <w:r w:rsidR="007273FF" w:rsidRPr="00A831E7">
        <w:rPr>
          <w:rFonts w:eastAsia="Calibri"/>
          <w:color w:val="18191B"/>
        </w:rPr>
        <w:t>o</w:t>
      </w:r>
      <w:r w:rsidRPr="00A831E7">
        <w:rPr>
          <w:rFonts w:eastAsia="Calibri"/>
          <w:color w:val="18191B"/>
        </w:rPr>
        <w:t>C</w:t>
      </w:r>
      <w:r w:rsidR="00C50298" w:rsidRPr="00A831E7">
        <w:rPr>
          <w:rFonts w:eastAsia="Calibri"/>
          <w:color w:val="18191B"/>
        </w:rPr>
        <w:t xml:space="preserve"> </w:t>
      </w:r>
      <w:r w:rsidR="00C50298" w:rsidRPr="00A831E7">
        <w:rPr>
          <w:rFonts w:eastAsia="Calibri"/>
          <w:color w:val="18191B"/>
        </w:rPr>
        <w:fldChar w:fldCharType="begin"/>
      </w:r>
      <w:r w:rsidR="00C50298" w:rsidRPr="00A831E7">
        <w:rPr>
          <w:rFonts w:eastAsia="Calibri"/>
          <w:color w:val="18191B"/>
        </w:rPr>
        <w:instrText xml:space="preserve"> ADDIN ZOTERO_ITEM CSL_CITATION {"citationID":"atraCWX3","properties":{"formattedCitation":"[12]","plainCitation":"[12]","noteIndex":0},"citationItems":[{"id":266,"uris":["http://zotero.org/users/local/mfHf28QG/items/7WV47UKH"],"itemData":{"id":266,"type":"article-journal","abstract":"Stroke,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00C50298" w:rsidRPr="00A831E7">
        <w:rPr>
          <w:rFonts w:eastAsia="Calibri"/>
          <w:color w:val="18191B"/>
        </w:rPr>
        <w:fldChar w:fldCharType="separate"/>
      </w:r>
      <w:r w:rsidR="00C50298" w:rsidRPr="00A831E7">
        <w:rPr>
          <w:rFonts w:eastAsia="Calibri"/>
        </w:rPr>
        <w:t>[12]</w:t>
      </w:r>
      <w:r w:rsidR="00C50298" w:rsidRPr="00A831E7">
        <w:rPr>
          <w:rFonts w:eastAsia="Calibri"/>
          <w:color w:val="18191B"/>
        </w:rPr>
        <w:fldChar w:fldCharType="end"/>
      </w:r>
      <w:r w:rsidRPr="00A831E7">
        <w:rPr>
          <w:rFonts w:eastAsia="Calibri"/>
          <w:color w:val="18191B"/>
        </w:rPr>
        <w:t xml:space="preserve">. </w:t>
      </w:r>
      <w:r w:rsidR="009E35BE" w:rsidRPr="00A831E7">
        <w:rPr>
          <w:rFonts w:eastAsia="Calibri"/>
          <w:color w:val="18191B"/>
        </w:rPr>
        <w:t>Οι αλγόριθμοι μηχανικής μάθησης συνεισφέρουν</w:t>
      </w:r>
      <w:r w:rsidRPr="00A831E7">
        <w:rPr>
          <w:rFonts w:eastAsia="Calibri"/>
          <w:color w:val="18191B"/>
        </w:rPr>
        <w:t xml:space="preserve"> στη διαγνωστική διαδικασία αξιοποιώντας τεράστιες ποσότητες δεδομένων για τη βελτίωση της ακρίβειας και της ταχύτητας, που είναι κρίσιμες για την ελαχιστοποίηση της εγκεφαλικής ζημιάς και τη</w:t>
      </w:r>
      <w:r w:rsidR="009E35BE" w:rsidRPr="00A831E7">
        <w:rPr>
          <w:rFonts w:eastAsia="Calibri"/>
          <w:color w:val="18191B"/>
        </w:rPr>
        <w:t xml:space="preserve">ν παροχή αποτελεσματικής </w:t>
      </w:r>
      <w:r w:rsidRPr="00A831E7">
        <w:rPr>
          <w:rFonts w:eastAsia="Calibri"/>
          <w:color w:val="18191B"/>
        </w:rPr>
        <w:t xml:space="preserve">θεραπείας. Χρησιμοποιώντας αυτές τις προηγμένες υπολογιστικές τεχνικές, οι ερευνητές μπορούν να εντοπίσουν </w:t>
      </w:r>
      <w:r w:rsidR="002C3E4B">
        <w:rPr>
          <w:rFonts w:eastAsia="Calibri"/>
          <w:color w:val="18191B"/>
        </w:rPr>
        <w:t>μοτίβα</w:t>
      </w:r>
      <w:r w:rsidRPr="00A831E7">
        <w:rPr>
          <w:rFonts w:eastAsia="Calibri"/>
          <w:color w:val="18191B"/>
        </w:rPr>
        <w:t xml:space="preserve"> και βιοδείκτες </w:t>
      </w:r>
      <w:r w:rsidR="009E35BE" w:rsidRPr="00A831E7">
        <w:rPr>
          <w:rFonts w:eastAsia="Calibri"/>
          <w:color w:val="18191B"/>
        </w:rPr>
        <w:t xml:space="preserve">είτε στο αίμα είτε </w:t>
      </w:r>
      <w:r w:rsidRPr="00A831E7">
        <w:rPr>
          <w:rFonts w:eastAsia="Calibri"/>
          <w:color w:val="18191B"/>
        </w:rPr>
        <w:t>μέσα σ</w:t>
      </w:r>
      <w:r w:rsidR="009E35BE" w:rsidRPr="00A831E7">
        <w:rPr>
          <w:rFonts w:eastAsia="Calibri"/>
          <w:color w:val="18191B"/>
        </w:rPr>
        <w:t>ε</w:t>
      </w:r>
      <w:r w:rsidRPr="00A831E7">
        <w:rPr>
          <w:rFonts w:eastAsia="Calibri"/>
          <w:color w:val="18191B"/>
        </w:rPr>
        <w:t xml:space="preserve"> </w:t>
      </w:r>
      <w:r w:rsidR="009E35BE" w:rsidRPr="00A831E7">
        <w:rPr>
          <w:rFonts w:eastAsia="Calibri"/>
          <w:color w:val="18191B"/>
        </w:rPr>
        <w:t xml:space="preserve">εξωκυτταρικά </w:t>
      </w:r>
      <w:r w:rsidR="0006234C" w:rsidRPr="00A831E7">
        <w:rPr>
          <w:rFonts w:eastAsia="Calibri"/>
          <w:color w:val="18191B"/>
        </w:rPr>
        <w:t>κυστίδια</w:t>
      </w:r>
      <w:r w:rsidR="009E35BE" w:rsidRPr="00A831E7">
        <w:rPr>
          <w:rFonts w:eastAsia="Calibri"/>
          <w:color w:val="18191B"/>
        </w:rPr>
        <w:t xml:space="preserve"> (</w:t>
      </w:r>
      <w:r w:rsidRPr="00A831E7">
        <w:rPr>
          <w:rFonts w:eastAsia="Calibri"/>
          <w:color w:val="18191B"/>
        </w:rPr>
        <w:t>EVs</w:t>
      </w:r>
      <w:r w:rsidR="009E35BE" w:rsidRPr="00A831E7">
        <w:rPr>
          <w:rFonts w:eastAsia="Calibri"/>
          <w:color w:val="18191B"/>
        </w:rPr>
        <w:t>)</w:t>
      </w:r>
      <w:r w:rsidR="002C3E4B">
        <w:rPr>
          <w:rFonts w:eastAsia="Calibri"/>
          <w:color w:val="18191B"/>
        </w:rPr>
        <w:t>,</w:t>
      </w:r>
      <w:r w:rsidRPr="00A831E7">
        <w:rPr>
          <w:rFonts w:eastAsia="Calibri"/>
          <w:color w:val="18191B"/>
        </w:rPr>
        <w:t xml:space="preserve"> που </w:t>
      </w:r>
      <w:r w:rsidR="002C3E4B">
        <w:rPr>
          <w:rFonts w:eastAsia="Calibri"/>
          <w:color w:val="18191B"/>
        </w:rPr>
        <w:t>αποτελούν</w:t>
      </w:r>
      <w:r w:rsidRPr="00A831E7">
        <w:rPr>
          <w:rFonts w:eastAsia="Calibri"/>
          <w:color w:val="18191B"/>
        </w:rPr>
        <w:t xml:space="preserve"> ενδε</w:t>
      </w:r>
      <w:r w:rsidR="002C3E4B">
        <w:rPr>
          <w:rFonts w:eastAsia="Calibri"/>
          <w:color w:val="18191B"/>
        </w:rPr>
        <w:t>ίξεις</w:t>
      </w:r>
      <w:r w:rsidRPr="00A831E7">
        <w:rPr>
          <w:rFonts w:eastAsia="Calibri"/>
          <w:color w:val="18191B"/>
        </w:rPr>
        <w:t xml:space="preserve"> ενός εγκεφαλικού επεισοδίου, διευκολύνοντας έτσι την έγκαιρη διάγνωση και παρέμβαση.</w:t>
      </w:r>
    </w:p>
    <w:p w14:paraId="7E2EC0AE" w14:textId="130A0438" w:rsidR="00C7272A" w:rsidRDefault="00B71A41" w:rsidP="00C7272A">
      <w:pPr>
        <w:spacing w:line="360" w:lineRule="auto"/>
        <w:ind w:firstLine="720"/>
        <w:jc w:val="both"/>
        <w:rPr>
          <w:rFonts w:eastAsia="Calibri"/>
        </w:rPr>
      </w:pPr>
      <w:r w:rsidRPr="00A831E7">
        <w:rPr>
          <w:rFonts w:eastAsia="Calibri"/>
        </w:rPr>
        <w:t xml:space="preserve">Σκοπός της εργασίας είναι να εξετάσει </w:t>
      </w:r>
      <w:r w:rsidR="0006234C" w:rsidRPr="00A831E7">
        <w:rPr>
          <w:rFonts w:eastAsia="Calibri"/>
        </w:rPr>
        <w:t xml:space="preserve">τρέχουσες – </w:t>
      </w:r>
      <w:r w:rsidR="003F6BC2" w:rsidRPr="00A831E7">
        <w:rPr>
          <w:rFonts w:eastAsia="Calibri"/>
        </w:rPr>
        <w:softHyphen/>
      </w:r>
      <w:r w:rsidR="003F6BC2" w:rsidRPr="00A831E7">
        <w:rPr>
          <w:rFonts w:eastAsia="Calibri"/>
        </w:rPr>
        <w:softHyphen/>
      </w:r>
      <w:r w:rsidR="003F6BC2" w:rsidRPr="00A831E7">
        <w:rPr>
          <w:rFonts w:eastAsia="Calibri"/>
        </w:rPr>
        <w:softHyphen/>
      </w:r>
      <w:r w:rsidR="003F6BC2" w:rsidRPr="00A831E7">
        <w:rPr>
          <w:rFonts w:eastAsia="Calibri"/>
        </w:rPr>
        <w:softHyphen/>
      </w:r>
      <w:r w:rsidR="00021B80" w:rsidRPr="00A831E7">
        <w:rPr>
          <w:rFonts w:eastAsia="Calibri"/>
        </w:rPr>
        <w:t xml:space="preserve">είτε καθιερωμένες είτε καινοτόμες – </w:t>
      </w:r>
      <w:r w:rsidRPr="00A831E7">
        <w:rPr>
          <w:rFonts w:eastAsia="Calibri"/>
        </w:rPr>
        <w:t>διαγνωστικές μεθόδους,  τον βαθμό ενσωμάτωσης της μηχανικής μάθησης (ML) σε αυτές καθώς και τις τεχνολογίες point-of-care (PoC) στη διάγνωση εγκεφαλικού επεισοδίου, αξιολογώντας την ακρίβεια, την ταχύτητα διάγνωσης και τη δυνατότητα κλινικής εφαρμογής. Μέσω της σύγκρισης</w:t>
      </w:r>
      <w:r w:rsidR="00021B80" w:rsidRPr="00A831E7">
        <w:rPr>
          <w:rFonts w:eastAsia="Calibri"/>
        </w:rPr>
        <w:t xml:space="preserve"> νέων και</w:t>
      </w:r>
      <w:r w:rsidRPr="00A831E7">
        <w:rPr>
          <w:rFonts w:eastAsia="Calibri"/>
        </w:rPr>
        <w:t xml:space="preserve"> παραδοσιακ</w:t>
      </w:r>
      <w:r w:rsidR="00021B80" w:rsidRPr="00A831E7">
        <w:rPr>
          <w:rFonts w:eastAsia="Calibri"/>
        </w:rPr>
        <w:t>ών</w:t>
      </w:r>
      <w:r w:rsidRPr="00A831E7">
        <w:rPr>
          <w:rFonts w:eastAsia="Calibri"/>
        </w:rPr>
        <w:t xml:space="preserve"> μεθόδ</w:t>
      </w:r>
      <w:r w:rsidR="00021B80" w:rsidRPr="00A831E7">
        <w:rPr>
          <w:rFonts w:eastAsia="Calibri"/>
        </w:rPr>
        <w:t>ων</w:t>
      </w:r>
      <w:r w:rsidRPr="00A831E7">
        <w:rPr>
          <w:rFonts w:eastAsia="Calibri"/>
        </w:rPr>
        <w:t>, στοχεύει στην ανάδειξη βέλτιστων πρακτικών που θα βελτιώσουν την πρόγνωση</w:t>
      </w:r>
      <w:r w:rsidR="002C3E4B">
        <w:rPr>
          <w:rFonts w:eastAsia="Calibri"/>
        </w:rPr>
        <w:t xml:space="preserve"> και διάγνωση του εγκεφαλικού επεισοδίου αλλά</w:t>
      </w:r>
      <w:r w:rsidRPr="00A831E7">
        <w:rPr>
          <w:rFonts w:eastAsia="Calibri"/>
        </w:rPr>
        <w:t xml:space="preserve"> και</w:t>
      </w:r>
      <w:r w:rsidR="002C3E4B">
        <w:rPr>
          <w:rFonts w:eastAsia="Calibri"/>
        </w:rPr>
        <w:t xml:space="preserve"> τη</w:t>
      </w:r>
      <w:r w:rsidRPr="00A831E7">
        <w:rPr>
          <w:rFonts w:eastAsia="Calibri"/>
        </w:rPr>
        <w:t xml:space="preserve"> θεραπευτική διαχείριση των ασθενών.</w:t>
      </w:r>
      <w:r w:rsidR="00C7272A">
        <w:rPr>
          <w:rFonts w:eastAsia="Calibri"/>
        </w:rPr>
        <w:br w:type="page"/>
      </w:r>
    </w:p>
    <w:p w14:paraId="0F7EB614" w14:textId="62998EF6" w:rsidR="000634A4" w:rsidRPr="00EB2D8D" w:rsidRDefault="0095245F" w:rsidP="00F32EEE">
      <w:pPr>
        <w:pStyle w:val="1"/>
        <w:spacing w:line="360" w:lineRule="auto"/>
        <w:rPr>
          <w:rFonts w:ascii="Times New Roman" w:hAnsi="Times New Roman" w:cs="Times New Roman"/>
          <w:b/>
          <w:bCs/>
          <w:color w:val="auto"/>
          <w:sz w:val="32"/>
          <w:szCs w:val="32"/>
        </w:rPr>
      </w:pPr>
      <w:bookmarkStart w:id="13" w:name="_Toc66615251"/>
      <w:bookmarkStart w:id="14" w:name="_Toc66615921"/>
      <w:bookmarkStart w:id="15" w:name="_Toc73896041"/>
      <w:bookmarkStart w:id="16" w:name="_Toc103619700"/>
      <w:bookmarkStart w:id="17" w:name="_Toc154923807"/>
      <w:bookmarkStart w:id="18" w:name="_Toc199787377"/>
      <w:bookmarkStart w:id="19" w:name="_Toc199946446"/>
      <w:r w:rsidRPr="00EB2D8D">
        <w:rPr>
          <w:rFonts w:ascii="Times New Roman" w:hAnsi="Times New Roman" w:cs="Times New Roman"/>
          <w:b/>
          <w:bCs/>
          <w:color w:val="auto"/>
          <w:sz w:val="32"/>
          <w:szCs w:val="32"/>
        </w:rPr>
        <w:lastRenderedPageBreak/>
        <w:t>Κεφάλαιο 1:</w:t>
      </w:r>
      <w:bookmarkStart w:id="20" w:name="_Toc66605382"/>
      <w:bookmarkStart w:id="21" w:name="_Toc66615252"/>
      <w:bookmarkEnd w:id="13"/>
      <w:r w:rsidRPr="00EB2D8D">
        <w:rPr>
          <w:rFonts w:ascii="Times New Roman" w:hAnsi="Times New Roman" w:cs="Times New Roman"/>
          <w:b/>
          <w:bCs/>
          <w:color w:val="auto"/>
          <w:sz w:val="32"/>
          <w:szCs w:val="32"/>
        </w:rPr>
        <w:t xml:space="preserve"> </w:t>
      </w:r>
      <w:bookmarkEnd w:id="14"/>
      <w:bookmarkEnd w:id="15"/>
      <w:bookmarkEnd w:id="16"/>
      <w:bookmarkEnd w:id="20"/>
      <w:bookmarkEnd w:id="21"/>
      <w:r w:rsidRPr="00EB2D8D">
        <w:rPr>
          <w:rFonts w:ascii="Times New Roman" w:hAnsi="Times New Roman" w:cs="Times New Roman"/>
          <w:b/>
          <w:bCs/>
          <w:color w:val="auto"/>
          <w:sz w:val="32"/>
          <w:szCs w:val="32"/>
        </w:rPr>
        <w:t>Εισαγωγικά στοιχεία και έννοιες</w:t>
      </w:r>
      <w:bookmarkEnd w:id="17"/>
      <w:bookmarkEnd w:id="18"/>
      <w:bookmarkEnd w:id="19"/>
      <w:r w:rsidRPr="00EB2D8D">
        <w:rPr>
          <w:rFonts w:ascii="Times New Roman" w:hAnsi="Times New Roman" w:cs="Times New Roman"/>
          <w:b/>
          <w:bCs/>
          <w:color w:val="auto"/>
          <w:sz w:val="32"/>
          <w:szCs w:val="32"/>
        </w:rPr>
        <w:t xml:space="preserve"> </w:t>
      </w:r>
    </w:p>
    <w:p w14:paraId="30DB6DE7" w14:textId="7185466F" w:rsidR="004A7B4C" w:rsidRPr="00A831E7" w:rsidRDefault="004A7B4C" w:rsidP="00B71A41">
      <w:pPr>
        <w:pStyle w:val="2"/>
        <w:spacing w:line="360" w:lineRule="auto"/>
        <w:rPr>
          <w:rFonts w:ascii="Times New Roman" w:eastAsia="Calibri" w:hAnsi="Times New Roman" w:cs="Times New Roman"/>
          <w:b/>
          <w:bCs/>
          <w:i/>
          <w:iCs/>
          <w:color w:val="auto"/>
          <w:sz w:val="28"/>
          <w:szCs w:val="28"/>
        </w:rPr>
      </w:pPr>
      <w:bookmarkStart w:id="22" w:name="_Toc199787378"/>
      <w:bookmarkStart w:id="23" w:name="_Toc199946447"/>
      <w:r w:rsidRPr="00A831E7">
        <w:rPr>
          <w:rFonts w:ascii="Times New Roman" w:eastAsia="Calibri" w:hAnsi="Times New Roman" w:cs="Times New Roman"/>
          <w:b/>
          <w:bCs/>
          <w:i/>
          <w:iCs/>
          <w:color w:val="auto"/>
          <w:sz w:val="28"/>
          <w:szCs w:val="28"/>
        </w:rPr>
        <w:t>1.1 Ορισμός</w:t>
      </w:r>
      <w:bookmarkEnd w:id="22"/>
      <w:bookmarkEnd w:id="23"/>
    </w:p>
    <w:p w14:paraId="0E4D16DA" w14:textId="5363F989" w:rsidR="00C97286" w:rsidRPr="00A831E7" w:rsidRDefault="00C97286" w:rsidP="00F32EEE">
      <w:pPr>
        <w:spacing w:line="360" w:lineRule="auto"/>
        <w:ind w:firstLine="480"/>
        <w:jc w:val="both"/>
        <w:rPr>
          <w:rFonts w:eastAsia="Calibri"/>
        </w:rPr>
      </w:pPr>
      <w:r w:rsidRPr="00A831E7">
        <w:rPr>
          <w:rFonts w:eastAsia="Calibri"/>
        </w:rPr>
        <w:t xml:space="preserve">Το Αγγειακό Εγκεφαλικό Επεισόδιο (ΑΕΕ) αναφέρεται στη διακοπή της αγγειακής κυκλοφορίας στο εγκέφαλο, που προκαλεί άμεση ή έμμεση ζημιά στον εγκεφαλικό ιστό. </w:t>
      </w:r>
      <w:r w:rsidR="005C1D0B" w:rsidRPr="00A831E7">
        <w:rPr>
          <w:rFonts w:eastAsia="Calibri"/>
        </w:rPr>
        <w:t xml:space="preserve">Αποτελεί </w:t>
      </w:r>
      <w:r w:rsidRPr="00A831E7">
        <w:rPr>
          <w:rFonts w:eastAsia="Calibri"/>
        </w:rPr>
        <w:t>μια από τις κύριες αιτίες θανάτου και μακροχρόνιας αναπηρίας παγκοσμίως.</w:t>
      </w:r>
      <w:r w:rsidR="005C1D0B" w:rsidRPr="00A831E7">
        <w:rPr>
          <w:rFonts w:eastAsia="Calibri"/>
        </w:rPr>
        <w:t xml:space="preserve"> </w:t>
      </w:r>
      <w:r w:rsidRPr="00A831E7">
        <w:rPr>
          <w:rFonts w:eastAsia="Calibri"/>
        </w:rPr>
        <w:t>Εκατομμύρια άνθρωποι επηρεάζονται κάθε χρόνο, με σημαντικές κοινωνικοοικονομικές συνέπειες για τις οικογένειες</w:t>
      </w:r>
      <w:r w:rsidR="005C1D0B" w:rsidRPr="00A831E7">
        <w:rPr>
          <w:rFonts w:eastAsia="Calibri"/>
        </w:rPr>
        <w:t xml:space="preserve"> τους</w:t>
      </w:r>
      <w:r w:rsidRPr="00A831E7">
        <w:rPr>
          <w:rFonts w:eastAsia="Calibri"/>
        </w:rPr>
        <w:t xml:space="preserve"> και τα συστήματα υγείας. Οι επιπτώσεις περιλαμβάνουν σωματική αναπηρία, γνωστικές δυσλειτουργίες και ψυχολογικά προβλήματα, καθιστώντας την έγκαιρη διάγνωση και θεραπεία ζωτικής σημασίας. Η </w:t>
      </w:r>
      <w:r w:rsidR="005C1D0B" w:rsidRPr="00A831E7">
        <w:rPr>
          <w:rFonts w:eastAsia="Calibri"/>
        </w:rPr>
        <w:t>γρήγορη</w:t>
      </w:r>
      <w:r w:rsidRPr="00A831E7">
        <w:rPr>
          <w:rFonts w:eastAsia="Calibri"/>
        </w:rPr>
        <w:t xml:space="preserve"> αντιμετώπιση του ΑΕΕ είναι κρίσιμη για την εξέλιξη της ασθένειας και περιλαμβάνει την άμεση χορήγηση θρομβολυτικών φαρμάκων σε ισχαιμικά εγκεφαλικά επεισόδια, καθώς και την άμεση μεταφορά σε εξειδικευμένα κέντρα αντιμετώπισης. Η αναγνώριση των προειδοποιητικών σημείων</w:t>
      </w:r>
      <w:r w:rsidR="005C1D0B" w:rsidRPr="00A831E7">
        <w:rPr>
          <w:rFonts w:eastAsia="Calibri"/>
        </w:rPr>
        <w:t xml:space="preserve"> και</w:t>
      </w:r>
      <w:r w:rsidRPr="00A831E7">
        <w:rPr>
          <w:rFonts w:eastAsia="Calibri"/>
        </w:rPr>
        <w:t xml:space="preserve"> η ταχεία</w:t>
      </w:r>
      <w:r w:rsidR="005C1D0B" w:rsidRPr="00A831E7">
        <w:rPr>
          <w:rFonts w:eastAsia="Calibri"/>
        </w:rPr>
        <w:t xml:space="preserve"> επέμβαση, </w:t>
      </w:r>
      <w:r w:rsidRPr="00A831E7">
        <w:rPr>
          <w:rFonts w:eastAsia="Calibri"/>
        </w:rPr>
        <w:t>διάγνωση και κατάταξη του ΑΕΕ μπορούν να σώσουν ζωές και να μειώσουν τις μακροπρόθεσμες επιπλοκές.</w:t>
      </w:r>
    </w:p>
    <w:p w14:paraId="7E2DE689" w14:textId="77777777" w:rsidR="00331C3E" w:rsidRPr="00A831E7" w:rsidRDefault="00331C3E" w:rsidP="00F32EEE">
      <w:pPr>
        <w:spacing w:line="360" w:lineRule="auto"/>
        <w:ind w:firstLine="480"/>
        <w:jc w:val="both"/>
        <w:rPr>
          <w:rFonts w:eastAsia="Calibri"/>
        </w:rPr>
      </w:pPr>
    </w:p>
    <w:p w14:paraId="5C9D5AC5" w14:textId="4D06CC6F" w:rsidR="000634A4" w:rsidRPr="00A831E7" w:rsidRDefault="00B71763" w:rsidP="00F32EEE">
      <w:pPr>
        <w:pStyle w:val="2"/>
        <w:spacing w:line="360" w:lineRule="auto"/>
        <w:rPr>
          <w:rFonts w:ascii="Times New Roman" w:eastAsia="Calibri" w:hAnsi="Times New Roman" w:cs="Times New Roman"/>
          <w:b/>
          <w:bCs/>
          <w:i/>
          <w:iCs/>
          <w:color w:val="auto"/>
          <w:sz w:val="24"/>
          <w:szCs w:val="24"/>
        </w:rPr>
      </w:pPr>
      <w:bookmarkStart w:id="24" w:name="_Toc199787379"/>
      <w:bookmarkStart w:id="25" w:name="_Toc199946448"/>
      <w:r w:rsidRPr="00A831E7">
        <w:rPr>
          <w:rFonts w:ascii="Times New Roman" w:eastAsia="Calibri" w:hAnsi="Times New Roman" w:cs="Times New Roman"/>
          <w:b/>
          <w:bCs/>
          <w:i/>
          <w:iCs/>
          <w:color w:val="auto"/>
          <w:sz w:val="28"/>
          <w:szCs w:val="28"/>
        </w:rPr>
        <w:t xml:space="preserve">1.2 </w:t>
      </w:r>
      <w:r w:rsidR="000634A4" w:rsidRPr="00A831E7">
        <w:rPr>
          <w:rFonts w:ascii="Times New Roman" w:eastAsia="Calibri" w:hAnsi="Times New Roman" w:cs="Times New Roman"/>
          <w:b/>
          <w:bCs/>
          <w:i/>
          <w:iCs/>
          <w:color w:val="auto"/>
          <w:sz w:val="28"/>
          <w:szCs w:val="28"/>
        </w:rPr>
        <w:t>Επιδημιολογία</w:t>
      </w:r>
      <w:r w:rsidR="001D0B8E" w:rsidRPr="00A831E7">
        <w:rPr>
          <w:rFonts w:ascii="Times New Roman" w:eastAsia="Calibri" w:hAnsi="Times New Roman" w:cs="Times New Roman"/>
          <w:b/>
          <w:bCs/>
          <w:i/>
          <w:iCs/>
          <w:color w:val="auto"/>
          <w:sz w:val="28"/>
          <w:szCs w:val="28"/>
        </w:rPr>
        <w:t xml:space="preserve"> – Κατάταξη ΑΕΕ</w:t>
      </w:r>
      <w:bookmarkEnd w:id="24"/>
      <w:bookmarkEnd w:id="25"/>
    </w:p>
    <w:p w14:paraId="0120CBC3" w14:textId="0C871782" w:rsidR="005D65B7" w:rsidRPr="00A831E7" w:rsidRDefault="000634A4" w:rsidP="00F32EEE">
      <w:pPr>
        <w:spacing w:line="360" w:lineRule="auto"/>
        <w:ind w:firstLine="720"/>
        <w:jc w:val="both"/>
        <w:rPr>
          <w:rFonts w:eastAsia="Calibri"/>
        </w:rPr>
      </w:pPr>
      <w:r w:rsidRPr="00A831E7">
        <w:rPr>
          <w:rFonts w:eastAsia="Calibri"/>
        </w:rPr>
        <w:t>Ο όρος ΑΕΕ είναι μη ειδικός καθ' ότι περιλαμβάνει ετερόκλιτες παθοφυσιολογικές αιτίες όπως εμβολή, θρόμβωση και αιμορραγία</w:t>
      </w:r>
      <w:r w:rsidR="00A42DE1" w:rsidRPr="00A831E7">
        <w:rPr>
          <w:rFonts w:eastAsia="Calibri"/>
        </w:rPr>
        <w:t xml:space="preserve"> </w:t>
      </w:r>
      <w:r w:rsidR="00A42DE1" w:rsidRPr="00A831E7">
        <w:rPr>
          <w:rFonts w:eastAsia="Calibri"/>
          <w:color w:val="18191B"/>
        </w:rPr>
        <w:fldChar w:fldCharType="begin"/>
      </w:r>
      <w:r w:rsidR="00BB3930" w:rsidRPr="00A831E7">
        <w:rPr>
          <w:rFonts w:eastAsia="Calibri"/>
          <w:color w:val="18191B"/>
        </w:rPr>
        <w:instrText xml:space="preserve"> ADDIN ZOTERO_ITEM CSL_CITATION {"citationID":"Rq6wXcus","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A42DE1" w:rsidRPr="00A831E7">
        <w:rPr>
          <w:rFonts w:eastAsia="Calibri"/>
          <w:color w:val="18191B"/>
        </w:rPr>
        <w:fldChar w:fldCharType="separate"/>
      </w:r>
      <w:r w:rsidR="00A42DE1" w:rsidRPr="00A831E7">
        <w:rPr>
          <w:rFonts w:eastAsia="Calibri"/>
        </w:rPr>
        <w:t>[9]</w:t>
      </w:r>
      <w:r w:rsidR="00A42DE1" w:rsidRPr="00A831E7">
        <w:rPr>
          <w:rFonts w:eastAsia="Calibri"/>
          <w:color w:val="18191B"/>
        </w:rPr>
        <w:fldChar w:fldCharType="end"/>
      </w:r>
      <w:r w:rsidR="00A42DE1" w:rsidRPr="00A831E7">
        <w:rPr>
          <w:rFonts w:eastAsia="Calibri"/>
          <w:color w:val="18191B"/>
        </w:rPr>
        <w:t>.</w:t>
      </w:r>
      <w:r w:rsidR="00472EF9" w:rsidRPr="00A831E7">
        <w:t xml:space="preserve"> </w:t>
      </w:r>
      <w:r w:rsidR="00472EF9" w:rsidRPr="00A831E7">
        <w:rPr>
          <w:rFonts w:eastAsia="Calibri"/>
          <w:color w:val="18191B"/>
        </w:rPr>
        <w:t>Το εγκεφαλικό επεισόδιο αναφέρεται στην αιφνίδια νέκρωση εγκεφαλικού ιστού που προκαλείται από την έλλειψη οξυγόνου εξαιτίας κάποιας διαταραχής στην αιματική παροχή. Ένα έμφρακτο είναι η περιοχή του εγκεφάλου που έχει « πεθάνει » λόγω αυτής της έλλειψης οξυγόνου. Υπάρχουν δυο τρόποι με τους οποίους μπορεί να επέλθει νέκρωση εγκεφαλικού ιστού: το ισχαιμικό έμφρακτο, όπου για κάποιο λόγο προκαλείται θρόμβωση ή εμβολή με αποτέλεσμα να μην αιματώνεται μια περιοχή του εγκεφάλου, και το αιμορραγικό έμφρακτο, όπου μια εγκεφαλική αιμορραγία και πάλι προκαλεί ισχαιμία στον εγκέφαλο</w:t>
      </w:r>
      <w:r w:rsidR="009E2148" w:rsidRPr="00A831E7">
        <w:rPr>
          <w:rFonts w:eastAsia="Calibri"/>
          <w:color w:val="18191B"/>
        </w:rPr>
        <w:t>,</w:t>
      </w:r>
      <w:r w:rsidR="00472EF9" w:rsidRPr="00A831E7">
        <w:rPr>
          <w:rFonts w:eastAsia="Calibri"/>
          <w:color w:val="18191B"/>
        </w:rPr>
        <w:t xml:space="preserve"> επιπλέον όμως</w:t>
      </w:r>
      <w:r w:rsidR="009E2148" w:rsidRPr="00A831E7">
        <w:rPr>
          <w:rFonts w:eastAsia="Calibri"/>
          <w:color w:val="18191B"/>
        </w:rPr>
        <w:t>,</w:t>
      </w:r>
      <w:r w:rsidR="00472EF9" w:rsidRPr="00A831E7">
        <w:rPr>
          <w:rFonts w:eastAsia="Calibri"/>
          <w:color w:val="18191B"/>
        </w:rPr>
        <w:t xml:space="preserve"> η παρουσία αίματος στον εγκεφαλικό ιστό επιβαρύνει περαιτέρω την κατάσταση. </w:t>
      </w:r>
      <w:r w:rsidR="00472EF9" w:rsidRPr="00A831E7">
        <w:rPr>
          <w:rFonts w:eastAsia="Calibri"/>
        </w:rPr>
        <w:t>Επομένως τα</w:t>
      </w:r>
      <w:r w:rsidR="00BB3930" w:rsidRPr="00A831E7">
        <w:rPr>
          <w:rFonts w:eastAsia="Calibri"/>
        </w:rPr>
        <w:t xml:space="preserve"> ΑΕΕ μπορούν να ταξινομηθούν σε δύο κύριες κατηγορίες</w:t>
      </w:r>
      <w:r w:rsidR="00E14525" w:rsidRPr="00A831E7">
        <w:rPr>
          <w:rFonts w:eastAsia="Calibri"/>
        </w:rPr>
        <w:t>:</w:t>
      </w:r>
      <w:r w:rsidR="00BB3930" w:rsidRPr="00A831E7">
        <w:rPr>
          <w:rFonts w:eastAsia="Calibri"/>
          <w:b/>
          <w:bCs/>
        </w:rPr>
        <w:t xml:space="preserve"> ισχαιμικά</w:t>
      </w:r>
      <w:r w:rsidR="00BB3930" w:rsidRPr="00A831E7">
        <w:rPr>
          <w:rFonts w:eastAsia="Calibri"/>
        </w:rPr>
        <w:t xml:space="preserve"> και </w:t>
      </w:r>
      <w:r w:rsidR="00BB3930" w:rsidRPr="00A831E7">
        <w:rPr>
          <w:rFonts w:eastAsia="Calibri"/>
          <w:b/>
          <w:bCs/>
        </w:rPr>
        <w:t>αιμορραγικά</w:t>
      </w:r>
      <w:r w:rsidR="00BB3930" w:rsidRPr="00A831E7">
        <w:rPr>
          <w:rFonts w:eastAsia="Calibri"/>
        </w:rPr>
        <w:t>.</w:t>
      </w:r>
      <w:r w:rsidR="00472EF9" w:rsidRPr="00A831E7">
        <w:rPr>
          <w:rFonts w:eastAsia="Calibri"/>
        </w:rPr>
        <w:t xml:space="preserve"> </w:t>
      </w:r>
      <w:r w:rsidR="00BB3930" w:rsidRPr="00A831E7">
        <w:rPr>
          <w:rFonts w:eastAsia="Calibri"/>
        </w:rPr>
        <w:t>Γενικά, τα ισχαιμικά εγκεφαλικά επεισόδια αποτελούν περίπου το 8</w:t>
      </w:r>
      <w:r w:rsidR="00ED7A56" w:rsidRPr="00A831E7">
        <w:rPr>
          <w:rFonts w:eastAsia="Calibri"/>
        </w:rPr>
        <w:t>0</w:t>
      </w:r>
      <w:r w:rsidR="00BB3930" w:rsidRPr="00A831E7">
        <w:rPr>
          <w:rFonts w:eastAsia="Calibri"/>
        </w:rPr>
        <w:t xml:space="preserve">% των περιπτώσεων ΑΕΕ, ενώ τα αιμορραγικά εγκεφαλικά επεισόδια το 20%, αλλά οι πραγματικές αναλογίες των τύπων εγκεφαλικών επεισοδίων </w:t>
      </w:r>
      <w:r w:rsidR="00472EF9" w:rsidRPr="00A831E7">
        <w:rPr>
          <w:rFonts w:eastAsia="Calibri"/>
        </w:rPr>
        <w:t>διαφέρουν ανά</w:t>
      </w:r>
      <w:r w:rsidR="00BB3930" w:rsidRPr="00A831E7">
        <w:rPr>
          <w:rFonts w:eastAsia="Calibri"/>
        </w:rPr>
        <w:t xml:space="preserve"> πληθυσμό </w:t>
      </w:r>
      <w:r w:rsidR="00BB3930" w:rsidRPr="00A831E7">
        <w:rPr>
          <w:rFonts w:eastAsia="Calibri"/>
        </w:rPr>
        <w:fldChar w:fldCharType="begin"/>
      </w:r>
      <w:r w:rsidR="00C50298" w:rsidRPr="00A831E7">
        <w:rPr>
          <w:rFonts w:eastAsia="Calibri"/>
        </w:rPr>
        <w:instrText xml:space="preserve"> ADDIN ZOTERO_ITEM CSL_CITATION {"citationID":"LJ13Qlcs","properties":{"formattedCitation":"[13]","plainCitation":"[13]","noteIndex":0},"citationItems":[{"id":1104,"uris":["http://zotero.org/users/local/mfHf28QG/items/EJ2MW8IJ"],"itemData":{"id":1104,"type":"article-journal","abstract":"Stroke is ranked as the second leading cause of death worldwide with an annual mortality rate of about 5.5 million. Not only does the burden of stroke lie in the high mortality but the high morbidity also results in up to 50% of survivors being chronically disabled. Thus stroke is a disease of immense public health importance with serious economic and social consequences. The public health burden of stroke is set to rise over future decades because of demographic transitions of populations, particularly in developing countries. This paper provides an overview of stroke in the 21st century from a public health perspective.","container-title":"Stroke Research and Treatment","DOI":"10.1155/2018/3238165","ISSN":"2090-8105","journalAbbreviation":"Stroke Res Treat","language":"eng","note":"PMID: 30598741\nPMCID: PMC6288566","page":"3238165","source":"PubMed","title":"Stroke in the 21st Century: A Snapshot of the Burden, Epidemiology, and Quality of Life","title-short":"Stroke in the 21st Century","volume":"2018","author":[{"family":"Donkor","given":"Eric S."}],"issued":{"date-parts":[["2018"]]}},"suppress-author":true}],"schema":"https://github.com/citation-style-language/schema/raw/master/csl-citation.json"} </w:instrText>
      </w:r>
      <w:r w:rsidR="00BB3930" w:rsidRPr="00A831E7">
        <w:rPr>
          <w:rFonts w:eastAsia="Calibri"/>
        </w:rPr>
        <w:fldChar w:fldCharType="separate"/>
      </w:r>
      <w:r w:rsidR="00C50298" w:rsidRPr="00A831E7">
        <w:rPr>
          <w:rFonts w:eastAsia="Calibri"/>
        </w:rPr>
        <w:t>[13]</w:t>
      </w:r>
      <w:r w:rsidR="00BB3930" w:rsidRPr="00A831E7">
        <w:rPr>
          <w:rFonts w:eastAsia="Calibri"/>
        </w:rPr>
        <w:fldChar w:fldCharType="end"/>
      </w:r>
      <w:r w:rsidR="00BB3930" w:rsidRPr="00A831E7">
        <w:rPr>
          <w:rFonts w:eastAsia="Calibri"/>
        </w:rPr>
        <w:t>.</w:t>
      </w:r>
      <w:r w:rsidR="00DB0D8A" w:rsidRPr="00A831E7">
        <w:rPr>
          <w:rFonts w:eastAsia="Calibri"/>
        </w:rPr>
        <w:t xml:space="preserve"> Τα θύματα των αιμορραγικών </w:t>
      </w:r>
      <w:r w:rsidR="00DB0D8A" w:rsidRPr="00A831E7">
        <w:rPr>
          <w:rFonts w:eastAsia="Calibri"/>
        </w:rPr>
        <w:lastRenderedPageBreak/>
        <w:t xml:space="preserve">AEE είναι συχνά νεότερα και το ποσοστό θνησιμότητας είναι υψηλότερο από ό,τι στα ισχαιμικά AEE. Η συνολική πρόγνωση είναι επίσης χειρότερη για όσους έχουν υποστεί αιμορραγικό ΑΕΕ. Η διάκριση μεταξύ αιμορραγικού και ισχαιμικού </w:t>
      </w:r>
      <w:r w:rsidR="00A127CC" w:rsidRPr="00A831E7">
        <w:rPr>
          <w:rFonts w:eastAsia="Calibri"/>
        </w:rPr>
        <w:t>εγκεφαλικού επεισοδίου</w:t>
      </w:r>
      <w:r w:rsidR="00DB0D8A" w:rsidRPr="00A831E7">
        <w:rPr>
          <w:rFonts w:eastAsia="Calibri"/>
        </w:rPr>
        <w:t xml:space="preserve"> είναι επομένως κρίσιμη για τη διαχείριση του και </w:t>
      </w:r>
      <w:r w:rsidR="00C3409E">
        <w:rPr>
          <w:rFonts w:eastAsia="Calibri"/>
        </w:rPr>
        <w:t xml:space="preserve">για </w:t>
      </w:r>
      <w:r w:rsidR="00A127CC" w:rsidRPr="00A831E7">
        <w:rPr>
          <w:rFonts w:eastAsia="Calibri"/>
        </w:rPr>
        <w:t>περεταίρω</w:t>
      </w:r>
      <w:r w:rsidR="00DB0D8A" w:rsidRPr="00A831E7">
        <w:rPr>
          <w:rFonts w:eastAsia="Calibri"/>
        </w:rPr>
        <w:t xml:space="preserve"> θεραπευτικές αποφάσεις </w:t>
      </w:r>
      <w:r w:rsidR="00DB0D8A" w:rsidRPr="00A831E7">
        <w:rPr>
          <w:rFonts w:eastAsia="Calibri"/>
        </w:rPr>
        <w:fldChar w:fldCharType="begin"/>
      </w:r>
      <w:r w:rsidR="00DB0D8A" w:rsidRPr="00A831E7">
        <w:rPr>
          <w:rFonts w:eastAsia="Calibri"/>
        </w:rPr>
        <w:instrText xml:space="preserve"> ADDIN ZOTERO_ITEM CSL_CITATION {"citationID":"s8iBzxRo","properties":{"formattedCitation":"[12]","plainCitation":"[12]","noteIndex":0},"citationItems":[{"id":266,"uris":["http://zotero.org/users/local/mfHf28QG/items/7WV47UKH"],"itemData":{"id":266,"type":"article-journal","abstract":"Stroke,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00DB0D8A" w:rsidRPr="00A831E7">
        <w:rPr>
          <w:rFonts w:eastAsia="Calibri"/>
        </w:rPr>
        <w:fldChar w:fldCharType="separate"/>
      </w:r>
      <w:r w:rsidR="00DB0D8A" w:rsidRPr="00A831E7">
        <w:rPr>
          <w:rFonts w:eastAsia="Calibri"/>
        </w:rPr>
        <w:t>[12]</w:t>
      </w:r>
      <w:r w:rsidR="00DB0D8A" w:rsidRPr="00A831E7">
        <w:rPr>
          <w:rFonts w:eastAsia="Calibri"/>
        </w:rPr>
        <w:fldChar w:fldCharType="end"/>
      </w:r>
      <w:r w:rsidR="00DB0D8A" w:rsidRPr="00A831E7">
        <w:rPr>
          <w:rFonts w:eastAsia="Calibri"/>
        </w:rPr>
        <w:t>.</w:t>
      </w:r>
    </w:p>
    <w:p w14:paraId="041B7B87" w14:textId="77777777" w:rsidR="008A6E9D" w:rsidRPr="00A831E7" w:rsidRDefault="008A6E9D" w:rsidP="008A6E9D">
      <w:pPr>
        <w:spacing w:line="360" w:lineRule="auto"/>
        <w:jc w:val="both"/>
        <w:rPr>
          <w:rFonts w:eastAsia="Calibri"/>
        </w:rPr>
      </w:pPr>
    </w:p>
    <w:p w14:paraId="64E4AFE2" w14:textId="4817E2B8" w:rsidR="00B71763" w:rsidRPr="008F5904" w:rsidRDefault="001F070D" w:rsidP="008F5904">
      <w:pPr>
        <w:pStyle w:val="3"/>
      </w:pPr>
      <w:bookmarkStart w:id="26" w:name="_Toc199787380"/>
      <w:bookmarkStart w:id="27" w:name="_Toc199946449"/>
      <w:r w:rsidRPr="008F5904">
        <w:t>1.2.1 Ισχαιμικά</w:t>
      </w:r>
      <w:r w:rsidR="00B544B4" w:rsidRPr="008F5904">
        <w:t xml:space="preserve"> ΑΕΕ</w:t>
      </w:r>
      <w:bookmarkEnd w:id="26"/>
      <w:bookmarkEnd w:id="27"/>
    </w:p>
    <w:p w14:paraId="2BB73C6B" w14:textId="5F8DC146" w:rsidR="00E45D9F" w:rsidRPr="00A831E7" w:rsidRDefault="005D65B7" w:rsidP="00F32EEE">
      <w:pPr>
        <w:spacing w:line="360" w:lineRule="auto"/>
        <w:ind w:firstLine="720"/>
        <w:jc w:val="both"/>
        <w:rPr>
          <w:rFonts w:eastAsia="Calibri"/>
        </w:rPr>
      </w:pPr>
      <w:r w:rsidRPr="00A831E7">
        <w:rPr>
          <w:rFonts w:eastAsia="Calibri"/>
        </w:rPr>
        <w:t>Στο ισχαιμικό εγκεφαλικό επεισόδιο, η διακοπή της ροής του αίματος στερεί οξυγόνο και θρεπτικές ουσίες από κύτταρα</w:t>
      </w:r>
      <w:r w:rsidR="004F7177" w:rsidRPr="00A831E7">
        <w:rPr>
          <w:rFonts w:eastAsia="Calibri"/>
        </w:rPr>
        <w:t xml:space="preserve"> και με</w:t>
      </w:r>
      <w:r w:rsidRPr="00A831E7">
        <w:rPr>
          <w:rFonts w:eastAsia="Calibri"/>
        </w:rPr>
        <w:t xml:space="preserve"> </w:t>
      </w:r>
      <w:r w:rsidR="004F7177" w:rsidRPr="00A831E7">
        <w:rPr>
          <w:rFonts w:eastAsia="Calibri"/>
        </w:rPr>
        <w:t xml:space="preserve">την </w:t>
      </w:r>
      <w:r w:rsidRPr="00A831E7">
        <w:rPr>
          <w:rFonts w:eastAsia="Calibri"/>
        </w:rPr>
        <w:t>αλληλουχία αντιδράσεων που</w:t>
      </w:r>
      <w:r w:rsidR="004F7177" w:rsidRPr="00A831E7">
        <w:rPr>
          <w:rFonts w:eastAsia="Calibri"/>
        </w:rPr>
        <w:t xml:space="preserve"> προκύπτει</w:t>
      </w:r>
      <w:r w:rsidRPr="00A831E7">
        <w:rPr>
          <w:rFonts w:eastAsia="Calibri"/>
        </w:rPr>
        <w:t xml:space="preserve"> </w:t>
      </w:r>
      <w:r w:rsidR="004F7177" w:rsidRPr="00A831E7">
        <w:rPr>
          <w:rFonts w:eastAsia="Calibri"/>
        </w:rPr>
        <w:t xml:space="preserve">επέρχεται ο </w:t>
      </w:r>
      <w:r w:rsidRPr="00A831E7">
        <w:rPr>
          <w:rFonts w:eastAsia="Calibri"/>
        </w:rPr>
        <w:t>θάνατο</w:t>
      </w:r>
      <w:r w:rsidR="004F7177" w:rsidRPr="00A831E7">
        <w:rPr>
          <w:rFonts w:eastAsia="Calibri"/>
        </w:rPr>
        <w:t>ς</w:t>
      </w:r>
      <w:r w:rsidRPr="00A831E7">
        <w:rPr>
          <w:rFonts w:eastAsia="Calibri"/>
        </w:rPr>
        <w:t xml:space="preserve"> των νευρικών κυττάρων</w:t>
      </w:r>
      <w:r w:rsidR="004F7177" w:rsidRPr="00A831E7">
        <w:rPr>
          <w:rFonts w:eastAsia="Calibri"/>
        </w:rPr>
        <w:t xml:space="preserve"> </w:t>
      </w:r>
      <w:r w:rsidR="004F7177" w:rsidRPr="00A831E7">
        <w:rPr>
          <w:rFonts w:eastAsia="Calibri"/>
        </w:rPr>
        <w:fldChar w:fldCharType="begin"/>
      </w:r>
      <w:r w:rsidR="004F7177" w:rsidRPr="00A831E7">
        <w:rPr>
          <w:rFonts w:eastAsia="Calibri"/>
        </w:rPr>
        <w:instrText xml:space="preserve"> ADDIN ZOTERO_ITEM CSL_CITATION {"citationID":"jBetCRVl","properties":{"formattedCitation":"[11]","plainCitation":"[11]","noteIndex":0},"citationItems":[{"id":127,"uris":["http://zotero.org/users/local/mfHf28QG/items/NIFKWPSY"],"itemData":{"id":127,"type":"article-journal","abstract":"There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Ryun"}],"issued":{"date-parts":[["2020",7,28]]}},"suppress-author":true}],"schema":"https://github.com/citation-style-language/schema/raw/master/csl-citation.json"} </w:instrText>
      </w:r>
      <w:r w:rsidR="004F7177" w:rsidRPr="00A831E7">
        <w:rPr>
          <w:rFonts w:eastAsia="Calibri"/>
        </w:rPr>
        <w:fldChar w:fldCharType="separate"/>
      </w:r>
      <w:r w:rsidR="004F7177" w:rsidRPr="00A831E7">
        <w:rPr>
          <w:rFonts w:eastAsia="Calibri"/>
        </w:rPr>
        <w:t>[11]</w:t>
      </w:r>
      <w:r w:rsidR="004F7177" w:rsidRPr="00A831E7">
        <w:rPr>
          <w:rFonts w:eastAsia="Calibri"/>
        </w:rPr>
        <w:fldChar w:fldCharType="end"/>
      </w:r>
      <w:r w:rsidR="004F7177" w:rsidRPr="00A831E7">
        <w:t xml:space="preserve">. </w:t>
      </w:r>
      <w:r w:rsidR="004F7177" w:rsidRPr="00A831E7">
        <w:rPr>
          <w:rFonts w:eastAsia="Calibri"/>
        </w:rPr>
        <w:t xml:space="preserve">Τα συμπτώματα </w:t>
      </w:r>
      <w:r w:rsidR="00C3409E">
        <w:rPr>
          <w:rFonts w:eastAsia="Calibri"/>
        </w:rPr>
        <w:t xml:space="preserve">που </w:t>
      </w:r>
      <w:r w:rsidR="004F7177" w:rsidRPr="00A831E7">
        <w:rPr>
          <w:rFonts w:eastAsia="Calibri"/>
        </w:rPr>
        <w:t>αντιστοιχούν στην πάσχουσα περιοχή του εγκεφάλου</w:t>
      </w:r>
      <w:r w:rsidR="00E45D9F" w:rsidRPr="00A831E7">
        <w:rPr>
          <w:rFonts w:eastAsia="Calibri"/>
        </w:rPr>
        <w:t xml:space="preserve"> </w:t>
      </w:r>
      <w:r w:rsidR="00C3409E">
        <w:rPr>
          <w:rFonts w:eastAsia="Calibri"/>
        </w:rPr>
        <w:t xml:space="preserve">φαίνονται στον </w:t>
      </w:r>
      <w:r w:rsidR="004F7177" w:rsidRPr="00A831E7">
        <w:rPr>
          <w:rFonts w:eastAsia="Calibri"/>
          <w:i/>
          <w:iCs/>
        </w:rPr>
        <w:t>Πίν</w:t>
      </w:r>
      <w:r w:rsidR="0041003F" w:rsidRPr="00A831E7">
        <w:rPr>
          <w:rFonts w:eastAsia="Calibri"/>
          <w:i/>
          <w:iCs/>
        </w:rPr>
        <w:t xml:space="preserve">ακα </w:t>
      </w:r>
      <w:r w:rsidR="00C3409E">
        <w:rPr>
          <w:rFonts w:eastAsia="Calibri"/>
          <w:i/>
          <w:iCs/>
        </w:rPr>
        <w:t>2</w:t>
      </w:r>
      <w:r w:rsidR="00E45D9F" w:rsidRPr="00A831E7">
        <w:rPr>
          <w:rFonts w:eastAsia="Calibri"/>
        </w:rPr>
        <w:t>. Σύμφωνα με την κατηγοριοποίηση TOAST τα ισχαιμικά ΑΕΕ  χωρίζονται σε:</w:t>
      </w:r>
    </w:p>
    <w:p w14:paraId="50DFF8C6" w14:textId="4633407E" w:rsidR="006F1779" w:rsidRPr="00A831E7" w:rsidRDefault="006F1779" w:rsidP="00F32EEE">
      <w:pPr>
        <w:spacing w:line="360" w:lineRule="auto"/>
        <w:jc w:val="both"/>
        <w:rPr>
          <w:rFonts w:eastAsia="Calibri"/>
        </w:rPr>
      </w:pPr>
      <w:r w:rsidRPr="00A831E7">
        <w:rPr>
          <w:rFonts w:eastAsia="Calibri"/>
        </w:rPr>
        <w:t>•</w:t>
      </w:r>
      <w:r w:rsidR="00A50DA1" w:rsidRPr="00A831E7">
        <w:rPr>
          <w:rFonts w:eastAsia="Calibri"/>
        </w:rPr>
        <w:t xml:space="preserve"> </w:t>
      </w:r>
      <w:r w:rsidR="00ED7A56" w:rsidRPr="00A831E7">
        <w:rPr>
          <w:rFonts w:eastAsia="Calibri"/>
        </w:rPr>
        <w:t xml:space="preserve"> </w:t>
      </w:r>
      <w:r w:rsidRPr="00A831E7">
        <w:rPr>
          <w:rFonts w:eastAsia="Calibri"/>
          <w:b/>
          <w:bCs/>
          <w:i/>
          <w:iCs/>
        </w:rPr>
        <w:t>Εμβολικά ΑΕΕ</w:t>
      </w:r>
      <w:r w:rsidRPr="00A831E7">
        <w:rPr>
          <w:rFonts w:eastAsia="Calibri"/>
        </w:rPr>
        <w:t xml:space="preserve">: </w:t>
      </w:r>
      <w:r w:rsidR="00D476B3" w:rsidRPr="00A831E7">
        <w:rPr>
          <w:rFonts w:eastAsia="Calibri"/>
        </w:rPr>
        <w:t>αποτελούν το</w:t>
      </w:r>
      <w:r w:rsidRPr="00A831E7">
        <w:rPr>
          <w:rFonts w:eastAsia="Calibri"/>
        </w:rPr>
        <w:t xml:space="preserve"> </w:t>
      </w:r>
      <w:r w:rsidR="00D476B3" w:rsidRPr="00A831E7">
        <w:rPr>
          <w:rFonts w:eastAsia="Calibri"/>
        </w:rPr>
        <w:t>30%</w:t>
      </w:r>
      <w:r w:rsidRPr="00A831E7">
        <w:rPr>
          <w:rFonts w:eastAsia="Calibri"/>
        </w:rPr>
        <w:t xml:space="preserve"> των ισχαιμικών ΑΕΕ</w:t>
      </w:r>
      <w:r w:rsidR="00D476B3" w:rsidRPr="00A831E7">
        <w:rPr>
          <w:rFonts w:eastAsia="Calibri"/>
        </w:rPr>
        <w:t xml:space="preserve"> </w:t>
      </w:r>
      <w:r w:rsidR="00D476B3" w:rsidRPr="00A831E7">
        <w:rPr>
          <w:rFonts w:eastAsia="Calibri"/>
        </w:rPr>
        <w:fldChar w:fldCharType="begin"/>
      </w:r>
      <w:r w:rsidR="00C50298" w:rsidRPr="00A831E7">
        <w:rPr>
          <w:rFonts w:eastAsia="Calibri"/>
        </w:rPr>
        <w:instrText xml:space="preserve"> ADDIN ZOTERO_ITEM CSL_CITATION {"citationID":"fNinkvjW","properties":{"formattedCitation":"[14], [15]","plainCitation":"[14], [15]","noteIndex":0},"citationItems":[{"id":1188,"uris":["http://zotero.org/users/local/mfHf28QG/items/IJ6W7D7C"],"itemData":{"id":1188,"type":"article-journal","abstract":"Background and Purpose— The purpose of this study was to determine the incidence, recurrence, and long-term survival rates of ischemic stroke subtypes by a mechanism-based classification scheme (Trial of ORG 10172 in Acute Stroke Treatment, or TOAST).Methods— We identified all 583 residents of the city of Erlangen, Bavaria, Germany, with a first ischemic stroke between 1994 and 1998. Multiple overlapping sources of information were used to ensure completeness of case ascertainment. The cause of ischemic stroke was classified according to the TOAST criteria. Patients were followed up at 3 months and 1 and 2 years after stroke onset.Results— The age-standardized incidence rates for the European population (per 100 000) regarding ischemic stroke subtypes were as follows: cardioembolism, 30.2 (95% CI 25.6 to 35.7); small-artery occlusion, 25.8 (95% CI 21.5 to 30.9); and large-artery atherosclerosis, 15.3 (95% CI 12 to 19.3). When age-adjusted to the European population, the incidence rate for large-artery atherosclerosis was more than twice as high for men than for women (23.6/100 000 versus 9.2/100 000). Two years after onset, patients in the small-artery occlusion subgroup were 3 times more likely to be alive than those with cardioembolism. Ischemic stroke subtype according to the TOAST criteria was a significant predictor for long-term survival, whereas subtype was not a significant predictor of long-term recurrence up to 2 years, both before and after adjustment for age and sex.Conclusions— Epidemiological observational studies that possess wide access to appropriate diagnostic technologies and apply standardized etiologic classifications provide a much better understanding of underlying risk factors for initial stroke, recurrence, and mortality.","container-title":"Stroke","DOI":"10.1161/hs1201.100209","issue":"12","note":"publisher: American Heart Association","page":"2735-2740","source":"ahajournals.org (Atypon)","title":"Epidemiology of Ischemic Stroke Subtypes According to TOAST Criteria","volume":"32","author":[{"family":"Kolominsky-Rabas","given":"Peter L."},{"family":"Weber","given":"Margarete"},{"family":"Gefeller","given":"Olaf"},{"family":"Neundoerfer","given":"Bernhard"},{"family":"Heuschmann","given":"Peter U."}],"issued":{"date-parts":[["2001",12]]}},"label":"page"},{"id":1185,"uris":["http://zotero.org/users/local/mfHf28QG/items/U5JZCIVN"],"itemData":{"id":1185,"type":"article-journal","abstract":"Background: There are few contemporary epidemiological data on stroke for Central Europe. We performed a population-based study evaluating the incidence of stroke, stroke types, and ischemic stroke (IS) subtypes in Brno, the second biggest city in the Czech Republic (CR). Methods: Using the National Registry of Hospitalized Patients, and hospital databases, we identified all patients hospitalized with a stroke diagnosis in Brno hospitals in 2011. For Brno residents with validated stroke diagnosis, we calculated (a) the overall incidence of hospitalized stroke, (b) incidence rates for IS, subarachnoid hemorrhage (SAH) and intracerebral hemorrhage (ICH), and (c) incidence rates for IS subtypes. We calculated the average annual age- and sex-standardized incidence (European Standard Population and World Health Organization), to compare our results with other studies. Results: The overall crude incidence of stroke in Brno was 213/100,000 population. The incidence of stroke for stroke types were as follows: SAH, 6.9; ICH, 26.4; and IS, 180 cases per 100,000 population, respectively. The WHO-standardized annual stroke incidence was 107 for all strokes and 88 for IS, 14.4 for ICH, and 5 for SAH. For IS subtypes, the WHO-standardized incidence was large artery atherosclerosis 25.8, cardioembolism 27.8, lacunar 21.6, other determined etiology 6.2, and undetermined etiology 6.5 cases per 100,000 population. Conclusions: The stroke incidence is lower than that previously reported for the CR and Eastern Europe probably reflecting socioeconomic changes in post-communistic countries in the region. These findings could contribute to stroke prevention strategies and influence health policies.","container-title":"Cerebrovascular Diseases","DOI":"10.1159/000512180","ISSN":"1015-9770","issue":"1","journalAbbreviation":"Cerebrovascular Diseases","page":"54-61","source":"Silverchair","title":"Incidence of Stroke and Ischemic Stroke Subtypes: A Community-Based Study in Brno, Czech Republic","title-short":"Incidence of Stroke and Ischemic Stroke Subtypes","volume":"50","author":[{"family":"Sedova","given":"Petra"},{"family":"Brown","given":"Robert D."},{"family":"Zvolsky","given":"Miroslav"},{"family":"Belaskova","given":"Silvia"},{"family":"Volna","given":"Michaela"},{"family":"Baluchova","given":"Jana"},{"family":"Bednarik","given":"Josef"},{"family":"Mikulik","given":"Robert"}],"issued":{"date-parts":[["2020",12,10]]}},"label":"page"}],"schema":"https://github.com/citation-style-language/schema/raw/master/csl-citation.json"} </w:instrText>
      </w:r>
      <w:r w:rsidR="00D476B3" w:rsidRPr="00A831E7">
        <w:rPr>
          <w:rFonts w:eastAsia="Calibri"/>
        </w:rPr>
        <w:fldChar w:fldCharType="separate"/>
      </w:r>
      <w:r w:rsidR="00C50298" w:rsidRPr="00A831E7">
        <w:rPr>
          <w:rFonts w:eastAsia="Calibri"/>
        </w:rPr>
        <w:t>[14], [15]</w:t>
      </w:r>
      <w:r w:rsidR="00D476B3" w:rsidRPr="00A831E7">
        <w:rPr>
          <w:rFonts w:eastAsia="Calibri"/>
        </w:rPr>
        <w:fldChar w:fldCharType="end"/>
      </w:r>
      <w:r w:rsidRPr="00A831E7">
        <w:rPr>
          <w:rFonts w:eastAsia="Calibri"/>
        </w:rPr>
        <w:t xml:space="preserve">. Είναι καρδιακής ή </w:t>
      </w:r>
      <w:r w:rsidR="00E45D9F" w:rsidRPr="00A831E7">
        <w:rPr>
          <w:rFonts w:eastAsia="Calibri"/>
        </w:rPr>
        <w:t>α</w:t>
      </w:r>
      <w:r w:rsidRPr="00A831E7">
        <w:rPr>
          <w:rFonts w:eastAsia="Calibri"/>
        </w:rPr>
        <w:t xml:space="preserve">ρτηριακής προέλευσης </w:t>
      </w:r>
      <w:r w:rsidRPr="00A831E7">
        <w:rPr>
          <w:rFonts w:eastAsia="Calibri"/>
          <w:i/>
          <w:iCs/>
        </w:rPr>
        <w:t>(Πίν</w:t>
      </w:r>
      <w:r w:rsidR="0041003F" w:rsidRPr="00A831E7">
        <w:rPr>
          <w:rFonts w:eastAsia="Calibri"/>
          <w:i/>
          <w:iCs/>
        </w:rPr>
        <w:t xml:space="preserve">ακας </w:t>
      </w:r>
      <w:r w:rsidR="0011104D" w:rsidRPr="00A831E7">
        <w:rPr>
          <w:rFonts w:eastAsia="Calibri"/>
          <w:i/>
          <w:iCs/>
        </w:rPr>
        <w:t>1</w:t>
      </w:r>
      <w:r w:rsidRPr="00A831E7">
        <w:rPr>
          <w:rFonts w:eastAsia="Calibri"/>
          <w:i/>
          <w:iCs/>
        </w:rPr>
        <w:t>)</w:t>
      </w:r>
      <w:r w:rsidR="00E45D9F" w:rsidRPr="00A831E7">
        <w:rPr>
          <w:rFonts w:eastAsia="Calibri"/>
        </w:rPr>
        <w:t xml:space="preserve"> και</w:t>
      </w:r>
      <w:r w:rsidRPr="00A831E7">
        <w:rPr>
          <w:rFonts w:eastAsia="Calibri"/>
        </w:rPr>
        <w:t xml:space="preserve"> </w:t>
      </w:r>
      <w:r w:rsidR="00E45D9F" w:rsidRPr="00A831E7">
        <w:rPr>
          <w:rFonts w:eastAsia="Calibri"/>
        </w:rPr>
        <w:t>έ</w:t>
      </w:r>
      <w:r w:rsidRPr="00A831E7">
        <w:rPr>
          <w:rFonts w:eastAsia="Calibri"/>
        </w:rPr>
        <w:t>χουν αιφνίδια έναρξη.</w:t>
      </w:r>
      <w:r w:rsidR="00D476B3" w:rsidRPr="00A831E7">
        <w:rPr>
          <w:rFonts w:eastAsia="Calibri"/>
        </w:rPr>
        <w:t xml:space="preserve"> </w:t>
      </w:r>
    </w:p>
    <w:p w14:paraId="54605611" w14:textId="035BF358" w:rsidR="00ED7A56" w:rsidRPr="00A831E7" w:rsidRDefault="006F1779" w:rsidP="00F32EEE">
      <w:pPr>
        <w:spacing w:line="360" w:lineRule="auto"/>
        <w:jc w:val="both"/>
        <w:rPr>
          <w:rFonts w:eastAsia="Calibri"/>
        </w:rPr>
      </w:pPr>
      <w:r w:rsidRPr="00A831E7">
        <w:rPr>
          <w:rFonts w:eastAsia="Calibri"/>
        </w:rPr>
        <w:t xml:space="preserve">• </w:t>
      </w:r>
      <w:r w:rsidR="00ED7A56" w:rsidRPr="00A831E7">
        <w:rPr>
          <w:rFonts w:eastAsia="Calibri"/>
        </w:rPr>
        <w:t xml:space="preserve"> </w:t>
      </w:r>
      <w:r w:rsidRPr="00A831E7">
        <w:rPr>
          <w:rFonts w:eastAsia="Calibri"/>
          <w:b/>
          <w:bCs/>
          <w:i/>
          <w:iCs/>
        </w:rPr>
        <w:t>Θρομβωτικά ΑΕΕ</w:t>
      </w:r>
      <w:r w:rsidR="00ED7A56" w:rsidRPr="00A831E7">
        <w:rPr>
          <w:rFonts w:eastAsia="Calibri"/>
          <w:b/>
          <w:bCs/>
          <w:i/>
          <w:iCs/>
        </w:rPr>
        <w:t xml:space="preserve"> μεγάλων αρτηριών</w:t>
      </w:r>
      <w:r w:rsidR="008E1C54" w:rsidRPr="00A831E7">
        <w:rPr>
          <w:rFonts w:eastAsia="Calibri"/>
          <w:b/>
          <w:bCs/>
          <w:i/>
          <w:iCs/>
        </w:rPr>
        <w:t xml:space="preserve"> (Large Vessel Occlusion – LVO)</w:t>
      </w:r>
      <w:r w:rsidR="00ED7A56" w:rsidRPr="00A831E7">
        <w:rPr>
          <w:rFonts w:eastAsia="Calibri"/>
        </w:rPr>
        <w:t xml:space="preserve"> : </w:t>
      </w:r>
      <w:r w:rsidRPr="00A831E7">
        <w:rPr>
          <w:rFonts w:eastAsia="Calibri"/>
        </w:rPr>
        <w:t xml:space="preserve">αποτελούν το </w:t>
      </w:r>
      <w:r w:rsidR="00202BEE" w:rsidRPr="00A831E7">
        <w:rPr>
          <w:rFonts w:eastAsia="Calibri"/>
        </w:rPr>
        <w:t>15-</w:t>
      </w:r>
      <w:r w:rsidR="00D476B3" w:rsidRPr="00A831E7">
        <w:rPr>
          <w:rFonts w:eastAsia="Calibri"/>
        </w:rPr>
        <w:t>25</w:t>
      </w:r>
      <w:r w:rsidRPr="00A831E7">
        <w:rPr>
          <w:rFonts w:eastAsia="Calibri"/>
        </w:rPr>
        <w:t>% των ισχαιμικών ΑΕΕ</w:t>
      </w:r>
      <w:r w:rsidR="00D476B3" w:rsidRPr="00A831E7">
        <w:rPr>
          <w:rFonts w:eastAsia="Calibri"/>
        </w:rPr>
        <w:t xml:space="preserve"> </w:t>
      </w:r>
      <w:r w:rsidR="00D476B3" w:rsidRPr="00A831E7">
        <w:rPr>
          <w:rFonts w:eastAsia="Calibri"/>
        </w:rPr>
        <w:fldChar w:fldCharType="begin"/>
      </w:r>
      <w:r w:rsidR="00C50298" w:rsidRPr="00A831E7">
        <w:rPr>
          <w:rFonts w:eastAsia="Calibri"/>
        </w:rPr>
        <w:instrText xml:space="preserve"> ADDIN ZOTERO_ITEM CSL_CITATION {"citationID":"eM9FbfNn","properties":{"formattedCitation":"[14], [15]","plainCitation":"[14], [15]","noteIndex":0},"citationItems":[{"id":1188,"uris":["http://zotero.org/users/local/mfHf28QG/items/IJ6W7D7C"],"itemData":{"id":1188,"type":"article-journal","abstract":"Background and Purpose— The purpose of this study was to determine the incidence, recurrence, and long-term survival rates of ischemic stroke subtypes by a mechanism-based classification scheme (Trial of ORG 10172 in Acute Stroke Treatment, or TOAST).Methods— We identified all 583 residents of the city of Erlangen, Bavaria, Germany, with a first ischemic stroke between 1994 and 1998. Multiple overlapping sources of information were used to ensure completeness of case ascertainment. The cause of ischemic stroke was classified according to the TOAST criteria. Patients were followed up at 3 months and 1 and 2 years after stroke onset.Results— The age-standardized incidence rates for the European population (per 100 000) regarding ischemic stroke subtypes were as follows: cardioembolism, 30.2 (95% CI 25.6 to 35.7); small-artery occlusion, 25.8 (95% CI 21.5 to 30.9); and large-artery atherosclerosis, 15.3 (95% CI 12 to 19.3). When age-adjusted to the European population, the incidence rate for large-artery atherosclerosis was more than twice as high for men than for women (23.6/100 000 versus 9.2/100 000). Two years after onset, patients in the small-artery occlusion subgroup were 3 times more likely to be alive than those with cardioembolism. Ischemic stroke subtype according to the TOAST criteria was a significant predictor for long-term survival, whereas subtype was not a significant predictor of long-term recurrence up to 2 years, both before and after adjustment for age and sex.Conclusions— Epidemiological observational studies that possess wide access to appropriate diagnostic technologies and apply standardized etiologic classifications provide a much better understanding of underlying risk factors for initial stroke, recurrence, and mortality.","container-title":"Stroke","DOI":"10.1161/hs1201.100209","issue":"12","note":"publisher: American Heart Association","page":"2735-2740","source":"ahajournals.org (Atypon)","title":"Epidemiology of Ischemic Stroke Subtypes According to TOAST Criteria","volume":"32","author":[{"family":"Kolominsky-Rabas","given":"Peter L."},{"family":"Weber","given":"Margarete"},{"family":"Gefeller","given":"Olaf"},{"family":"Neundoerfer","given":"Bernhard"},{"family":"Heuschmann","given":"Peter U."}],"issued":{"date-parts":[["2001",12]]}},"label":"page"},{"id":1185,"uris":["http://zotero.org/users/local/mfHf28QG/items/U5JZCIVN"],"itemData":{"id":1185,"type":"article-journal","abstract":"Background: There are few contemporary epidemiological data on stroke for Central Europe. We performed a population-based study evaluating the incidence of stroke, stroke types, and ischemic stroke (IS) subtypes in Brno, the second biggest city in the Czech Republic (CR). Methods: Using the National Registry of Hospitalized Patients, and hospital databases, we identified all patients hospitalized with a stroke diagnosis in Brno hospitals in 2011. For Brno residents with validated stroke diagnosis, we calculated (a) the overall incidence of hospitalized stroke, (b) incidence rates for IS, subarachnoid hemorrhage (SAH) and intracerebral hemorrhage (ICH), and (c) incidence rates for IS subtypes. We calculated the average annual age- and sex-standardized incidence (European Standard Population and World Health Organization), to compare our results with other studies. Results: The overall crude incidence of stroke in Brno was 213/100,000 population. The incidence of stroke for stroke types were as follows: SAH, 6.9; ICH, 26.4; and IS, 180 cases per 100,000 population, respectively. The WHO-standardized annual stroke incidence was 107 for all strokes and 88 for IS, 14.4 for ICH, and 5 for SAH. For IS subtypes, the WHO-standardized incidence was large artery atherosclerosis 25.8, cardioembolism 27.8, lacunar 21.6, other determined etiology 6.2, and undetermined etiology 6.5 cases per 100,000 population. Conclusions: The stroke incidence is lower than that previously reported for the CR and Eastern Europe probably reflecting socioeconomic changes in post-communistic countries in the region. These findings could contribute to stroke prevention strategies and influence health policies.","container-title":"Cerebrovascular Diseases","DOI":"10.1159/000512180","ISSN":"1015-9770","issue":"1","journalAbbreviation":"Cerebrovascular Diseases","page":"54-61","source":"Silverchair","title":"Incidence of Stroke and Ischemic Stroke Subtypes: A Community-Based Study in Brno, Czech Republic","title-short":"Incidence of Stroke and Ischemic Stroke Subtypes","volume":"50","author":[{"family":"Sedova","given":"Petra"},{"family":"Brown","given":"Robert D."},{"family":"Zvolsky","given":"Miroslav"},{"family":"Belaskova","given":"Silvia"},{"family":"Volna","given":"Michaela"},{"family":"Baluchova","given":"Jana"},{"family":"Bednarik","given":"Josef"},{"family":"Mikulik","given":"Robert"}],"issued":{"date-parts":[["2020",12,10]]}},"label":"page"}],"schema":"https://github.com/citation-style-language/schema/raw/master/csl-citation.json"} </w:instrText>
      </w:r>
      <w:r w:rsidR="00D476B3" w:rsidRPr="00A831E7">
        <w:rPr>
          <w:rFonts w:eastAsia="Calibri"/>
        </w:rPr>
        <w:fldChar w:fldCharType="separate"/>
      </w:r>
      <w:r w:rsidR="00C50298" w:rsidRPr="00A831E7">
        <w:rPr>
          <w:rFonts w:eastAsia="Calibri"/>
        </w:rPr>
        <w:t>[14], [15]</w:t>
      </w:r>
      <w:r w:rsidR="00D476B3" w:rsidRPr="00A831E7">
        <w:rPr>
          <w:rFonts w:eastAsia="Calibri"/>
        </w:rPr>
        <w:fldChar w:fldCharType="end"/>
      </w:r>
      <w:r w:rsidRPr="00A831E7">
        <w:rPr>
          <w:rFonts w:eastAsia="Calibri"/>
        </w:rPr>
        <w:t>. Οφείλονται κυρίως σε απόσπαση αθηρωματικών πλακών</w:t>
      </w:r>
      <w:r w:rsidR="00ED7A56" w:rsidRPr="00A831E7">
        <w:rPr>
          <w:rFonts w:eastAsia="Calibri"/>
        </w:rPr>
        <w:t xml:space="preserve"> </w:t>
      </w:r>
      <w:r w:rsidR="00ED7A56" w:rsidRPr="00A831E7">
        <w:rPr>
          <w:rFonts w:eastAsia="Calibri"/>
        </w:rPr>
        <w:fldChar w:fldCharType="begin"/>
      </w:r>
      <w:r w:rsidR="00C50298" w:rsidRPr="00A831E7">
        <w:rPr>
          <w:rFonts w:eastAsia="Calibri"/>
        </w:rPr>
        <w:instrText xml:space="preserve"> ADDIN ZOTERO_ITEM CSL_CITATION {"citationID":"sZ9DsnAL","properties":{"formattedCitation":"[13]","plainCitation":"[13]","noteIndex":0},"citationItems":[{"id":1104,"uris":["http://zotero.org/users/local/mfHf28QG/items/EJ2MW8IJ"],"itemData":{"id":1104,"type":"article-journal","abstract":"Stroke is ranked as the second leading cause of death worldwide with an annual mortality rate of about 5.5 million. Not only does the burden of stroke lie in the high mortality but the high morbidity also results in up to 50% of survivors being chronically disabled. Thus stroke is a disease of immense public health importance with serious economic and social consequences. The public health burden of stroke is set to rise over future decades because of demographic transitions of populations, particularly in developing countries. This paper provides an overview of stroke in the 21st century from a public health perspective.","container-title":"Stroke Research and Treatment","DOI":"10.1155/2018/3238165","ISSN":"2090-8105","journalAbbreviation":"Stroke Res Treat","language":"eng","note":"PMID: 30598741\nPMCID: PMC6288566","page":"3238165","source":"PubMed","title":"Stroke in the 21st Century: A Snapshot of the Burden, Epidemiology, and Quality of Life","title-short":"Stroke in the 21st Century","volume":"2018","author":[{"family":"Donkor","given":"Eric S."}],"issued":{"date-parts":[["2018"]]}},"suppress-author":true}],"schema":"https://github.com/citation-style-language/schema/raw/master/csl-citation.json"} </w:instrText>
      </w:r>
      <w:r w:rsidR="00ED7A56" w:rsidRPr="00A831E7">
        <w:rPr>
          <w:rFonts w:eastAsia="Calibri"/>
        </w:rPr>
        <w:fldChar w:fldCharType="separate"/>
      </w:r>
      <w:r w:rsidR="00C50298" w:rsidRPr="00A831E7">
        <w:rPr>
          <w:rFonts w:eastAsia="Calibri"/>
        </w:rPr>
        <w:t>[13]</w:t>
      </w:r>
      <w:r w:rsidR="00ED7A56" w:rsidRPr="00A831E7">
        <w:rPr>
          <w:rFonts w:eastAsia="Calibri"/>
        </w:rPr>
        <w:fldChar w:fldCharType="end"/>
      </w:r>
      <w:r w:rsidRPr="00A831E7">
        <w:rPr>
          <w:rFonts w:eastAsia="Calibri"/>
        </w:rPr>
        <w:t xml:space="preserve">. </w:t>
      </w:r>
    </w:p>
    <w:p w14:paraId="427AB8A9" w14:textId="59D0B654" w:rsidR="00ED7A56" w:rsidRPr="00A831E7" w:rsidRDefault="00ED7A56" w:rsidP="00F32EEE">
      <w:pPr>
        <w:spacing w:line="360" w:lineRule="auto"/>
        <w:jc w:val="both"/>
        <w:rPr>
          <w:rFonts w:eastAsia="Calibri"/>
        </w:rPr>
      </w:pPr>
      <w:r w:rsidRPr="00A831E7">
        <w:rPr>
          <w:rFonts w:eastAsia="Calibri"/>
        </w:rPr>
        <w:t xml:space="preserve">• </w:t>
      </w:r>
      <w:r w:rsidRPr="00A831E7">
        <w:rPr>
          <w:rFonts w:eastAsia="Calibri"/>
          <w:b/>
          <w:bCs/>
          <w:i/>
          <w:iCs/>
        </w:rPr>
        <w:t>Lacunar strokes</w:t>
      </w:r>
      <w:r w:rsidRPr="00A831E7">
        <w:rPr>
          <w:rFonts w:eastAsia="Calibri"/>
        </w:rPr>
        <w:t xml:space="preserve"> (κενοτοπιώδη): αποτελούν το </w:t>
      </w:r>
      <w:r w:rsidR="00202BEE" w:rsidRPr="00A831E7">
        <w:rPr>
          <w:rFonts w:eastAsia="Calibri"/>
        </w:rPr>
        <w:t>20-</w:t>
      </w:r>
      <w:r w:rsidRPr="00A831E7">
        <w:rPr>
          <w:rFonts w:eastAsia="Calibri"/>
        </w:rPr>
        <w:t>25% των ισχαιμικών ΑΕΕ</w:t>
      </w:r>
      <w:r w:rsidR="00657E4A" w:rsidRPr="00A831E7">
        <w:rPr>
          <w:rFonts w:eastAsia="Calibri"/>
        </w:rPr>
        <w:t xml:space="preserve"> και προκαλούνται από θρόμβωση μικρότερων αρτηριών</w:t>
      </w:r>
      <w:r w:rsidR="00202BEE" w:rsidRPr="00A831E7">
        <w:rPr>
          <w:rFonts w:eastAsia="Calibri"/>
        </w:rPr>
        <w:t xml:space="preserve"> </w:t>
      </w:r>
      <w:r w:rsidR="00202BEE" w:rsidRPr="00A831E7">
        <w:rPr>
          <w:rFonts w:eastAsia="Calibri"/>
        </w:rPr>
        <w:fldChar w:fldCharType="begin"/>
      </w:r>
      <w:r w:rsidR="00C50298" w:rsidRPr="00A831E7">
        <w:rPr>
          <w:rFonts w:eastAsia="Calibri"/>
        </w:rPr>
        <w:instrText xml:space="preserve"> ADDIN ZOTERO_ITEM CSL_CITATION {"citationID":"R10Hmdqf","properties":{"formattedCitation":"[13], [14], [15]","plainCitation":"[13], [14], [15]","noteIndex":0},"citationItems":[{"id":1104,"uris":["http://zotero.org/users/local/mfHf28QG/items/EJ2MW8IJ"],"itemData":{"id":1104,"type":"article-journal","abstract":"Stroke is ranked as the second leading cause of death worldwide with an annual mortality rate of about 5.5 million. Not only does the burden of stroke lie in the high mortality but the high morbidity also results in up to 50% of survivors being chronically disabled. Thus stroke is a disease of immense public health importance with serious economic and social consequences. The public health burden of stroke is set to rise over future decades because of demographic transitions of populations, particularly in developing countries. This paper provides an overview of stroke in the 21st century from a public health perspective.","container-title":"Stroke Research and Treatment","DOI":"10.1155/2018/3238165","ISSN":"2090-8105","journalAbbreviation":"Stroke Res Treat","language":"eng","note":"PMID: 30598741\nPMCID: PMC6288566","page":"3238165","source":"PubMed","title":"Stroke in the 21st Century: A Snapshot of the Burden, Epidemiology, and Quality of Life","title-short":"Stroke in the 21st Century","volume":"2018","author":[{"family":"Donkor","given":"Eric S."}],"issued":{"date-parts":[["2018"]]}},"label":"page"},{"id":1188,"uris":["http://zotero.org/users/local/mfHf28QG/items/IJ6W7D7C"],"itemData":{"id":1188,"type":"article-journal","abstract":"Background and Purpose— The purpose of this study was to determine the incidence, recurrence, and long-term survival rates of ischemic stroke subtypes by a mechanism-based classification scheme (Trial of ORG 10172 in Acute Stroke Treatment, or TOAST).Methods— We identified all 583 residents of the city of Erlangen, Bavaria, Germany, with a first ischemic stroke between 1994 and 1998. Multiple overlapping sources of information were used to ensure completeness of case ascertainment. The cause of ischemic stroke was classified according to the TOAST criteria. Patients were followed up at 3 months and 1 and 2 years after stroke onset.Results— The age-standardized incidence rates for the European population (per 100 000) regarding ischemic stroke subtypes were as follows: cardioembolism, 30.2 (95% CI 25.6 to 35.7); small-artery occlusion, 25.8 (95% CI 21.5 to 30.9); and large-artery atherosclerosis, 15.3 (95% CI 12 to 19.3). When age-adjusted to the European population, the incidence rate for large-artery atherosclerosis was more than twice as high for men than for women (23.6/100 000 versus 9.2/100 000). Two years after onset, patients in the small-artery occlusion subgroup were 3 times more likely to be alive than those with cardioembolism. Ischemic stroke subtype according to the TOAST criteria was a significant predictor for long-term survival, whereas subtype was not a significant predictor of long-term recurrence up to 2 years, both before and after adjustment for age and sex.Conclusions— Epidemiological observational studies that possess wide access to appropriate diagnostic technologies and apply standardized etiologic classifications provide a much better understanding of underlying risk factors for initial stroke, recurrence, and mortality.","container-title":"Stroke","DOI":"10.1161/hs1201.100209","issue":"12","note":"publisher: American Heart Association","page":"2735-2740","source":"ahajournals.org (Atypon)","title":"Epidemiology of Ischemic Stroke Subtypes According to TOAST Criteria","volume":"32","author":[{"family":"Kolominsky-Rabas","given":"Peter L."},{"family":"Weber","given":"Margarete"},{"family":"Gefeller","given":"Olaf"},{"family":"Neundoerfer","given":"Bernhard"},{"family":"Heuschmann","given":"Peter U."}],"issued":{"date-parts":[["2001",12]]}},"label":"page"},{"id":1185,"uris":["http://zotero.org/users/local/mfHf28QG/items/U5JZCIVN"],"itemData":{"id":1185,"type":"article-journal","abstract":"Background: There are few contemporary epidemiological data on stroke for Central Europe. We performed a population-based study evaluating the incidence of stroke, stroke types, and ischemic stroke (IS) subtypes in Brno, the second biggest city in the Czech Republic (CR). Methods: Using the National Registry of Hospitalized Patients, and hospital databases, we identified all patients hospitalized with a stroke diagnosis in Brno hospitals in 2011. For Brno residents with validated stroke diagnosis, we calculated (a) the overall incidence of hospitalized stroke, (b) incidence rates for IS, subarachnoid hemorrhage (SAH) and intracerebral hemorrhage (ICH), and (c) incidence rates for IS subtypes. We calculated the average annual age- and sex-standardized incidence (European Standard Population and World Health Organization), to compare our results with other studies. Results: The overall crude incidence of stroke in Brno was 213/100,000 population. The incidence of stroke for stroke types were as follows: SAH, 6.9; ICH, 26.4; and IS, 180 cases per 100,000 population, respectively. The WHO-standardized annual stroke incidence was 107 for all strokes and 88 for IS, 14.4 for ICH, and 5 for SAH. For IS subtypes, the WHO-standardized incidence was large artery atherosclerosis 25.8, cardioembolism 27.8, lacunar 21.6, other determined etiology 6.2, and undetermined etiology 6.5 cases per 100,000 population. Conclusions: The stroke incidence is lower than that previously reported for the CR and Eastern Europe probably reflecting socioeconomic changes in post-communistic countries in the region. These findings could contribute to stroke prevention strategies and influence health policies.","container-title":"Cerebrovascular Diseases","DOI":"10.1159/000512180","ISSN":"1015-9770","issue":"1","journalAbbreviation":"Cerebrovascular Diseases","page":"54-61","source":"Silverchair","title":"Incidence of Stroke and Ischemic Stroke Subtypes: A Community-Based Study in Brno, Czech Republic","title-short":"Incidence of Stroke and Ischemic Stroke Subtypes","volume":"50","author":[{"family":"Sedova","given":"Petra"},{"family":"Brown","given":"Robert D."},{"family":"Zvolsky","given":"Miroslav"},{"family":"Belaskova","given":"Silvia"},{"family":"Volna","given":"Michaela"},{"family":"Baluchova","given":"Jana"},{"family":"Bednarik","given":"Josef"},{"family":"Mikulik","given":"Robert"}],"issued":{"date-parts":[["2020",12,10]]}},"label":"page"}],"schema":"https://github.com/citation-style-language/schema/raw/master/csl-citation.json"} </w:instrText>
      </w:r>
      <w:r w:rsidR="00202BEE" w:rsidRPr="00A831E7">
        <w:rPr>
          <w:rFonts w:eastAsia="Calibri"/>
        </w:rPr>
        <w:fldChar w:fldCharType="separate"/>
      </w:r>
      <w:r w:rsidR="00C50298" w:rsidRPr="00A831E7">
        <w:rPr>
          <w:rFonts w:eastAsia="Calibri"/>
        </w:rPr>
        <w:t>[13], [14], [15]</w:t>
      </w:r>
      <w:r w:rsidR="00202BEE" w:rsidRPr="00A831E7">
        <w:rPr>
          <w:rFonts w:eastAsia="Calibri"/>
        </w:rPr>
        <w:fldChar w:fldCharType="end"/>
      </w:r>
      <w:r w:rsidRPr="00A831E7">
        <w:rPr>
          <w:rFonts w:eastAsia="Calibri"/>
        </w:rPr>
        <w:t>. Χαρακτηρίζονται από αμιγές κινητικό ή αισθητικό έλλειμμα. Οφείλονται στον αποκλεισμό των διατιτραινόντων αγγείων του εξαγώνου του Willis, της βασικής αρτηρίας, της σπονδυλικής αρτηρίας και κλάδων της μέσης εγκεφαλικής αρτηρίας. Το κυριότερο αίτιο εμφάνισής τους είναι η υπερτασική κρίση. Είναι ο τύπος ισχαιμικού ΑΕΕ με την καλύτερη πρόγνωση και έκβαση</w:t>
      </w:r>
      <w:r w:rsidR="00202BEE" w:rsidRPr="00A831E7">
        <w:rPr>
          <w:rFonts w:eastAsia="Calibri"/>
        </w:rPr>
        <w:t xml:space="preserve"> </w:t>
      </w:r>
      <w:r w:rsidR="00202BEE" w:rsidRPr="00A831E7">
        <w:rPr>
          <w:rFonts w:eastAsia="Calibri"/>
        </w:rPr>
        <w:fldChar w:fldCharType="begin"/>
      </w:r>
      <w:r w:rsidR="00202BEE" w:rsidRPr="00A831E7">
        <w:rPr>
          <w:rFonts w:eastAsia="Calibri"/>
        </w:rPr>
        <w:instrText xml:space="preserve"> ADDIN ZOTERO_ITEM CSL_CITATION {"citationID":"WqTCSOkS","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202BEE" w:rsidRPr="00A831E7">
        <w:rPr>
          <w:rFonts w:eastAsia="Calibri"/>
        </w:rPr>
        <w:fldChar w:fldCharType="separate"/>
      </w:r>
      <w:r w:rsidR="00202BEE" w:rsidRPr="00A831E7">
        <w:rPr>
          <w:rFonts w:eastAsia="Calibri"/>
        </w:rPr>
        <w:t>[9]</w:t>
      </w:r>
      <w:r w:rsidR="00202BEE" w:rsidRPr="00A831E7">
        <w:rPr>
          <w:rFonts w:eastAsia="Calibri"/>
        </w:rPr>
        <w:fldChar w:fldCharType="end"/>
      </w:r>
      <w:r w:rsidRPr="00A831E7">
        <w:rPr>
          <w:rFonts w:eastAsia="Calibri"/>
        </w:rPr>
        <w:t>.</w:t>
      </w:r>
    </w:p>
    <w:p w14:paraId="79E78695" w14:textId="1A00974D" w:rsidR="00ED7A56" w:rsidRPr="00A831E7" w:rsidRDefault="00ED7A56" w:rsidP="00F32EEE">
      <w:pPr>
        <w:spacing w:line="360" w:lineRule="auto"/>
        <w:jc w:val="both"/>
        <w:rPr>
          <w:rFonts w:eastAsia="Calibri"/>
        </w:rPr>
      </w:pPr>
      <w:r w:rsidRPr="00A831E7">
        <w:rPr>
          <w:rFonts w:eastAsia="Calibri"/>
        </w:rPr>
        <w:t xml:space="preserve">•  </w:t>
      </w:r>
      <w:r w:rsidRPr="00A831E7">
        <w:rPr>
          <w:rFonts w:eastAsia="Calibri"/>
          <w:b/>
          <w:bCs/>
          <w:i/>
          <w:iCs/>
        </w:rPr>
        <w:t>Κρυπτογενή ΑΕΕ</w:t>
      </w:r>
      <w:r w:rsidRPr="00A831E7">
        <w:rPr>
          <w:rFonts w:eastAsia="Calibri"/>
        </w:rPr>
        <w:t xml:space="preserve"> : προκαλούνται από άγνωστες αιτίες και αποτελούν το 5-10% των ΑΕΕ</w:t>
      </w:r>
      <w:r w:rsidR="00202BEE" w:rsidRPr="00A831E7">
        <w:rPr>
          <w:rFonts w:eastAsia="Calibri"/>
        </w:rPr>
        <w:t xml:space="preserve"> </w:t>
      </w:r>
      <w:r w:rsidR="00202BEE" w:rsidRPr="00A831E7">
        <w:rPr>
          <w:rFonts w:eastAsia="Calibri"/>
        </w:rPr>
        <w:fldChar w:fldCharType="begin"/>
      </w:r>
      <w:r w:rsidR="00C50298" w:rsidRPr="00A831E7">
        <w:rPr>
          <w:rFonts w:eastAsia="Calibri"/>
        </w:rPr>
        <w:instrText xml:space="preserve"> ADDIN ZOTERO_ITEM CSL_CITATION {"citationID":"GQIXn3AC","properties":{"formattedCitation":"[13], [15]","plainCitation":"[13], [15]","noteIndex":0},"citationItems":[{"id":1104,"uris":["http://zotero.org/users/local/mfHf28QG/items/EJ2MW8IJ"],"itemData":{"id":1104,"type":"article-journal","abstract":"Stroke is ranked as the second leading cause of death worldwide with an annual mortality rate of about 5.5 million. Not only does the burden of stroke lie in the high mortality but the high morbidity also results in up to 50% of survivors being chronically disabled. Thus stroke is a disease of immense public health importance with serious economic and social consequences. The public health burden of stroke is set to rise over future decades because of demographic transitions of populations, particularly in developing countries. This paper provides an overview of stroke in the 21st century from a public health perspective.","container-title":"Stroke Research and Treatment","DOI":"10.1155/2018/3238165","ISSN":"2090-8105","journalAbbreviation":"Stroke Res Treat","language":"eng","note":"PMID: 30598741\nPMCID: PMC6288566","page":"3238165","source":"PubMed","title":"Stroke in the 21st Century: A Snapshot of the Burden, Epidemiology, and Quality of Life","title-short":"Stroke in the 21st Century","volume":"2018","author":[{"family":"Donkor","given":"Eric S."}],"issued":{"date-parts":[["2018"]]}},"label":"page"},{"id":1185,"uris":["http://zotero.org/users/local/mfHf28QG/items/U5JZCIVN"],"itemData":{"id":1185,"type":"article-journal","abstract":"Background: There are few contemporary epidemiological data on stroke for Central Europe. We performed a population-based study evaluating the incidence of stroke, stroke types, and ischemic stroke (IS) subtypes in Brno, the second biggest city in the Czech Republic (CR). Methods: Using the National Registry of Hospitalized Patients, and hospital databases, we identified all patients hospitalized with a stroke diagnosis in Brno hospitals in 2011. For Brno residents with validated stroke diagnosis, we calculated (a) the overall incidence of hospitalized stroke, (b) incidence rates for IS, subarachnoid hemorrhage (SAH) and intracerebral hemorrhage (ICH), and (c) incidence rates for IS subtypes. We calculated the average annual age- and sex-standardized incidence (European Standard Population and World Health Organization), to compare our results with other studies. Results: The overall crude incidence of stroke in Brno was 213/100,000 population. The incidence of stroke for stroke types were as follows: SAH, 6.9; ICH, 26.4; and IS, 180 cases per 100,000 population, respectively. The WHO-standardized annual stroke incidence was 107 for all strokes and 88 for IS, 14.4 for ICH, and 5 for SAH. For IS subtypes, the WHO-standardized incidence was large artery atherosclerosis 25.8, cardioembolism 27.8, lacunar 21.6, other determined etiology 6.2, and undetermined etiology 6.5 cases per 100,000 population. Conclusions: The stroke incidence is lower than that previously reported for the CR and Eastern Europe probably reflecting socioeconomic changes in post-communistic countries in the region. These findings could contribute to stroke prevention strategies and influence health policies.","container-title":"Cerebrovascular Diseases","DOI":"10.1159/000512180","ISSN":"1015-9770","issue":"1","journalAbbreviation":"Cerebrovascular Diseases","page":"54-61","source":"Silverchair","title":"Incidence of Stroke and Ischemic Stroke Subtypes: A Community-Based Study in Brno, Czech Republic","title-short":"Incidence of Stroke and Ischemic Stroke Subtypes","volume":"50","author":[{"family":"Sedova","given":"Petra"},{"family":"Brown","given":"Robert D."},{"family":"Zvolsky","given":"Miroslav"},{"family":"Belaskova","given":"Silvia"},{"family":"Volna","given":"Michaela"},{"family":"Baluchova","given":"Jana"},{"family":"Bednarik","given":"Josef"},{"family":"Mikulik","given":"Robert"}],"issued":{"date-parts":[["2020",12,10]]}},"label":"page"}],"schema":"https://github.com/citation-style-language/schema/raw/master/csl-citation.json"} </w:instrText>
      </w:r>
      <w:r w:rsidR="00202BEE" w:rsidRPr="00A831E7">
        <w:rPr>
          <w:rFonts w:eastAsia="Calibri"/>
        </w:rPr>
        <w:fldChar w:fldCharType="separate"/>
      </w:r>
      <w:r w:rsidR="00C50298" w:rsidRPr="00A831E7">
        <w:rPr>
          <w:rFonts w:eastAsia="Calibri"/>
        </w:rPr>
        <w:t>[13], [15]</w:t>
      </w:r>
      <w:r w:rsidR="00202BEE" w:rsidRPr="00A831E7">
        <w:rPr>
          <w:rFonts w:eastAsia="Calibri"/>
        </w:rPr>
        <w:fldChar w:fldCharType="end"/>
      </w:r>
      <w:r w:rsidRPr="00A831E7">
        <w:rPr>
          <w:rFonts w:eastAsia="Calibri"/>
        </w:rPr>
        <w:t>.</w:t>
      </w:r>
    </w:p>
    <w:p w14:paraId="06FEBDDC" w14:textId="1A215B91" w:rsidR="006F1779" w:rsidRPr="00A831E7" w:rsidRDefault="00ED7A56" w:rsidP="00F32EEE">
      <w:pPr>
        <w:spacing w:line="360" w:lineRule="auto"/>
        <w:jc w:val="both"/>
        <w:rPr>
          <w:rFonts w:eastAsia="Calibri"/>
        </w:rPr>
      </w:pPr>
      <w:r w:rsidRPr="00A831E7">
        <w:rPr>
          <w:rFonts w:eastAsia="Calibri"/>
        </w:rPr>
        <w:t xml:space="preserve">•  </w:t>
      </w:r>
      <w:r w:rsidRPr="00A831E7">
        <w:rPr>
          <w:rFonts w:eastAsia="Calibri"/>
          <w:b/>
          <w:bCs/>
          <w:i/>
          <w:iCs/>
        </w:rPr>
        <w:t>ΑΕΕ από άλλες αιτίες</w:t>
      </w:r>
      <w:r w:rsidRPr="00A831E7">
        <w:rPr>
          <w:rFonts w:eastAsia="Calibri"/>
        </w:rPr>
        <w:t xml:space="preserve"> : εξηγούν </w:t>
      </w:r>
      <w:r w:rsidR="00202BEE" w:rsidRPr="00A831E7">
        <w:rPr>
          <w:rFonts w:eastAsia="Calibri"/>
        </w:rPr>
        <w:t>το 5-10%</w:t>
      </w:r>
      <w:r w:rsidRPr="00A831E7">
        <w:rPr>
          <w:rFonts w:eastAsia="Calibri"/>
        </w:rPr>
        <w:t xml:space="preserve"> των ΑΕΕ</w:t>
      </w:r>
      <w:r w:rsidR="00202BEE" w:rsidRPr="00A831E7">
        <w:rPr>
          <w:rFonts w:eastAsia="Calibri"/>
        </w:rPr>
        <w:t xml:space="preserve"> </w:t>
      </w:r>
      <w:r w:rsidR="00202BEE" w:rsidRPr="00A831E7">
        <w:rPr>
          <w:rFonts w:eastAsia="Calibri"/>
        </w:rPr>
        <w:fldChar w:fldCharType="begin"/>
      </w:r>
      <w:r w:rsidR="00C50298" w:rsidRPr="00A831E7">
        <w:rPr>
          <w:rFonts w:eastAsia="Calibri"/>
        </w:rPr>
        <w:instrText xml:space="preserve"> ADDIN ZOTERO_ITEM CSL_CITATION {"citationID":"1YUNyPcF","properties":{"formattedCitation":"[15]","plainCitation":"[15]","noteIndex":0},"citationItems":[{"id":1185,"uris":["http://zotero.org/users/local/mfHf28QG/items/U5JZCIVN"],"itemData":{"id":1185,"type":"article-journal","abstract":"Background: There are few contemporary epidemiological data on stroke for Central Europe. We performed a population-based study evaluating the incidence of stroke, stroke types, and ischemic stroke (IS) subtypes in Brno, the second biggest city in the Czech Republic (CR). Methods: Using the National Registry of Hospitalized Patients, and hospital databases, we identified all patients hospitalized with a stroke diagnosis in Brno hospitals in 2011. For Brno residents with validated stroke diagnosis, we calculated (a) the overall incidence of hospitalized stroke, (b) incidence rates for IS, subarachnoid hemorrhage (SAH) and intracerebral hemorrhage (ICH), and (c) incidence rates for IS subtypes. We calculated the average annual age- and sex-standardized incidence (European Standard Population and World Health Organization), to compare our results with other studies. Results: The overall crude incidence of stroke in Brno was 213/100,000 population. The incidence of stroke for stroke types were as follows: SAH, 6.9; ICH, 26.4; and IS, 180 cases per 100,000 population, respectively. The WHO-standardized annual stroke incidence was 107 for all strokes and 88 for IS, 14.4 for ICH, and 5 for SAH. For IS subtypes, the WHO-standardized incidence was large artery atherosclerosis 25.8, cardioembolism 27.8, lacunar 21.6, other determined etiology 6.2, and undetermined etiology 6.5 cases per 100,000 population. Conclusions: The stroke incidence is lower than that previously reported for the CR and Eastern Europe probably reflecting socioeconomic changes in post-communistic countries in the region. These findings could contribute to stroke prevention strategies and influence health policies.","container-title":"Cerebrovascular Diseases","DOI":"10.1159/000512180","ISSN":"1015-9770","issue":"1","journalAbbreviation":"Cerebrovascular Diseases","page":"54-61","source":"Silverchair","title":"Incidence of Stroke and Ischemic Stroke Subtypes: A Community-Based Study in Brno, Czech Republic","title-short":"Incidence of Stroke and Ischemic Stroke Subtypes","volume":"50","author":[{"family":"Sedova","given":"Petra"},{"family":"Brown","given":"Robert D."},{"family":"Zvolsky","given":"Miroslav"},{"family":"Belaskova","given":"Silvia"},{"family":"Volna","given":"Michaela"},{"family":"Baluchova","given":"Jana"},{"family":"Bednarik","given":"Josef"},{"family":"Mikulik","given":"Robert"}],"issued":{"date-parts":[["2020",12,10]]}},"suppress-author":true}],"schema":"https://github.com/citation-style-language/schema/raw/master/csl-citation.json"} </w:instrText>
      </w:r>
      <w:r w:rsidR="00202BEE" w:rsidRPr="00A831E7">
        <w:rPr>
          <w:rFonts w:eastAsia="Calibri"/>
        </w:rPr>
        <w:fldChar w:fldCharType="separate"/>
      </w:r>
      <w:r w:rsidR="00C50298" w:rsidRPr="00A831E7">
        <w:rPr>
          <w:rFonts w:eastAsia="Calibri"/>
        </w:rPr>
        <w:t>[15]</w:t>
      </w:r>
      <w:r w:rsidR="00202BEE" w:rsidRPr="00A831E7">
        <w:rPr>
          <w:rFonts w:eastAsia="Calibri"/>
        </w:rPr>
        <w:fldChar w:fldCharType="end"/>
      </w:r>
      <w:r w:rsidRPr="00A831E7">
        <w:rPr>
          <w:rFonts w:eastAsia="Calibri"/>
        </w:rPr>
        <w:t xml:space="preserve">. </w:t>
      </w:r>
      <w:r w:rsidR="006F1779" w:rsidRPr="00A831E7">
        <w:rPr>
          <w:rFonts w:eastAsia="Calibri"/>
        </w:rPr>
        <w:t xml:space="preserve">Σε νεότερες ηλικίες τα αίτια </w:t>
      </w:r>
      <w:r w:rsidR="00B544B4" w:rsidRPr="00A831E7">
        <w:rPr>
          <w:rFonts w:eastAsia="Calibri"/>
        </w:rPr>
        <w:t>διευρύνονται</w:t>
      </w:r>
      <w:r w:rsidR="006F1779" w:rsidRPr="00A831E7">
        <w:rPr>
          <w:rFonts w:eastAsia="Calibri"/>
        </w:rPr>
        <w:t xml:space="preserve"> και σε διαταραχές του πηκτικού μηχανισμού</w:t>
      </w:r>
      <w:r w:rsidR="0016376B">
        <w:rPr>
          <w:rFonts w:eastAsia="Calibri"/>
        </w:rPr>
        <w:t>, όπως</w:t>
      </w:r>
      <w:r w:rsidR="006F1779" w:rsidRPr="00A831E7">
        <w:rPr>
          <w:rFonts w:eastAsia="Calibri"/>
        </w:rPr>
        <w:t xml:space="preserve"> ανεπάρκεια </w:t>
      </w:r>
      <w:r w:rsidR="00B544B4" w:rsidRPr="00A831E7">
        <w:rPr>
          <w:rFonts w:eastAsia="Calibri"/>
        </w:rPr>
        <w:t>πρωτεΐνης</w:t>
      </w:r>
      <w:r w:rsidR="006F1779" w:rsidRPr="00A831E7">
        <w:rPr>
          <w:rFonts w:eastAsia="Calibri"/>
        </w:rPr>
        <w:t xml:space="preserve"> C ή S, δρεπανοκυττάρωση, ινομυική δυσπλασία και αγγειοσύσπαση από κατάχρηση ναρκωτικών ουσιών</w:t>
      </w:r>
      <w:r w:rsidR="00202BEE" w:rsidRPr="00A831E7">
        <w:rPr>
          <w:rFonts w:eastAsia="Calibri"/>
        </w:rPr>
        <w:t xml:space="preserve"> </w:t>
      </w:r>
      <w:r w:rsidR="00202BEE" w:rsidRPr="00A831E7">
        <w:rPr>
          <w:rFonts w:eastAsia="Calibri"/>
        </w:rPr>
        <w:fldChar w:fldCharType="begin"/>
      </w:r>
      <w:r w:rsidR="00202BEE" w:rsidRPr="00A831E7">
        <w:rPr>
          <w:rFonts w:eastAsia="Calibri"/>
        </w:rPr>
        <w:instrText xml:space="preserve"> ADDIN ZOTERO_ITEM CSL_CITATION {"citationID":"Q6xoMHuD","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202BEE" w:rsidRPr="00A831E7">
        <w:rPr>
          <w:rFonts w:eastAsia="Calibri"/>
        </w:rPr>
        <w:fldChar w:fldCharType="separate"/>
      </w:r>
      <w:r w:rsidR="00202BEE" w:rsidRPr="00A831E7">
        <w:rPr>
          <w:rFonts w:eastAsia="Calibri"/>
        </w:rPr>
        <w:t>[9]</w:t>
      </w:r>
      <w:r w:rsidR="00202BEE" w:rsidRPr="00A831E7">
        <w:rPr>
          <w:rFonts w:eastAsia="Calibri"/>
        </w:rPr>
        <w:fldChar w:fldCharType="end"/>
      </w:r>
      <w:r w:rsidR="006F1779" w:rsidRPr="00A831E7">
        <w:rPr>
          <w:rFonts w:eastAsia="Calibri"/>
        </w:rPr>
        <w:t xml:space="preserve">. </w:t>
      </w:r>
    </w:p>
    <w:p w14:paraId="2CF1BB53" w14:textId="30430F0E" w:rsidR="000128CC" w:rsidRPr="00A831E7" w:rsidRDefault="000128CC" w:rsidP="000128CC">
      <w:pPr>
        <w:spacing w:line="360" w:lineRule="auto"/>
        <w:jc w:val="both"/>
        <w:rPr>
          <w:b/>
          <w:bCs/>
          <w:sz w:val="20"/>
          <w:szCs w:val="20"/>
        </w:rPr>
      </w:pPr>
    </w:p>
    <w:p w14:paraId="3CC023BD" w14:textId="77777777" w:rsidR="00F32EEE" w:rsidRPr="00A831E7" w:rsidRDefault="00F32EEE" w:rsidP="000128CC">
      <w:pPr>
        <w:spacing w:line="360" w:lineRule="auto"/>
        <w:jc w:val="both"/>
        <w:rPr>
          <w:b/>
          <w:bCs/>
          <w:sz w:val="20"/>
          <w:szCs w:val="20"/>
        </w:rPr>
      </w:pPr>
    </w:p>
    <w:p w14:paraId="1A3A68B1" w14:textId="77777777" w:rsidR="00B71A41" w:rsidRPr="00A831E7" w:rsidRDefault="00B71A41" w:rsidP="000128CC">
      <w:pPr>
        <w:spacing w:line="360" w:lineRule="auto"/>
        <w:jc w:val="both"/>
        <w:rPr>
          <w:b/>
          <w:bCs/>
          <w:sz w:val="20"/>
          <w:szCs w:val="20"/>
        </w:rPr>
      </w:pPr>
    </w:p>
    <w:p w14:paraId="37BCDB13" w14:textId="77777777" w:rsidR="00667F5D" w:rsidRPr="00A831E7" w:rsidRDefault="00667F5D" w:rsidP="000128CC">
      <w:pPr>
        <w:spacing w:line="360" w:lineRule="auto"/>
        <w:jc w:val="both"/>
        <w:rPr>
          <w:b/>
          <w:bCs/>
          <w:sz w:val="20"/>
          <w:szCs w:val="20"/>
        </w:rPr>
      </w:pPr>
    </w:p>
    <w:p w14:paraId="4B9CC8D9" w14:textId="4A297602" w:rsidR="00331C3E" w:rsidRPr="00A831E7" w:rsidRDefault="0091505C" w:rsidP="0091505C">
      <w:pPr>
        <w:pStyle w:val="af5"/>
        <w:jc w:val="center"/>
        <w:rPr>
          <w:rFonts w:eastAsia="Calibri"/>
          <w:b/>
          <w:bCs/>
          <w:color w:val="auto"/>
          <w:sz w:val="20"/>
          <w:szCs w:val="20"/>
        </w:rPr>
      </w:pPr>
      <w:bookmarkStart w:id="28" w:name="_Toc199787736"/>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w:t>
      </w:r>
      <w:r w:rsidRPr="00A831E7">
        <w:rPr>
          <w:b/>
          <w:bCs/>
          <w:color w:val="auto"/>
          <w:sz w:val="20"/>
          <w:szCs w:val="20"/>
        </w:rPr>
        <w:fldChar w:fldCharType="end"/>
      </w:r>
      <w:r w:rsidRPr="00A831E7">
        <w:rPr>
          <w:b/>
          <w:bCs/>
          <w:color w:val="auto"/>
          <w:sz w:val="20"/>
          <w:szCs w:val="20"/>
        </w:rPr>
        <w:t xml:space="preserve">: Αίτια ΑΕΕ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ofX4bii2","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[9]</w:t>
      </w:r>
      <w:bookmarkEnd w:id="28"/>
      <w:r w:rsidRPr="00A831E7">
        <w:rPr>
          <w:rFonts w:eastAsia="Calibri"/>
          <w:b/>
          <w:bCs/>
          <w:color w:val="auto"/>
          <w:sz w:val="20"/>
          <w:szCs w:val="20"/>
        </w:rPr>
        <w:fldChar w:fldCharType="end"/>
      </w:r>
    </w:p>
    <w:tbl>
      <w:tblPr>
        <w:tblStyle w:val="af0"/>
        <w:tblW w:w="5000" w:type="pct"/>
        <w:tblBorders>
          <w:insideH w:val="none" w:sz="0" w:space="0" w:color="auto"/>
          <w:insideV w:val="none" w:sz="0" w:space="0" w:color="auto"/>
        </w:tblBorders>
        <w:tblLook w:val="04A0" w:firstRow="1" w:lastRow="0" w:firstColumn="1" w:lastColumn="0" w:noHBand="0" w:noVBand="1"/>
      </w:tblPr>
      <w:tblGrid>
        <w:gridCol w:w="4151"/>
        <w:gridCol w:w="4151"/>
      </w:tblGrid>
      <w:tr w:rsidR="000128CC" w:rsidRPr="00A831E7" w14:paraId="6F315A54" w14:textId="271A920B" w:rsidTr="0057069D">
        <w:trPr>
          <w:trHeight w:val="359"/>
          <w:tblHeader/>
        </w:trPr>
        <w:tc>
          <w:tcPr>
            <w:tcW w:w="2500" w:type="pct"/>
            <w:tcBorders>
              <w:top w:val="single" w:sz="4" w:space="0" w:color="auto"/>
              <w:bottom w:val="single" w:sz="4" w:space="0" w:color="auto"/>
              <w:right w:val="single" w:sz="4" w:space="0" w:color="auto"/>
            </w:tcBorders>
            <w:shd w:val="clear" w:color="auto" w:fill="D9D9D9" w:themeFill="background1" w:themeFillShade="D9"/>
          </w:tcPr>
          <w:p w14:paraId="6AD45798" w14:textId="19649366" w:rsidR="000128CC" w:rsidRPr="00A831E7" w:rsidRDefault="000128CC" w:rsidP="000128CC">
            <w:pPr>
              <w:jc w:val="both"/>
              <w:rPr>
                <w:rFonts w:eastAsia="Calibri"/>
                <w:b/>
                <w:bCs/>
                <w:color w:val="18191B"/>
                <w:sz w:val="20"/>
                <w:szCs w:val="20"/>
              </w:rPr>
            </w:pPr>
            <w:r w:rsidRPr="00A831E7">
              <w:rPr>
                <w:rFonts w:eastAsia="Calibri"/>
                <w:b/>
                <w:bCs/>
                <w:color w:val="18191B"/>
                <w:sz w:val="20"/>
                <w:szCs w:val="20"/>
              </w:rPr>
              <w:t xml:space="preserve">ΙΣΧΑΙΜΙΚΟ ΑΕΕ </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41AAFA" w14:textId="42776EFF" w:rsidR="000128CC" w:rsidRPr="00A831E7" w:rsidRDefault="000128CC" w:rsidP="000128CC">
            <w:pPr>
              <w:jc w:val="both"/>
              <w:rPr>
                <w:rFonts w:eastAsia="Calibri"/>
                <w:b/>
                <w:bCs/>
                <w:color w:val="18191B"/>
                <w:sz w:val="20"/>
                <w:szCs w:val="20"/>
              </w:rPr>
            </w:pPr>
            <w:r w:rsidRPr="00A831E7">
              <w:rPr>
                <w:rFonts w:eastAsia="Calibri"/>
                <w:b/>
                <w:bCs/>
                <w:color w:val="18191B"/>
                <w:sz w:val="20"/>
                <w:szCs w:val="20"/>
              </w:rPr>
              <w:t xml:space="preserve">ΑΙΜΟΡΡΑΓΙΚΟ ΑΕΕ </w:t>
            </w:r>
          </w:p>
        </w:tc>
      </w:tr>
      <w:tr w:rsidR="000128CC" w:rsidRPr="00A831E7" w14:paraId="1E26C36D" w14:textId="54597AC7" w:rsidTr="000128CC">
        <w:trPr>
          <w:trHeight w:val="5520"/>
        </w:trPr>
        <w:tc>
          <w:tcPr>
            <w:tcW w:w="2500" w:type="pct"/>
            <w:tcBorders>
              <w:top w:val="single" w:sz="4" w:space="0" w:color="auto"/>
              <w:bottom w:val="single" w:sz="4" w:space="0" w:color="auto"/>
              <w:right w:val="single" w:sz="4" w:space="0" w:color="auto"/>
            </w:tcBorders>
          </w:tcPr>
          <w:p w14:paraId="378E2E7A" w14:textId="1E06BF5A" w:rsidR="000128CC" w:rsidRPr="00A831E7" w:rsidRDefault="000128CC" w:rsidP="00331C3E">
            <w:pPr>
              <w:rPr>
                <w:rFonts w:eastAsia="Calibri"/>
                <w:color w:val="18191B"/>
                <w:sz w:val="20"/>
                <w:szCs w:val="20"/>
              </w:rPr>
            </w:pPr>
            <w:r w:rsidRPr="00A831E7">
              <w:rPr>
                <w:rFonts w:eastAsia="Calibri"/>
                <w:b/>
                <w:bCs/>
                <w:color w:val="18191B"/>
                <w:sz w:val="20"/>
                <w:szCs w:val="20"/>
              </w:rPr>
              <w:t>• Αρτηριακή νόσος - θρόμβωση</w:t>
            </w:r>
            <w:r w:rsidRPr="00A831E7">
              <w:rPr>
                <w:rFonts w:eastAsia="Calibri"/>
                <w:color w:val="18191B"/>
                <w:sz w:val="20"/>
                <w:szCs w:val="20"/>
              </w:rPr>
              <w:t xml:space="preserve"> </w:t>
            </w:r>
          </w:p>
          <w:p w14:paraId="7B995EFD" w14:textId="73AF7219" w:rsidR="000128CC" w:rsidRPr="00A831E7" w:rsidRDefault="000128CC" w:rsidP="00331C3E">
            <w:pPr>
              <w:rPr>
                <w:rFonts w:eastAsia="Calibri"/>
                <w:color w:val="18191B"/>
                <w:sz w:val="20"/>
                <w:szCs w:val="20"/>
              </w:rPr>
            </w:pPr>
            <w:r w:rsidRPr="00A831E7">
              <w:rPr>
                <w:rFonts w:eastAsia="Calibri"/>
                <w:color w:val="18191B"/>
                <w:sz w:val="20"/>
                <w:szCs w:val="20"/>
              </w:rPr>
              <w:t xml:space="preserve">- αθηρώματα καρωτίδας, σπονδυλικής αρτηρίας, ενδοκρανιακού αγγείου </w:t>
            </w:r>
          </w:p>
          <w:p w14:paraId="70FDB2CC" w14:textId="77777777" w:rsidR="000128CC" w:rsidRPr="00A831E7" w:rsidRDefault="000128CC" w:rsidP="00331C3E">
            <w:pPr>
              <w:rPr>
                <w:rFonts w:eastAsia="Calibri"/>
                <w:color w:val="18191B"/>
                <w:sz w:val="20"/>
                <w:szCs w:val="20"/>
              </w:rPr>
            </w:pPr>
            <w:r w:rsidRPr="00A831E7">
              <w:rPr>
                <w:rFonts w:eastAsia="Calibri"/>
                <w:color w:val="18191B"/>
                <w:sz w:val="20"/>
                <w:szCs w:val="20"/>
              </w:rPr>
              <w:t>- νόσος μικρών αγγείων</w:t>
            </w:r>
          </w:p>
          <w:p w14:paraId="6F1A80C7" w14:textId="2953173E" w:rsidR="000128CC" w:rsidRPr="00A831E7" w:rsidRDefault="000128CC" w:rsidP="00331C3E">
            <w:pPr>
              <w:rPr>
                <w:rFonts w:eastAsia="Calibri"/>
                <w:color w:val="18191B"/>
                <w:sz w:val="20"/>
                <w:szCs w:val="20"/>
              </w:rPr>
            </w:pPr>
            <w:r w:rsidRPr="00A831E7">
              <w:rPr>
                <w:rFonts w:eastAsia="Calibri"/>
                <w:color w:val="18191B"/>
                <w:sz w:val="20"/>
                <w:szCs w:val="20"/>
              </w:rPr>
              <w:t xml:space="preserve">- αιματολογικές διαταραχές, υπερπηκτικά σύνδρομα </w:t>
            </w:r>
          </w:p>
          <w:p w14:paraId="0A612158" w14:textId="77777777" w:rsidR="000128CC" w:rsidRPr="00A831E7" w:rsidRDefault="000128CC" w:rsidP="00331C3E">
            <w:pPr>
              <w:rPr>
                <w:rFonts w:eastAsia="Calibri"/>
                <w:b/>
                <w:bCs/>
                <w:color w:val="18191B"/>
                <w:sz w:val="20"/>
                <w:szCs w:val="20"/>
              </w:rPr>
            </w:pPr>
            <w:r w:rsidRPr="00A831E7">
              <w:rPr>
                <w:rFonts w:eastAsia="Calibri"/>
                <w:color w:val="18191B"/>
                <w:sz w:val="20"/>
                <w:szCs w:val="20"/>
              </w:rPr>
              <w:t xml:space="preserve">• </w:t>
            </w:r>
            <w:r w:rsidRPr="00A831E7">
              <w:rPr>
                <w:rFonts w:eastAsia="Calibri"/>
                <w:b/>
                <w:bCs/>
                <w:color w:val="18191B"/>
                <w:sz w:val="20"/>
                <w:szCs w:val="20"/>
              </w:rPr>
              <w:t xml:space="preserve">Εμβολή </w:t>
            </w:r>
          </w:p>
          <w:p w14:paraId="1FBE742E" w14:textId="2A6231D2" w:rsidR="000128CC" w:rsidRPr="00A831E7" w:rsidRDefault="000128CC" w:rsidP="00331C3E">
            <w:pPr>
              <w:rPr>
                <w:rFonts w:eastAsia="Calibri"/>
                <w:color w:val="18191B"/>
                <w:sz w:val="20"/>
                <w:szCs w:val="20"/>
              </w:rPr>
            </w:pPr>
            <w:r w:rsidRPr="00A831E7">
              <w:rPr>
                <w:rFonts w:eastAsia="Calibri"/>
                <w:b/>
                <w:bCs/>
                <w:i/>
                <w:iCs/>
                <w:color w:val="18191B"/>
                <w:sz w:val="20"/>
                <w:szCs w:val="20"/>
              </w:rPr>
              <w:t xml:space="preserve">  Καρδιά</w:t>
            </w:r>
            <w:r w:rsidRPr="00A831E7">
              <w:rPr>
                <w:rFonts w:eastAsia="Calibri"/>
                <w:color w:val="18191B"/>
                <w:sz w:val="20"/>
                <w:szCs w:val="20"/>
              </w:rPr>
              <w:t xml:space="preserve"> </w:t>
            </w:r>
          </w:p>
          <w:p w14:paraId="71FD006C" w14:textId="2CB91B59" w:rsidR="000128CC" w:rsidRPr="00A831E7" w:rsidRDefault="000128CC" w:rsidP="00331C3E">
            <w:pPr>
              <w:rPr>
                <w:rFonts w:eastAsia="Calibri"/>
                <w:color w:val="18191B"/>
                <w:sz w:val="20"/>
                <w:szCs w:val="20"/>
              </w:rPr>
            </w:pPr>
            <w:r w:rsidRPr="00A831E7">
              <w:rPr>
                <w:rFonts w:eastAsia="Calibri"/>
                <w:color w:val="18191B"/>
                <w:sz w:val="20"/>
                <w:szCs w:val="20"/>
              </w:rPr>
              <w:t xml:space="preserve">- νόσος αορτικής και μιτροειδούς βαλβίδας </w:t>
            </w:r>
          </w:p>
          <w:p w14:paraId="0DCA81E4" w14:textId="77777777" w:rsidR="000128CC" w:rsidRPr="00A831E7" w:rsidRDefault="000128CC" w:rsidP="00331C3E">
            <w:pPr>
              <w:rPr>
                <w:rFonts w:eastAsia="Calibri"/>
                <w:color w:val="18191B"/>
                <w:sz w:val="20"/>
                <w:szCs w:val="20"/>
              </w:rPr>
            </w:pPr>
            <w:r w:rsidRPr="00A831E7">
              <w:rPr>
                <w:rFonts w:eastAsia="Calibri"/>
                <w:color w:val="18191B"/>
                <w:sz w:val="20"/>
                <w:szCs w:val="20"/>
              </w:rPr>
              <w:t xml:space="preserve">- κολπική μαρμαρυγή </w:t>
            </w:r>
          </w:p>
          <w:p w14:paraId="037D9A74" w14:textId="77777777" w:rsidR="000128CC" w:rsidRPr="00A831E7" w:rsidRDefault="000128CC" w:rsidP="00331C3E">
            <w:pPr>
              <w:rPr>
                <w:rFonts w:eastAsia="Calibri"/>
                <w:color w:val="18191B"/>
                <w:sz w:val="20"/>
                <w:szCs w:val="20"/>
              </w:rPr>
            </w:pPr>
            <w:r w:rsidRPr="00A831E7">
              <w:rPr>
                <w:rFonts w:eastAsia="Calibri"/>
                <w:color w:val="18191B"/>
                <w:sz w:val="20"/>
                <w:szCs w:val="20"/>
              </w:rPr>
              <w:t xml:space="preserve">- κολπικό μύξωμα </w:t>
            </w:r>
          </w:p>
          <w:p w14:paraId="4985F552" w14:textId="0D99974E" w:rsidR="000128CC" w:rsidRPr="00A831E7" w:rsidRDefault="000128CC" w:rsidP="00331C3E">
            <w:pPr>
              <w:rPr>
                <w:rFonts w:eastAsia="Calibri"/>
                <w:color w:val="18191B"/>
                <w:sz w:val="20"/>
                <w:szCs w:val="20"/>
              </w:rPr>
            </w:pPr>
            <w:r w:rsidRPr="00A831E7">
              <w:rPr>
                <w:rFonts w:eastAsia="Calibri"/>
                <w:color w:val="18191B"/>
                <w:sz w:val="20"/>
                <w:szCs w:val="20"/>
              </w:rPr>
              <w:t xml:space="preserve">- ενδοκαρδίτιδα </w:t>
            </w:r>
          </w:p>
          <w:p w14:paraId="1B72900C" w14:textId="77777777" w:rsidR="000128CC" w:rsidRPr="00A831E7" w:rsidRDefault="000128CC" w:rsidP="00331C3E">
            <w:pPr>
              <w:rPr>
                <w:rFonts w:eastAsia="Calibri"/>
                <w:color w:val="18191B"/>
                <w:sz w:val="20"/>
                <w:szCs w:val="20"/>
              </w:rPr>
            </w:pPr>
            <w:r w:rsidRPr="00A831E7">
              <w:rPr>
                <w:rFonts w:eastAsia="Calibri"/>
                <w:color w:val="18191B"/>
                <w:sz w:val="20"/>
                <w:szCs w:val="20"/>
              </w:rPr>
              <w:t xml:space="preserve">- μυοκαρδιοπάθεια </w:t>
            </w:r>
          </w:p>
          <w:p w14:paraId="2B1D4D6B" w14:textId="489D4724" w:rsidR="000128CC" w:rsidRPr="00A831E7" w:rsidRDefault="000128CC" w:rsidP="00331C3E">
            <w:pPr>
              <w:rPr>
                <w:rFonts w:eastAsia="Calibri"/>
                <w:color w:val="18191B"/>
                <w:sz w:val="20"/>
                <w:szCs w:val="20"/>
              </w:rPr>
            </w:pPr>
            <w:r w:rsidRPr="00A831E7">
              <w:rPr>
                <w:rFonts w:eastAsia="Calibri"/>
                <w:color w:val="18191B"/>
                <w:sz w:val="20"/>
                <w:szCs w:val="20"/>
              </w:rPr>
              <w:t xml:space="preserve">- προσθετικές βαλβίδες </w:t>
            </w:r>
          </w:p>
          <w:p w14:paraId="2CADCB0F" w14:textId="2B72C5B7" w:rsidR="000128CC" w:rsidRPr="00A831E7" w:rsidRDefault="000128CC" w:rsidP="00331C3E">
            <w:pPr>
              <w:rPr>
                <w:rFonts w:eastAsia="Calibri"/>
                <w:color w:val="18191B"/>
                <w:sz w:val="20"/>
                <w:szCs w:val="20"/>
              </w:rPr>
            </w:pPr>
            <w:r w:rsidRPr="00A831E7">
              <w:rPr>
                <w:rFonts w:eastAsia="Calibri"/>
                <w:color w:val="18191B"/>
                <w:sz w:val="20"/>
                <w:szCs w:val="20"/>
              </w:rPr>
              <w:t xml:space="preserve">- πρόπτωση μιτροειδούς </w:t>
            </w:r>
          </w:p>
          <w:p w14:paraId="02EE5F78" w14:textId="7B7989EB" w:rsidR="000128CC" w:rsidRPr="00A831E7" w:rsidRDefault="000128CC" w:rsidP="00331C3E">
            <w:pPr>
              <w:rPr>
                <w:rFonts w:eastAsia="Calibri"/>
                <w:color w:val="18191B"/>
                <w:sz w:val="20"/>
                <w:szCs w:val="20"/>
              </w:rPr>
            </w:pPr>
            <w:r w:rsidRPr="00A831E7">
              <w:rPr>
                <w:rFonts w:eastAsia="Calibri"/>
                <w:color w:val="18191B"/>
                <w:sz w:val="20"/>
                <w:szCs w:val="20"/>
              </w:rPr>
              <w:t xml:space="preserve">- καρδιακοί όγκοι </w:t>
            </w:r>
          </w:p>
          <w:p w14:paraId="2B896497" w14:textId="00ACF143" w:rsidR="000128CC" w:rsidRPr="00A831E7" w:rsidRDefault="000128CC" w:rsidP="00331C3E">
            <w:pPr>
              <w:rPr>
                <w:rFonts w:eastAsia="Calibri"/>
                <w:color w:val="18191B"/>
                <w:sz w:val="20"/>
                <w:szCs w:val="20"/>
              </w:rPr>
            </w:pPr>
            <w:r w:rsidRPr="00A831E7">
              <w:rPr>
                <w:rFonts w:eastAsia="Calibri"/>
                <w:color w:val="18191B"/>
                <w:sz w:val="20"/>
                <w:szCs w:val="20"/>
              </w:rPr>
              <w:t xml:space="preserve">- τοιχωματική θρόμβωση μετά από έμφραγμα μυοκαρδίου </w:t>
            </w:r>
          </w:p>
          <w:p w14:paraId="70178B2B" w14:textId="615840C6" w:rsidR="000128CC" w:rsidRPr="00A831E7" w:rsidRDefault="000128CC" w:rsidP="00331C3E">
            <w:pPr>
              <w:rPr>
                <w:rFonts w:eastAsia="Calibri"/>
                <w:b/>
                <w:bCs/>
                <w:i/>
                <w:iCs/>
                <w:color w:val="18191B"/>
                <w:sz w:val="20"/>
                <w:szCs w:val="20"/>
              </w:rPr>
            </w:pPr>
            <w:r w:rsidRPr="00A831E7">
              <w:rPr>
                <w:rFonts w:eastAsia="Calibri"/>
                <w:b/>
                <w:bCs/>
                <w:i/>
                <w:iCs/>
                <w:color w:val="18191B"/>
                <w:sz w:val="20"/>
                <w:szCs w:val="20"/>
              </w:rPr>
              <w:t xml:space="preserve">  Φλέβες </w:t>
            </w:r>
          </w:p>
          <w:p w14:paraId="6A717F2D" w14:textId="77777777" w:rsidR="000128CC" w:rsidRPr="00A831E7" w:rsidRDefault="000128CC" w:rsidP="00331C3E">
            <w:pPr>
              <w:rPr>
                <w:rFonts w:eastAsia="Calibri"/>
                <w:color w:val="18191B"/>
                <w:sz w:val="20"/>
                <w:szCs w:val="20"/>
              </w:rPr>
            </w:pPr>
            <w:r w:rsidRPr="00A831E7">
              <w:rPr>
                <w:rFonts w:eastAsia="Calibri"/>
                <w:color w:val="18191B"/>
                <w:sz w:val="20"/>
                <w:szCs w:val="20"/>
              </w:rPr>
              <w:t>- παράδοξη εμβολή</w:t>
            </w:r>
          </w:p>
          <w:p w14:paraId="7CDDA15A" w14:textId="4D08E085" w:rsidR="000128CC" w:rsidRPr="00A831E7" w:rsidRDefault="000128CC" w:rsidP="00331C3E">
            <w:pPr>
              <w:rPr>
                <w:rFonts w:eastAsia="Calibri"/>
                <w:color w:val="18191B"/>
                <w:sz w:val="20"/>
                <w:szCs w:val="20"/>
              </w:rPr>
            </w:pPr>
            <w:r w:rsidRPr="00A831E7">
              <w:rPr>
                <w:rFonts w:eastAsia="Calibri"/>
                <w:color w:val="18191B"/>
                <w:sz w:val="20"/>
                <w:szCs w:val="20"/>
              </w:rPr>
              <w:t xml:space="preserve">- πνευμονικές φλέβες </w:t>
            </w:r>
          </w:p>
          <w:p w14:paraId="28288022" w14:textId="689A1DE3" w:rsidR="000128CC" w:rsidRPr="00A831E7" w:rsidRDefault="000128CC" w:rsidP="00331C3E">
            <w:pPr>
              <w:rPr>
                <w:rFonts w:eastAsia="Calibri"/>
                <w:color w:val="18191B"/>
                <w:sz w:val="20"/>
                <w:szCs w:val="20"/>
              </w:rPr>
            </w:pPr>
            <w:r w:rsidRPr="00A831E7">
              <w:rPr>
                <w:rFonts w:eastAsia="Calibri"/>
                <w:color w:val="18191B"/>
                <w:sz w:val="20"/>
                <w:szCs w:val="20"/>
              </w:rPr>
              <w:t xml:space="preserve">- λιπώδης, αεριώδης εμβολή </w:t>
            </w:r>
          </w:p>
          <w:p w14:paraId="5962AF17" w14:textId="77777777" w:rsidR="000128CC" w:rsidRPr="00A831E7" w:rsidRDefault="000128CC" w:rsidP="00331C3E">
            <w:pPr>
              <w:rPr>
                <w:rFonts w:eastAsia="Calibri"/>
                <w:color w:val="18191B"/>
                <w:sz w:val="20"/>
                <w:szCs w:val="20"/>
              </w:rPr>
            </w:pPr>
            <w:r w:rsidRPr="00A831E7">
              <w:rPr>
                <w:rFonts w:eastAsia="Calibri"/>
                <w:color w:val="18191B"/>
                <w:sz w:val="20"/>
                <w:szCs w:val="20"/>
              </w:rPr>
              <w:t xml:space="preserve">• </w:t>
            </w:r>
            <w:r w:rsidRPr="00A831E7">
              <w:rPr>
                <w:rFonts w:eastAsia="Calibri"/>
                <w:b/>
                <w:bCs/>
                <w:color w:val="18191B"/>
                <w:sz w:val="20"/>
                <w:szCs w:val="20"/>
              </w:rPr>
              <w:t xml:space="preserve">Υποάρδευση </w:t>
            </w:r>
          </w:p>
          <w:p w14:paraId="780FDAA6" w14:textId="05B0589B" w:rsidR="000128CC" w:rsidRPr="00A831E7" w:rsidRDefault="000128CC" w:rsidP="00331C3E">
            <w:pPr>
              <w:rPr>
                <w:rFonts w:eastAsia="Calibri"/>
                <w:color w:val="18191B"/>
                <w:sz w:val="20"/>
                <w:szCs w:val="20"/>
              </w:rPr>
            </w:pPr>
            <w:r w:rsidRPr="00A831E7">
              <w:rPr>
                <w:rFonts w:eastAsia="Calibri"/>
                <w:color w:val="18191B"/>
                <w:sz w:val="20"/>
                <w:szCs w:val="20"/>
              </w:rPr>
              <w:t xml:space="preserve">- καρδιογενής καταπληξία </w:t>
            </w:r>
          </w:p>
          <w:p w14:paraId="054DDBF5" w14:textId="5943EDCD" w:rsidR="000128CC" w:rsidRPr="00A831E7" w:rsidRDefault="000128CC" w:rsidP="00331C3E">
            <w:pPr>
              <w:rPr>
                <w:rFonts w:eastAsia="Calibri"/>
                <w:color w:val="18191B"/>
                <w:sz w:val="20"/>
                <w:szCs w:val="20"/>
              </w:rPr>
            </w:pPr>
            <w:r w:rsidRPr="00A831E7">
              <w:rPr>
                <w:rFonts w:eastAsia="Calibri"/>
                <w:color w:val="18191B"/>
                <w:sz w:val="20"/>
                <w:szCs w:val="20"/>
              </w:rPr>
              <w:t xml:space="preserve">- shock </w:t>
            </w:r>
          </w:p>
          <w:p w14:paraId="536328F3" w14:textId="4832B2BD" w:rsidR="000128CC" w:rsidRPr="00A831E7" w:rsidRDefault="000128CC" w:rsidP="00331C3E">
            <w:pPr>
              <w:rPr>
                <w:rFonts w:eastAsia="Calibri"/>
                <w:b/>
                <w:bCs/>
                <w:color w:val="18191B"/>
                <w:sz w:val="20"/>
                <w:szCs w:val="20"/>
              </w:rPr>
            </w:pPr>
            <w:r w:rsidRPr="00A831E7">
              <w:rPr>
                <w:rFonts w:eastAsia="Calibri"/>
                <w:color w:val="18191B"/>
                <w:sz w:val="20"/>
                <w:szCs w:val="20"/>
              </w:rPr>
              <w:t xml:space="preserve">• </w:t>
            </w:r>
            <w:r w:rsidRPr="00A831E7">
              <w:rPr>
                <w:rFonts w:eastAsia="Calibri"/>
                <w:b/>
                <w:bCs/>
                <w:color w:val="18191B"/>
                <w:sz w:val="20"/>
                <w:szCs w:val="20"/>
              </w:rPr>
              <w:t>Άλλες αγγειακές διαταραχές</w:t>
            </w:r>
          </w:p>
        </w:tc>
        <w:tc>
          <w:tcPr>
            <w:tcW w:w="2500" w:type="pct"/>
            <w:tcBorders>
              <w:top w:val="single" w:sz="4" w:space="0" w:color="auto"/>
              <w:left w:val="single" w:sz="4" w:space="0" w:color="auto"/>
              <w:bottom w:val="single" w:sz="4" w:space="0" w:color="auto"/>
              <w:right w:val="single" w:sz="4" w:space="0" w:color="auto"/>
            </w:tcBorders>
          </w:tcPr>
          <w:p w14:paraId="7E4FF797" w14:textId="47E28DFE" w:rsidR="000128CC" w:rsidRPr="00A831E7" w:rsidRDefault="000128CC" w:rsidP="000128CC">
            <w:pPr>
              <w:jc w:val="both"/>
              <w:rPr>
                <w:rFonts w:eastAsia="Calibri"/>
                <w:color w:val="18191B"/>
                <w:sz w:val="20"/>
                <w:szCs w:val="20"/>
              </w:rPr>
            </w:pPr>
            <w:r w:rsidRPr="00A831E7">
              <w:rPr>
                <w:rFonts w:eastAsia="Calibri"/>
                <w:color w:val="18191B"/>
                <w:sz w:val="20"/>
                <w:szCs w:val="20"/>
              </w:rPr>
              <w:t xml:space="preserve">• υπερτασική αγγειακή νόσος, </w:t>
            </w:r>
            <w:r w:rsidR="0016376B" w:rsidRPr="0016376B">
              <w:rPr>
                <w:rFonts w:eastAsia="Calibri"/>
                <w:color w:val="18191B"/>
                <w:sz w:val="20"/>
                <w:szCs w:val="20"/>
              </w:rPr>
              <w:t>λιποϋαλίνωση</w:t>
            </w:r>
            <w:r w:rsidRPr="00A831E7">
              <w:rPr>
                <w:rFonts w:eastAsia="Calibri"/>
                <w:color w:val="18191B"/>
                <w:sz w:val="20"/>
                <w:szCs w:val="20"/>
              </w:rPr>
              <w:t xml:space="preserve">, μικροανευρύσματα </w:t>
            </w:r>
          </w:p>
          <w:p w14:paraId="5CDA4CD9" w14:textId="77777777" w:rsidR="000128CC" w:rsidRPr="00A831E7" w:rsidRDefault="000128CC" w:rsidP="000128CC">
            <w:pPr>
              <w:jc w:val="both"/>
              <w:rPr>
                <w:rFonts w:eastAsia="Calibri"/>
                <w:color w:val="18191B"/>
                <w:sz w:val="20"/>
                <w:szCs w:val="20"/>
              </w:rPr>
            </w:pPr>
            <w:r w:rsidRPr="00A831E7">
              <w:rPr>
                <w:rFonts w:eastAsia="Calibri"/>
                <w:color w:val="18191B"/>
                <w:sz w:val="20"/>
                <w:szCs w:val="20"/>
              </w:rPr>
              <w:t xml:space="preserve">• ανευρύσματα: σακκοειδή, μυκωτικά </w:t>
            </w:r>
          </w:p>
          <w:p w14:paraId="3DC2F760" w14:textId="77777777" w:rsidR="000128CC" w:rsidRPr="00A831E7" w:rsidRDefault="000128CC" w:rsidP="000128CC">
            <w:pPr>
              <w:jc w:val="both"/>
              <w:rPr>
                <w:rFonts w:eastAsia="Calibri"/>
                <w:color w:val="18191B"/>
                <w:sz w:val="20"/>
                <w:szCs w:val="20"/>
              </w:rPr>
            </w:pPr>
            <w:r w:rsidRPr="00A831E7">
              <w:rPr>
                <w:rFonts w:eastAsia="Calibri"/>
                <w:color w:val="18191B"/>
                <w:sz w:val="20"/>
                <w:szCs w:val="20"/>
              </w:rPr>
              <w:t xml:space="preserve">• αρτηριοφλεβικές δυσπλασίες </w:t>
            </w:r>
          </w:p>
          <w:p w14:paraId="7B98EFD8" w14:textId="77777777" w:rsidR="000128CC" w:rsidRPr="00A831E7" w:rsidRDefault="000128CC" w:rsidP="000128CC">
            <w:pPr>
              <w:jc w:val="both"/>
              <w:rPr>
                <w:rFonts w:eastAsia="Calibri"/>
                <w:color w:val="18191B"/>
                <w:sz w:val="20"/>
                <w:szCs w:val="20"/>
              </w:rPr>
            </w:pPr>
            <w:r w:rsidRPr="00A831E7">
              <w:rPr>
                <w:rFonts w:eastAsia="Calibri"/>
                <w:color w:val="18191B"/>
                <w:sz w:val="20"/>
                <w:szCs w:val="20"/>
              </w:rPr>
              <w:t xml:space="preserve">• αμυλοειδής εγκεφαλοπάθεια </w:t>
            </w:r>
          </w:p>
          <w:p w14:paraId="353626BC" w14:textId="77777777" w:rsidR="000128CC" w:rsidRPr="00A831E7" w:rsidRDefault="000128CC" w:rsidP="000128CC">
            <w:pPr>
              <w:jc w:val="both"/>
              <w:rPr>
                <w:rFonts w:eastAsia="Calibri"/>
                <w:color w:val="18191B"/>
                <w:sz w:val="20"/>
                <w:szCs w:val="20"/>
              </w:rPr>
            </w:pPr>
            <w:r w:rsidRPr="00A831E7">
              <w:rPr>
                <w:rFonts w:eastAsia="Calibri"/>
                <w:color w:val="18191B"/>
                <w:sz w:val="20"/>
                <w:szCs w:val="20"/>
              </w:rPr>
              <w:t xml:space="preserve">• αιμορραγική διάθεση </w:t>
            </w:r>
          </w:p>
          <w:p w14:paraId="34BC8ACD" w14:textId="7978B81C" w:rsidR="000128CC" w:rsidRPr="00A831E7" w:rsidRDefault="000128CC" w:rsidP="000128CC">
            <w:pPr>
              <w:jc w:val="both"/>
              <w:rPr>
                <w:rFonts w:eastAsia="Calibri"/>
                <w:b/>
                <w:bCs/>
                <w:color w:val="18191B"/>
                <w:sz w:val="20"/>
                <w:szCs w:val="20"/>
              </w:rPr>
            </w:pPr>
            <w:r w:rsidRPr="00A831E7">
              <w:rPr>
                <w:rFonts w:eastAsia="Calibri"/>
                <w:color w:val="18191B"/>
                <w:sz w:val="20"/>
                <w:szCs w:val="20"/>
              </w:rPr>
              <w:t>• δευτερογενής αιμορραγία σε όγκο ή έμφρακτο</w:t>
            </w:r>
          </w:p>
        </w:tc>
      </w:tr>
    </w:tbl>
    <w:p w14:paraId="09BB79D2" w14:textId="77777777" w:rsidR="00B544B4" w:rsidRPr="00A831E7" w:rsidRDefault="00B544B4" w:rsidP="00B544B4">
      <w:pPr>
        <w:spacing w:line="360" w:lineRule="auto"/>
        <w:jc w:val="both"/>
        <w:rPr>
          <w:rFonts w:eastAsia="Calibri"/>
          <w:b/>
          <w:bCs/>
          <w:i/>
          <w:iCs/>
        </w:rPr>
      </w:pPr>
    </w:p>
    <w:p w14:paraId="6F409669" w14:textId="551013E4" w:rsidR="00B544B4" w:rsidRPr="00A831E7" w:rsidRDefault="001F070D" w:rsidP="00F32EEE">
      <w:pPr>
        <w:pStyle w:val="4"/>
        <w:spacing w:line="360" w:lineRule="auto"/>
        <w:rPr>
          <w:rFonts w:eastAsia="Calibri"/>
          <w:b w:val="0"/>
          <w:bCs/>
        </w:rPr>
      </w:pPr>
      <w:r w:rsidRPr="00A831E7">
        <w:rPr>
          <w:rFonts w:eastAsia="Calibri"/>
          <w:bCs/>
        </w:rPr>
        <w:t>Παροδικά Ισχαιμικά Αγγειακά Εγκεφαλικά Επεισόδια</w:t>
      </w:r>
      <w:r w:rsidR="005950FD" w:rsidRPr="00A831E7">
        <w:rPr>
          <w:rFonts w:eastAsia="Calibri"/>
          <w:bCs/>
        </w:rPr>
        <w:t xml:space="preserve"> </w:t>
      </w:r>
      <w:r w:rsidR="00B544B4" w:rsidRPr="00A831E7">
        <w:rPr>
          <w:rFonts w:eastAsia="Calibri"/>
          <w:bCs/>
        </w:rPr>
        <w:t>(</w:t>
      </w:r>
      <w:r w:rsidR="005950FD" w:rsidRPr="00A831E7">
        <w:rPr>
          <w:rFonts w:eastAsia="Calibri"/>
          <w:bCs/>
        </w:rPr>
        <w:t xml:space="preserve"> </w:t>
      </w:r>
      <w:r w:rsidR="00B544B4" w:rsidRPr="00A831E7">
        <w:rPr>
          <w:rFonts w:eastAsia="Calibri"/>
          <w:bCs/>
        </w:rPr>
        <w:t>TIA</w:t>
      </w:r>
      <w:r w:rsidR="005950FD" w:rsidRPr="00A831E7">
        <w:rPr>
          <w:rFonts w:eastAsia="Calibri"/>
          <w:bCs/>
        </w:rPr>
        <w:t xml:space="preserve"> </w:t>
      </w:r>
      <w:r w:rsidR="00B544B4" w:rsidRPr="00A831E7">
        <w:rPr>
          <w:rFonts w:eastAsia="Calibri"/>
          <w:bCs/>
        </w:rPr>
        <w:t>-</w:t>
      </w:r>
      <w:r w:rsidR="005950FD" w:rsidRPr="00A831E7">
        <w:rPr>
          <w:rFonts w:eastAsia="Calibri"/>
          <w:bCs/>
        </w:rPr>
        <w:t xml:space="preserve"> </w:t>
      </w:r>
      <w:r w:rsidR="00B544B4" w:rsidRPr="00A831E7">
        <w:rPr>
          <w:rFonts w:eastAsia="Calibri"/>
          <w:bCs/>
        </w:rPr>
        <w:t>Transient Ischemic Attack</w:t>
      </w:r>
      <w:r w:rsidR="005950FD" w:rsidRPr="00A831E7">
        <w:rPr>
          <w:rFonts w:eastAsia="Calibri"/>
          <w:bCs/>
        </w:rPr>
        <w:t xml:space="preserve"> </w:t>
      </w:r>
      <w:r w:rsidR="00B544B4" w:rsidRPr="00A831E7">
        <w:rPr>
          <w:rFonts w:eastAsia="Calibri"/>
          <w:bCs/>
        </w:rPr>
        <w:t>)</w:t>
      </w:r>
    </w:p>
    <w:p w14:paraId="10614315" w14:textId="6D80ED5C" w:rsidR="004A673A" w:rsidRPr="00A831E7" w:rsidRDefault="00B544B4" w:rsidP="00F32EEE">
      <w:pPr>
        <w:spacing w:line="360" w:lineRule="auto"/>
        <w:ind w:firstLine="720"/>
        <w:jc w:val="both"/>
        <w:rPr>
          <w:rFonts w:eastAsia="Calibri"/>
        </w:rPr>
      </w:pPr>
      <w:r w:rsidRPr="00A831E7">
        <w:rPr>
          <w:rFonts w:eastAsia="Calibri"/>
        </w:rPr>
        <w:t>Το παροδικό ισχαιμικό εγκεφαλικό επεισόδιο</w:t>
      </w:r>
      <w:r w:rsidR="0016376B" w:rsidRPr="0016376B">
        <w:rPr>
          <w:rFonts w:eastAsia="Calibri"/>
        </w:rPr>
        <w:t xml:space="preserve"> (</w:t>
      </w:r>
      <w:r w:rsidR="0016376B">
        <w:rPr>
          <w:rFonts w:eastAsia="Calibri"/>
          <w:lang w:val="en-US"/>
        </w:rPr>
        <w:t>TIA</w:t>
      </w:r>
      <w:r w:rsidR="0016376B" w:rsidRPr="0016376B">
        <w:rPr>
          <w:rFonts w:eastAsia="Calibri"/>
        </w:rPr>
        <w:t>)</w:t>
      </w:r>
      <w:r w:rsidRPr="00A831E7">
        <w:rPr>
          <w:rFonts w:eastAsia="Calibri"/>
        </w:rPr>
        <w:t xml:space="preserve"> αποτελεί σημαντικό προειδοποιητικό σημείο ενός πιθανού μελλοντικού εγκεφαλικού επεισοδίου. Ονομάζεται παροδικό διότι η αιματική ροή σε ένα σημείο του εγκεφάλου διακόπτεται προσωρινά. Εκδηλώνεται με νευρολογικό έλλειμμα που υποχωρεί εντός 24ώρου </w:t>
      </w:r>
      <w:r w:rsidR="003F6BC2" w:rsidRPr="00A831E7">
        <w:rPr>
          <w:rFonts w:eastAsia="Calibri"/>
        </w:rPr>
        <w:t>–</w:t>
      </w:r>
      <w:r w:rsidR="00E14525" w:rsidRPr="00A831E7">
        <w:rPr>
          <w:rFonts w:eastAsia="Calibri"/>
        </w:rPr>
        <w:t xml:space="preserve"> </w:t>
      </w:r>
      <w:r w:rsidRPr="00A831E7">
        <w:rPr>
          <w:rFonts w:eastAsia="Calibri"/>
        </w:rPr>
        <w:t>στο 80% των περιπτώσεων, υποχωρεί εντός 30'</w:t>
      </w:r>
      <w:r w:rsidR="00E14525" w:rsidRPr="00A831E7">
        <w:rPr>
          <w:rFonts w:eastAsia="Calibri"/>
        </w:rPr>
        <w:t xml:space="preserve"> </w:t>
      </w:r>
      <w:r w:rsidR="003F6BC2" w:rsidRPr="00A831E7">
        <w:rPr>
          <w:rFonts w:eastAsia="Calibri"/>
        </w:rPr>
        <w:t>–</w:t>
      </w:r>
      <w:r w:rsidRPr="00A831E7">
        <w:rPr>
          <w:rFonts w:eastAsia="Calibri"/>
        </w:rPr>
        <w:t xml:space="preserve"> και είναι θρομβωτικού τύπου</w:t>
      </w:r>
      <w:r w:rsidR="00BB0A2F" w:rsidRPr="00A831E7">
        <w:rPr>
          <w:rFonts w:eastAsia="Calibri"/>
        </w:rPr>
        <w:t xml:space="preserve"> </w:t>
      </w:r>
      <w:r w:rsidR="00BB0A2F" w:rsidRPr="00A831E7">
        <w:rPr>
          <w:rFonts w:eastAsia="Calibri"/>
        </w:rPr>
        <w:fldChar w:fldCharType="begin"/>
      </w:r>
      <w:r w:rsidR="00BB0A2F" w:rsidRPr="00A831E7">
        <w:rPr>
          <w:rFonts w:eastAsia="Calibri"/>
        </w:rPr>
        <w:instrText xml:space="preserve"> ADDIN ZOTERO_ITEM CSL_CITATION {"citationID":"NqfSYiaR","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BB0A2F" w:rsidRPr="00A831E7">
        <w:rPr>
          <w:rFonts w:eastAsia="Calibri"/>
        </w:rPr>
        <w:fldChar w:fldCharType="separate"/>
      </w:r>
      <w:r w:rsidR="00BB0A2F" w:rsidRPr="00A831E7">
        <w:rPr>
          <w:rFonts w:eastAsia="Calibri"/>
        </w:rPr>
        <w:t>[9]</w:t>
      </w:r>
      <w:r w:rsidR="00BB0A2F" w:rsidRPr="00A831E7">
        <w:rPr>
          <w:rFonts w:eastAsia="Calibri"/>
        </w:rPr>
        <w:fldChar w:fldCharType="end"/>
      </w:r>
      <w:r w:rsidRPr="00A831E7">
        <w:rPr>
          <w:rFonts w:eastAsia="Calibri"/>
        </w:rPr>
        <w:t xml:space="preserve">. Η συχνότητα πρόσφατου TIA ανέρχεται σε 50-75% σε ασθενείς με προηγούμενο ιστορικό TIA θρομβωτικής ή εξωκρανιακής καρωτιδικής αιτίας και μόνο σε 10% των υπόλοιπων τύπων ΑΕΕ </w:t>
      </w:r>
      <w:r w:rsidRPr="00A831E7">
        <w:rPr>
          <w:rFonts w:eastAsia="Calibri"/>
        </w:rPr>
        <w:fldChar w:fldCharType="begin"/>
      </w:r>
      <w:r w:rsidRPr="00A831E7">
        <w:rPr>
          <w:rFonts w:eastAsia="Calibri"/>
        </w:rPr>
        <w:instrText xml:space="preserve"> ADDIN ZOTERO_ITEM CSL_CITATION {"citationID":"hAoeTqCw","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Pr="00A831E7">
        <w:rPr>
          <w:rFonts w:eastAsia="Calibri"/>
        </w:rPr>
        <w:fldChar w:fldCharType="separate"/>
      </w:r>
      <w:r w:rsidRPr="00A831E7">
        <w:rPr>
          <w:rFonts w:eastAsia="Calibri"/>
        </w:rPr>
        <w:t>[9]</w:t>
      </w:r>
      <w:r w:rsidRPr="00A831E7">
        <w:rPr>
          <w:rFonts w:eastAsia="Calibri"/>
        </w:rPr>
        <w:fldChar w:fldCharType="end"/>
      </w:r>
      <w:r w:rsidRPr="00A831E7">
        <w:rPr>
          <w:rFonts w:eastAsia="Calibri"/>
        </w:rPr>
        <w:t xml:space="preserve">. </w:t>
      </w:r>
      <w:r w:rsidR="00593025" w:rsidRPr="00A831E7">
        <w:rPr>
          <w:rFonts w:eastAsia="Calibri"/>
        </w:rPr>
        <w:t>Ένα παροδικό ισχαιμικό ΑΕΕ</w:t>
      </w:r>
      <w:r w:rsidRPr="00A831E7">
        <w:rPr>
          <w:rFonts w:eastAsia="Calibri"/>
        </w:rPr>
        <w:t xml:space="preserve"> προκαλεί αναστρέψιμη νευρολογική βλάβη</w:t>
      </w:r>
      <w:r w:rsidR="00593025" w:rsidRPr="00A831E7">
        <w:rPr>
          <w:rFonts w:eastAsia="Calibri"/>
        </w:rPr>
        <w:t xml:space="preserve"> και όχι μόνιμη εγκεφαλική </w:t>
      </w:r>
      <w:r w:rsidR="00766779" w:rsidRPr="00A831E7">
        <w:rPr>
          <w:rFonts w:eastAsia="Calibri"/>
        </w:rPr>
        <w:t>βλάβη</w:t>
      </w:r>
      <w:r w:rsidR="00593025" w:rsidRPr="00A831E7">
        <w:rPr>
          <w:rFonts w:eastAsia="Calibri"/>
        </w:rPr>
        <w:t xml:space="preserve"> </w:t>
      </w:r>
      <w:r w:rsidR="00593025" w:rsidRPr="00A831E7">
        <w:rPr>
          <w:rFonts w:eastAsia="Calibri"/>
        </w:rPr>
        <w:fldChar w:fldCharType="begin"/>
      </w:r>
      <w:r w:rsidR="00593025" w:rsidRPr="00A831E7">
        <w:rPr>
          <w:rFonts w:eastAsia="Calibri"/>
        </w:rPr>
        <w:instrText xml:space="preserve"> ADDIN ZOTERO_ITEM CSL_CITATION {"citationID":"kmquioyN","properties":{"formattedCitation":"[16]","plainCitation":"[16]","noteIndex":0},"citationItems":[{"id":172,"uris":["http://zotero.org/users/local/mfHf28QG/items/NFV5AQIQ"],"itemData":{"id":172,"type":"article-journal","abstract":"There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593025" w:rsidRPr="00A831E7">
        <w:rPr>
          <w:rFonts w:eastAsia="Calibri"/>
        </w:rPr>
        <w:fldChar w:fldCharType="separate"/>
      </w:r>
      <w:r w:rsidR="00593025" w:rsidRPr="00A831E7">
        <w:rPr>
          <w:rFonts w:eastAsia="Calibri"/>
        </w:rPr>
        <w:t>[16]</w:t>
      </w:r>
      <w:r w:rsidR="00593025" w:rsidRPr="00A831E7">
        <w:rPr>
          <w:rFonts w:eastAsia="Calibri"/>
        </w:rPr>
        <w:fldChar w:fldCharType="end"/>
      </w:r>
      <w:r w:rsidRPr="00A831E7">
        <w:rPr>
          <w:rFonts w:eastAsia="Calibri"/>
        </w:rPr>
        <w:t>. Ωστόσο</w:t>
      </w:r>
      <w:r w:rsidR="00E14525" w:rsidRPr="00A831E7">
        <w:rPr>
          <w:rFonts w:eastAsia="Calibri"/>
        </w:rPr>
        <w:t>,</w:t>
      </w:r>
      <w:r w:rsidRPr="00A831E7">
        <w:rPr>
          <w:rFonts w:eastAsia="Calibri"/>
        </w:rPr>
        <w:t xml:space="preserve"> ένα TIA αποτελεί ένδειξη διαταραγμένης αιματικής ροής στον εγκέφαλο και πρέπει το κάθε περιστατικό να αντιμετωπιστεί </w:t>
      </w:r>
      <w:r w:rsidR="00BB0A2F" w:rsidRPr="00A831E7">
        <w:rPr>
          <w:rFonts w:eastAsia="Calibri"/>
        </w:rPr>
        <w:t xml:space="preserve">και να εκτιμηθεί ως </w:t>
      </w:r>
      <w:r w:rsidRPr="00A831E7">
        <w:rPr>
          <w:rFonts w:eastAsia="Calibri"/>
        </w:rPr>
        <w:t>σοβαρό ΑΕΕ προκειμένου να εντοπιστεί η υποκείμενη θεραπεύσιμη αιτία η οποία μπορεί να οδηγήσει σε βαριάς μορφής ΑΕΕ [9].</w:t>
      </w:r>
    </w:p>
    <w:p w14:paraId="6005FA52" w14:textId="77777777" w:rsidR="000128CC" w:rsidRPr="00A831E7" w:rsidRDefault="000128CC" w:rsidP="00802952">
      <w:pPr>
        <w:spacing w:line="360" w:lineRule="auto"/>
        <w:rPr>
          <w:rFonts w:eastAsia="Calibri"/>
        </w:rPr>
      </w:pPr>
    </w:p>
    <w:p w14:paraId="3F9A33CF" w14:textId="77777777" w:rsidR="00F32EEE" w:rsidRPr="00A831E7" w:rsidRDefault="00F32EEE" w:rsidP="00802952">
      <w:pPr>
        <w:spacing w:line="360" w:lineRule="auto"/>
        <w:rPr>
          <w:rFonts w:eastAsia="Calibri"/>
        </w:rPr>
      </w:pPr>
    </w:p>
    <w:p w14:paraId="05DB0F36" w14:textId="44592AB1" w:rsidR="000128CC" w:rsidRPr="00A831E7" w:rsidRDefault="0091505C" w:rsidP="0091505C">
      <w:pPr>
        <w:pStyle w:val="af5"/>
        <w:jc w:val="center"/>
        <w:rPr>
          <w:rFonts w:eastAsia="Calibri"/>
          <w:b/>
          <w:bCs/>
          <w:color w:val="auto"/>
          <w:sz w:val="20"/>
          <w:szCs w:val="20"/>
        </w:rPr>
      </w:pPr>
      <w:bookmarkStart w:id="29" w:name="_Toc199787737"/>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2</w:t>
      </w:r>
      <w:r w:rsidRPr="00A831E7">
        <w:rPr>
          <w:b/>
          <w:bCs/>
          <w:color w:val="auto"/>
          <w:sz w:val="20"/>
          <w:szCs w:val="20"/>
        </w:rPr>
        <w:fldChar w:fldCharType="end"/>
      </w:r>
      <w:r w:rsidRPr="00A831E7">
        <w:rPr>
          <w:rFonts w:eastAsia="Calibri"/>
          <w:b/>
          <w:bCs/>
          <w:color w:val="auto"/>
          <w:sz w:val="20"/>
          <w:szCs w:val="20"/>
        </w:rPr>
        <w:t xml:space="preserve">: Κοινά Σημεία και Συμπτώματα ΑΕΕ και TIA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jRIjfYli","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[9]</w:t>
      </w:r>
      <w:bookmarkEnd w:id="29"/>
      <w:r w:rsidRPr="00A831E7">
        <w:rPr>
          <w:rFonts w:eastAsia="Calibri"/>
          <w:b/>
          <w:bCs/>
          <w:color w:val="auto"/>
          <w:sz w:val="20"/>
          <w:szCs w:val="20"/>
        </w:rPr>
        <w:fldChar w:fldCharType="end"/>
      </w:r>
    </w:p>
    <w:tbl>
      <w:tblPr>
        <w:tblStyle w:val="af0"/>
        <w:tblW w:w="5000" w:type="pct"/>
        <w:tblLook w:val="04A0" w:firstRow="1" w:lastRow="0" w:firstColumn="1" w:lastColumn="0" w:noHBand="0" w:noVBand="1"/>
      </w:tblPr>
      <w:tblGrid>
        <w:gridCol w:w="4151"/>
        <w:gridCol w:w="4151"/>
      </w:tblGrid>
      <w:tr w:rsidR="000128CC" w:rsidRPr="00A831E7" w14:paraId="2E58163A" w14:textId="77777777" w:rsidTr="0057069D">
        <w:trPr>
          <w:trHeight w:val="264"/>
          <w:tblHeader/>
        </w:trPr>
        <w:tc>
          <w:tcPr>
            <w:tcW w:w="2500" w:type="pct"/>
            <w:shd w:val="clear" w:color="auto" w:fill="D9D9D9" w:themeFill="background1" w:themeFillShade="D9"/>
          </w:tcPr>
          <w:p w14:paraId="23603459" w14:textId="057F2890" w:rsidR="000128CC" w:rsidRPr="00A831E7" w:rsidRDefault="000128CC" w:rsidP="000128CC">
            <w:pPr>
              <w:rPr>
                <w:rFonts w:eastAsia="Calibri"/>
                <w:b/>
                <w:bCs/>
                <w:sz w:val="20"/>
                <w:szCs w:val="20"/>
              </w:rPr>
            </w:pPr>
            <w:r w:rsidRPr="00A831E7">
              <w:rPr>
                <w:rFonts w:eastAsia="Calibri"/>
                <w:b/>
                <w:bCs/>
                <w:sz w:val="20"/>
                <w:szCs w:val="20"/>
              </w:rPr>
              <w:t>Πρόσθια κυκλοφορία (καρωτίδα)</w:t>
            </w:r>
          </w:p>
        </w:tc>
        <w:tc>
          <w:tcPr>
            <w:tcW w:w="2500" w:type="pct"/>
            <w:shd w:val="clear" w:color="auto" w:fill="D9D9D9" w:themeFill="background1" w:themeFillShade="D9"/>
          </w:tcPr>
          <w:p w14:paraId="64F88D78" w14:textId="6539D0AE" w:rsidR="000128CC" w:rsidRPr="00A831E7" w:rsidRDefault="000128CC" w:rsidP="000128CC">
            <w:pPr>
              <w:rPr>
                <w:rFonts w:eastAsia="Calibri"/>
                <w:b/>
                <w:bCs/>
                <w:sz w:val="20"/>
                <w:szCs w:val="20"/>
              </w:rPr>
            </w:pPr>
            <w:r w:rsidRPr="00A831E7">
              <w:rPr>
                <w:rFonts w:eastAsia="Calibri"/>
                <w:b/>
                <w:bCs/>
                <w:sz w:val="20"/>
                <w:szCs w:val="20"/>
              </w:rPr>
              <w:t xml:space="preserve"> Σπονδυλοβασική κυκλοφορία </w:t>
            </w:r>
          </w:p>
        </w:tc>
      </w:tr>
      <w:tr w:rsidR="008F5648" w:rsidRPr="00A831E7" w14:paraId="79A9D0DA" w14:textId="77777777" w:rsidTr="000128CC">
        <w:trPr>
          <w:trHeight w:val="1880"/>
        </w:trPr>
        <w:tc>
          <w:tcPr>
            <w:tcW w:w="2500" w:type="pct"/>
          </w:tcPr>
          <w:p w14:paraId="0D7C839C" w14:textId="17B1E3D9" w:rsidR="008F5648" w:rsidRPr="00A831E7" w:rsidRDefault="001D0B8E" w:rsidP="001D0B8E">
            <w:pPr>
              <w:rPr>
                <w:rFonts w:eastAsia="Calibri"/>
                <w:sz w:val="20"/>
                <w:szCs w:val="20"/>
              </w:rPr>
            </w:pPr>
            <w:r w:rsidRPr="00A831E7">
              <w:rPr>
                <w:rFonts w:eastAsia="Calibri"/>
                <w:sz w:val="20"/>
                <w:szCs w:val="20"/>
              </w:rPr>
              <w:t xml:space="preserve">• </w:t>
            </w:r>
            <w:r w:rsidR="008F5648" w:rsidRPr="00A831E7">
              <w:rPr>
                <w:rFonts w:eastAsia="Calibri"/>
                <w:sz w:val="20"/>
                <w:szCs w:val="20"/>
              </w:rPr>
              <w:t xml:space="preserve">θάμβος ή αμαύρωση ενός οφθαλμού </w:t>
            </w:r>
          </w:p>
          <w:p w14:paraId="6178BA29" w14:textId="77777777" w:rsidR="008F5648" w:rsidRPr="00A831E7" w:rsidRDefault="008F5648" w:rsidP="008F5648">
            <w:pPr>
              <w:rPr>
                <w:rFonts w:eastAsia="Calibri"/>
                <w:sz w:val="20"/>
                <w:szCs w:val="20"/>
              </w:rPr>
            </w:pPr>
            <w:r w:rsidRPr="00A831E7">
              <w:rPr>
                <w:rFonts w:eastAsia="Calibri"/>
                <w:sz w:val="20"/>
                <w:szCs w:val="20"/>
              </w:rPr>
              <w:t xml:space="preserve">• αδυναμία - υπαισθησία ενός κάτω άκρου </w:t>
            </w:r>
          </w:p>
          <w:p w14:paraId="7E03F0C3" w14:textId="77777777" w:rsidR="001D0B8E" w:rsidRPr="00A831E7" w:rsidRDefault="008F5648" w:rsidP="008F5648">
            <w:pPr>
              <w:rPr>
                <w:rFonts w:eastAsia="Calibri"/>
                <w:sz w:val="20"/>
                <w:szCs w:val="20"/>
              </w:rPr>
            </w:pPr>
            <w:r w:rsidRPr="00A831E7">
              <w:rPr>
                <w:rFonts w:eastAsia="Calibri"/>
                <w:sz w:val="20"/>
                <w:szCs w:val="20"/>
              </w:rPr>
              <w:t xml:space="preserve">• αδυναμία - υπαισθησία ημι-προσώπου και </w:t>
            </w:r>
          </w:p>
          <w:p w14:paraId="7AE59DB7" w14:textId="77777777" w:rsidR="001D0B8E" w:rsidRPr="00A831E7" w:rsidRDefault="008F5648" w:rsidP="008F5648">
            <w:pPr>
              <w:rPr>
                <w:rFonts w:eastAsia="Calibri"/>
                <w:sz w:val="20"/>
                <w:szCs w:val="20"/>
              </w:rPr>
            </w:pPr>
            <w:r w:rsidRPr="00A831E7">
              <w:rPr>
                <w:rFonts w:eastAsia="Calibri"/>
                <w:sz w:val="20"/>
                <w:szCs w:val="20"/>
              </w:rPr>
              <w:t xml:space="preserve"> </w:t>
            </w:r>
            <w:r w:rsidR="001D0B8E" w:rsidRPr="00A831E7">
              <w:rPr>
                <w:rFonts w:eastAsia="Calibri"/>
                <w:sz w:val="20"/>
                <w:szCs w:val="20"/>
              </w:rPr>
              <w:t xml:space="preserve"> </w:t>
            </w:r>
            <w:r w:rsidRPr="00A831E7">
              <w:rPr>
                <w:rFonts w:eastAsia="Calibri"/>
                <w:sz w:val="20"/>
                <w:szCs w:val="20"/>
              </w:rPr>
              <w:t>ομόπλευρου άνω άκρου (ίσως και κάτω</w:t>
            </w:r>
          </w:p>
          <w:p w14:paraId="3560259F" w14:textId="55E07B3A" w:rsidR="008F5648" w:rsidRPr="00A831E7" w:rsidRDefault="001D0B8E" w:rsidP="008F5648">
            <w:pPr>
              <w:rPr>
                <w:rFonts w:eastAsia="Calibri"/>
                <w:sz w:val="20"/>
                <w:szCs w:val="20"/>
              </w:rPr>
            </w:pPr>
            <w:r w:rsidRPr="00A831E7">
              <w:rPr>
                <w:rFonts w:eastAsia="Calibri"/>
                <w:sz w:val="20"/>
                <w:szCs w:val="20"/>
              </w:rPr>
              <w:t xml:space="preserve"> </w:t>
            </w:r>
            <w:r w:rsidR="008F5648" w:rsidRPr="00A831E7">
              <w:rPr>
                <w:rFonts w:eastAsia="Calibri"/>
                <w:sz w:val="20"/>
                <w:szCs w:val="20"/>
              </w:rPr>
              <w:t xml:space="preserve"> άκρου σε ήπιο βαθμό) </w:t>
            </w:r>
          </w:p>
          <w:p w14:paraId="04597C8D" w14:textId="3AABE421" w:rsidR="003472FE" w:rsidRPr="00A831E7" w:rsidRDefault="008F5648" w:rsidP="008F5648">
            <w:pPr>
              <w:rPr>
                <w:rFonts w:eastAsia="Calibri"/>
                <w:sz w:val="20"/>
                <w:szCs w:val="20"/>
              </w:rPr>
            </w:pPr>
            <w:r w:rsidRPr="00A831E7">
              <w:rPr>
                <w:rFonts w:eastAsia="Calibri"/>
                <w:sz w:val="20"/>
                <w:szCs w:val="20"/>
              </w:rPr>
              <w:t>• αφασία</w:t>
            </w:r>
          </w:p>
        </w:tc>
        <w:tc>
          <w:tcPr>
            <w:tcW w:w="2500" w:type="pct"/>
          </w:tcPr>
          <w:p w14:paraId="41F02E44" w14:textId="77777777" w:rsidR="008F5648" w:rsidRPr="00A831E7" w:rsidRDefault="008F5648" w:rsidP="008F5648">
            <w:pPr>
              <w:rPr>
                <w:rFonts w:eastAsia="Calibri"/>
                <w:sz w:val="20"/>
                <w:szCs w:val="20"/>
              </w:rPr>
            </w:pPr>
            <w:r w:rsidRPr="00A831E7">
              <w:rPr>
                <w:rFonts w:eastAsia="Calibri"/>
                <w:sz w:val="20"/>
                <w:szCs w:val="20"/>
              </w:rPr>
              <w:t xml:space="preserve">• διπλωπία </w:t>
            </w:r>
          </w:p>
          <w:p w14:paraId="48DF56A6" w14:textId="77777777" w:rsidR="008F5648" w:rsidRPr="00A831E7" w:rsidRDefault="008F5648" w:rsidP="008F5648">
            <w:pPr>
              <w:rPr>
                <w:rFonts w:eastAsia="Calibri"/>
                <w:sz w:val="20"/>
                <w:szCs w:val="20"/>
              </w:rPr>
            </w:pPr>
            <w:r w:rsidRPr="00A831E7">
              <w:rPr>
                <w:rFonts w:eastAsia="Calibri"/>
                <w:sz w:val="20"/>
                <w:szCs w:val="20"/>
              </w:rPr>
              <w:t xml:space="preserve">• δυσκαταποσία </w:t>
            </w:r>
          </w:p>
          <w:p w14:paraId="55CB2EA5" w14:textId="070078B6" w:rsidR="008F5648" w:rsidRPr="00A831E7" w:rsidRDefault="008F5648" w:rsidP="008F5648">
            <w:pPr>
              <w:rPr>
                <w:rFonts w:eastAsia="Calibri"/>
                <w:sz w:val="20"/>
                <w:szCs w:val="20"/>
              </w:rPr>
            </w:pPr>
            <w:r w:rsidRPr="00A831E7">
              <w:rPr>
                <w:rFonts w:eastAsia="Calibri"/>
                <w:sz w:val="20"/>
                <w:szCs w:val="20"/>
              </w:rPr>
              <w:t xml:space="preserve">• ίλιγγος </w:t>
            </w:r>
          </w:p>
          <w:p w14:paraId="3EACA676" w14:textId="77777777" w:rsidR="008F5648" w:rsidRPr="00A831E7" w:rsidRDefault="008F5648" w:rsidP="008F5648">
            <w:pPr>
              <w:rPr>
                <w:rFonts w:eastAsia="Calibri"/>
                <w:sz w:val="20"/>
                <w:szCs w:val="20"/>
              </w:rPr>
            </w:pPr>
            <w:r w:rsidRPr="00A831E7">
              <w:rPr>
                <w:rFonts w:eastAsia="Calibri"/>
                <w:sz w:val="20"/>
                <w:szCs w:val="20"/>
              </w:rPr>
              <w:t xml:space="preserve">• διαταραχή ισορροπίας </w:t>
            </w:r>
          </w:p>
          <w:p w14:paraId="03D0AC53" w14:textId="77777777" w:rsidR="008F5648" w:rsidRPr="00A831E7" w:rsidRDefault="008F5648" w:rsidP="008F5648">
            <w:pPr>
              <w:rPr>
                <w:rFonts w:eastAsia="Calibri"/>
                <w:sz w:val="20"/>
                <w:szCs w:val="20"/>
              </w:rPr>
            </w:pPr>
            <w:r w:rsidRPr="00A831E7">
              <w:rPr>
                <w:rFonts w:eastAsia="Calibri"/>
                <w:sz w:val="20"/>
                <w:szCs w:val="20"/>
              </w:rPr>
              <w:t xml:space="preserve">• διαταραχή επιπέδου συνείδησης </w:t>
            </w:r>
          </w:p>
          <w:p w14:paraId="388966A5" w14:textId="77777777" w:rsidR="006F1779" w:rsidRPr="00A831E7" w:rsidRDefault="008F5648" w:rsidP="008F5648">
            <w:pPr>
              <w:rPr>
                <w:rFonts w:eastAsia="Calibri"/>
                <w:sz w:val="20"/>
                <w:szCs w:val="20"/>
              </w:rPr>
            </w:pPr>
            <w:r w:rsidRPr="00A831E7">
              <w:rPr>
                <w:rFonts w:eastAsia="Calibri"/>
                <w:sz w:val="20"/>
                <w:szCs w:val="20"/>
              </w:rPr>
              <w:t>• συνδυασμός ενός ή περισσοτέρων από</w:t>
            </w:r>
          </w:p>
          <w:p w14:paraId="780BD9A7" w14:textId="4C7EAB20" w:rsidR="003472FE" w:rsidRPr="00A831E7" w:rsidRDefault="006F1779" w:rsidP="008F5648">
            <w:pPr>
              <w:rPr>
                <w:rFonts w:eastAsia="Calibri"/>
                <w:sz w:val="20"/>
                <w:szCs w:val="20"/>
              </w:rPr>
            </w:pPr>
            <w:r w:rsidRPr="00A831E7">
              <w:rPr>
                <w:rFonts w:eastAsia="Calibri"/>
                <w:sz w:val="20"/>
                <w:szCs w:val="20"/>
              </w:rPr>
              <w:t xml:space="preserve">  </w:t>
            </w:r>
            <w:r w:rsidR="008F5648" w:rsidRPr="00A831E7">
              <w:rPr>
                <w:rFonts w:eastAsia="Calibri"/>
                <w:sz w:val="20"/>
                <w:szCs w:val="20"/>
              </w:rPr>
              <w:t xml:space="preserve"> τα παραπάνω με ημιπάρεση και </w:t>
            </w:r>
            <w:r w:rsidRPr="00A831E7">
              <w:rPr>
                <w:rFonts w:eastAsia="Calibri"/>
                <w:sz w:val="20"/>
                <w:szCs w:val="20"/>
              </w:rPr>
              <w:br/>
              <w:t xml:space="preserve">   </w:t>
            </w:r>
            <w:r w:rsidR="008F5648" w:rsidRPr="00A831E7">
              <w:rPr>
                <w:rFonts w:eastAsia="Calibri"/>
                <w:sz w:val="20"/>
                <w:szCs w:val="20"/>
              </w:rPr>
              <w:t>υπαισθησία</w:t>
            </w:r>
          </w:p>
        </w:tc>
      </w:tr>
    </w:tbl>
    <w:p w14:paraId="20231840" w14:textId="77777777" w:rsidR="004A673A" w:rsidRPr="00A831E7" w:rsidRDefault="004A673A" w:rsidP="00385093">
      <w:pPr>
        <w:spacing w:line="360" w:lineRule="auto"/>
        <w:jc w:val="both"/>
        <w:rPr>
          <w:rFonts w:eastAsia="Calibri"/>
          <w:b/>
          <w:bCs/>
          <w:i/>
          <w:iCs/>
        </w:rPr>
      </w:pPr>
      <w:bookmarkStart w:id="30" w:name="_Hlk184752951"/>
    </w:p>
    <w:p w14:paraId="59D29DF0" w14:textId="116FF64D" w:rsidR="00B71763" w:rsidRPr="008F5904" w:rsidRDefault="001F070D" w:rsidP="008F5904">
      <w:pPr>
        <w:pStyle w:val="3"/>
      </w:pPr>
      <w:bookmarkStart w:id="31" w:name="_Toc199787381"/>
      <w:bookmarkStart w:id="32" w:name="_Toc199946450"/>
      <w:r w:rsidRPr="008F5904">
        <w:t xml:space="preserve">1.2.2 </w:t>
      </w:r>
      <w:r w:rsidR="006338E3" w:rsidRPr="008F5904">
        <w:t>Αιμορραγικά</w:t>
      </w:r>
      <w:r w:rsidR="00B71763" w:rsidRPr="008F5904">
        <w:t xml:space="preserve"> ΑΕΕ</w:t>
      </w:r>
      <w:r w:rsidR="0016376B" w:rsidRPr="008F5904">
        <w:t xml:space="preserve"> (</w:t>
      </w:r>
      <w:r w:rsidR="0016376B" w:rsidRPr="008F5904">
        <w:rPr>
          <w:lang w:val="en-US"/>
        </w:rPr>
        <w:t>Hemorrhagic</w:t>
      </w:r>
      <w:r w:rsidR="0016376B" w:rsidRPr="008F5904">
        <w:t xml:space="preserve"> </w:t>
      </w:r>
      <w:r w:rsidR="0016376B" w:rsidRPr="008F5904">
        <w:rPr>
          <w:lang w:val="en-US"/>
        </w:rPr>
        <w:t>Stroke</w:t>
      </w:r>
      <w:r w:rsidR="0016376B" w:rsidRPr="008F5904">
        <w:t xml:space="preserve">, </w:t>
      </w:r>
      <w:r w:rsidR="0016376B" w:rsidRPr="008F5904">
        <w:rPr>
          <w:lang w:val="en-US"/>
        </w:rPr>
        <w:t>HS</w:t>
      </w:r>
      <w:r w:rsidR="0016376B" w:rsidRPr="008F5904">
        <w:t>)</w:t>
      </w:r>
      <w:bookmarkEnd w:id="31"/>
      <w:bookmarkEnd w:id="32"/>
    </w:p>
    <w:p w14:paraId="4DF223E0" w14:textId="78A878A9" w:rsidR="0016376B" w:rsidRPr="0016376B" w:rsidRDefault="0016376B" w:rsidP="0016376B">
      <w:pPr>
        <w:spacing w:line="360" w:lineRule="auto"/>
        <w:ind w:firstLine="720"/>
        <w:jc w:val="both"/>
        <w:rPr>
          <w:rFonts w:eastAsia="Calibri"/>
        </w:rPr>
      </w:pPr>
      <w:r>
        <w:rPr>
          <w:rFonts w:eastAsia="Calibri"/>
        </w:rPr>
        <w:t>Τα αιμορραγικά εγκεφαλικά επεισόδια (</w:t>
      </w:r>
      <w:r>
        <w:rPr>
          <w:rFonts w:eastAsia="Calibri"/>
          <w:lang w:val="en-US"/>
        </w:rPr>
        <w:t>HS</w:t>
      </w:r>
      <w:r w:rsidRPr="0016376B">
        <w:rPr>
          <w:rFonts w:eastAsia="Calibri"/>
        </w:rPr>
        <w:t>)</w:t>
      </w:r>
      <w:r>
        <w:rPr>
          <w:rFonts w:eastAsia="Calibri"/>
        </w:rPr>
        <w:t>, ο</w:t>
      </w:r>
      <w:r w:rsidR="006F1779" w:rsidRPr="00A831E7">
        <w:rPr>
          <w:rFonts w:eastAsia="Calibri"/>
        </w:rPr>
        <w:t>φείλονται</w:t>
      </w:r>
      <w:r w:rsidR="00F24916" w:rsidRPr="00A831E7">
        <w:rPr>
          <w:rFonts w:eastAsia="Calibri"/>
        </w:rPr>
        <w:t xml:space="preserve"> κυρίως</w:t>
      </w:r>
      <w:r w:rsidR="006F1779" w:rsidRPr="00A831E7">
        <w:rPr>
          <w:rFonts w:eastAsia="Calibri"/>
        </w:rPr>
        <w:t xml:space="preserve"> είτε στη ρήξη μίας αρτηρίας με αιμορραγία επί της επιφανείας του εγκεφάλου</w:t>
      </w:r>
      <w:r w:rsidR="00385093" w:rsidRPr="00A831E7">
        <w:rPr>
          <w:rFonts w:eastAsia="Calibri"/>
        </w:rPr>
        <w:t xml:space="preserve"> </w:t>
      </w:r>
      <w:r w:rsidR="006F1779" w:rsidRPr="00A831E7">
        <w:rPr>
          <w:rFonts w:eastAsia="Calibri"/>
        </w:rPr>
        <w:t>(</w:t>
      </w:r>
      <w:r w:rsidR="006F1779" w:rsidRPr="00A831E7">
        <w:rPr>
          <w:rFonts w:eastAsia="Calibri"/>
          <w:b/>
          <w:bCs/>
          <w:i/>
          <w:iCs/>
        </w:rPr>
        <w:t>υπαραχνοειδής αιμορραγία</w:t>
      </w:r>
      <w:r w:rsidR="00483326" w:rsidRPr="00A831E7">
        <w:rPr>
          <w:rFonts w:eastAsia="Calibri"/>
          <w:b/>
          <w:bCs/>
          <w:i/>
          <w:iCs/>
        </w:rPr>
        <w:t xml:space="preserve">, </w:t>
      </w:r>
      <w:r w:rsidR="006F1779" w:rsidRPr="00A831E7">
        <w:rPr>
          <w:rFonts w:eastAsia="Calibri"/>
          <w:b/>
          <w:bCs/>
          <w:i/>
          <w:iCs/>
        </w:rPr>
        <w:t>ΥΑ</w:t>
      </w:r>
      <w:r w:rsidR="006F1779" w:rsidRPr="00A831E7">
        <w:rPr>
          <w:rFonts w:eastAsia="Calibri"/>
        </w:rPr>
        <w:t>)</w:t>
      </w:r>
      <w:r w:rsidR="00E14525" w:rsidRPr="00A831E7">
        <w:rPr>
          <w:rFonts w:eastAsia="Calibri"/>
        </w:rPr>
        <w:t>,</w:t>
      </w:r>
      <w:r w:rsidR="006F1779" w:rsidRPr="00A831E7">
        <w:rPr>
          <w:rFonts w:eastAsia="Calibri"/>
        </w:rPr>
        <w:t xml:space="preserve"> είτε σε ενδοπαρεγχυματική αιμορραγία </w:t>
      </w:r>
      <w:r w:rsidR="00385093" w:rsidRPr="00A831E7">
        <w:rPr>
          <w:rFonts w:eastAsia="Calibri"/>
        </w:rPr>
        <w:t>(</w:t>
      </w:r>
      <w:r w:rsidR="006F1779" w:rsidRPr="00A831E7">
        <w:rPr>
          <w:rFonts w:eastAsia="Calibri"/>
          <w:b/>
          <w:bCs/>
          <w:i/>
          <w:iCs/>
        </w:rPr>
        <w:t>ενδοεγκεφαλική</w:t>
      </w:r>
      <w:r w:rsidR="00926901" w:rsidRPr="00A831E7">
        <w:rPr>
          <w:rFonts w:eastAsia="Calibri"/>
          <w:b/>
          <w:bCs/>
          <w:i/>
          <w:iCs/>
        </w:rPr>
        <w:t xml:space="preserve"> ή Intracerebral Hemorrhage</w:t>
      </w:r>
      <w:r w:rsidR="00483326" w:rsidRPr="00A831E7">
        <w:rPr>
          <w:rFonts w:eastAsia="Calibri"/>
          <w:b/>
          <w:bCs/>
          <w:i/>
          <w:iCs/>
        </w:rPr>
        <w:t xml:space="preserve">, </w:t>
      </w:r>
      <w:r w:rsidR="00926901" w:rsidRPr="00A831E7">
        <w:rPr>
          <w:rFonts w:eastAsia="Calibri"/>
          <w:b/>
          <w:bCs/>
          <w:i/>
          <w:iCs/>
        </w:rPr>
        <w:t>ICH</w:t>
      </w:r>
      <w:r w:rsidR="006F1779" w:rsidRPr="00A831E7">
        <w:rPr>
          <w:rFonts w:eastAsia="Calibri"/>
        </w:rPr>
        <w:t>). Η συχνότερη αιτία ΥΑ είναι η ρήξη ανευρύσματος. Οι αρτηριοφλεβικές δ</w:t>
      </w:r>
      <w:r w:rsidR="00926901" w:rsidRPr="00A831E7">
        <w:rPr>
          <w:rFonts w:eastAsia="Calibri"/>
        </w:rPr>
        <w:t>υσπλασίες</w:t>
      </w:r>
      <w:r w:rsidR="006F1779" w:rsidRPr="00A831E7">
        <w:rPr>
          <w:rFonts w:eastAsia="Calibri"/>
        </w:rPr>
        <w:t xml:space="preserve"> ενοχοποιούνται μόνο για το 5% των ΥΑ. Η υπέρταση είναι η συχνότερη αιτία </w:t>
      </w:r>
      <w:r w:rsidR="00926901" w:rsidRPr="00A831E7">
        <w:rPr>
          <w:rFonts w:eastAsia="Calibri"/>
        </w:rPr>
        <w:t xml:space="preserve">ICH </w:t>
      </w:r>
      <w:r w:rsidR="00926901" w:rsidRPr="00A831E7">
        <w:rPr>
          <w:rFonts w:eastAsia="Calibri"/>
        </w:rPr>
        <w:fldChar w:fldCharType="begin"/>
      </w:r>
      <w:r w:rsidR="00926901" w:rsidRPr="00A831E7">
        <w:rPr>
          <w:rFonts w:eastAsia="Calibri"/>
        </w:rPr>
        <w:instrText xml:space="preserve"> ADDIN ZOTERO_ITEM CSL_CITATION {"citationID":"u8SW9LH4","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926901" w:rsidRPr="00A831E7">
        <w:rPr>
          <w:rFonts w:eastAsia="Calibri"/>
        </w:rPr>
        <w:fldChar w:fldCharType="separate"/>
      </w:r>
      <w:r w:rsidR="00926901" w:rsidRPr="00A831E7">
        <w:rPr>
          <w:rFonts w:eastAsia="Calibri"/>
        </w:rPr>
        <w:t>[9]</w:t>
      </w:r>
      <w:r w:rsidR="00926901" w:rsidRPr="00A831E7">
        <w:rPr>
          <w:rFonts w:eastAsia="Calibri"/>
        </w:rPr>
        <w:fldChar w:fldCharType="end"/>
      </w:r>
      <w:r w:rsidR="006F1779" w:rsidRPr="00A831E7">
        <w:rPr>
          <w:rFonts w:eastAsia="Calibri"/>
        </w:rPr>
        <w:t xml:space="preserve">. </w:t>
      </w:r>
    </w:p>
    <w:p w14:paraId="0BB4D8D6" w14:textId="6E1D7CEE" w:rsidR="00385093" w:rsidRPr="0016376B" w:rsidRDefault="0041003F" w:rsidP="0016376B">
      <w:pPr>
        <w:spacing w:line="360" w:lineRule="auto"/>
        <w:jc w:val="both"/>
        <w:rPr>
          <w:rFonts w:eastAsia="Calibri"/>
        </w:rPr>
      </w:pPr>
      <w:r w:rsidRPr="00A831E7">
        <w:rPr>
          <w:rFonts w:eastAsia="Calibri"/>
        </w:rPr>
        <w:t>Συμπεριλαμβανομένων των παραπάνω προκύπτουν οι εξής κατηγορίες:</w:t>
      </w:r>
    </w:p>
    <w:p w14:paraId="71AEB653" w14:textId="75BE7A4C" w:rsidR="0016376B" w:rsidRPr="00730D74" w:rsidRDefault="006F1779" w:rsidP="00F32EEE">
      <w:pPr>
        <w:spacing w:line="360" w:lineRule="auto"/>
        <w:jc w:val="both"/>
        <w:rPr>
          <w:rFonts w:eastAsia="Calibri"/>
        </w:rPr>
      </w:pPr>
      <w:r w:rsidRPr="00A831E7">
        <w:rPr>
          <w:rFonts w:eastAsia="Calibri"/>
        </w:rPr>
        <w:t>•</w:t>
      </w:r>
      <w:r w:rsidR="00A50DA1" w:rsidRPr="00A831E7">
        <w:rPr>
          <w:rFonts w:eastAsia="Calibri"/>
        </w:rPr>
        <w:t xml:space="preserve"> </w:t>
      </w:r>
      <w:r w:rsidRPr="00A831E7">
        <w:rPr>
          <w:rFonts w:eastAsia="Calibri"/>
          <w:b/>
          <w:bCs/>
          <w:i/>
          <w:iCs/>
        </w:rPr>
        <w:t>Υπαραχνοειδής αιμορραγία</w:t>
      </w:r>
      <w:r w:rsidR="00926901" w:rsidRPr="00A831E7">
        <w:rPr>
          <w:rFonts w:eastAsia="Calibri"/>
          <w:b/>
          <w:bCs/>
          <w:i/>
          <w:iCs/>
        </w:rPr>
        <w:t xml:space="preserve"> (YA)</w:t>
      </w:r>
      <w:r w:rsidR="00385093" w:rsidRPr="00A831E7">
        <w:rPr>
          <w:rFonts w:eastAsia="Calibri"/>
        </w:rPr>
        <w:t xml:space="preserve">: </w:t>
      </w:r>
      <w:r w:rsidR="00F24916" w:rsidRPr="00A831E7">
        <w:rPr>
          <w:rFonts w:eastAsia="Calibri"/>
        </w:rPr>
        <w:t xml:space="preserve">Εμφανίζεται στο διάστημα μεταξύ του εγκεφάλου και των μεμβρανών, που καλύπτουν τον εγκέφαλο. Συχνή αιτία είναι η ρήξη του εγκεφαλικού ανευρύσματος ή η ρήξη μίας αρτηριοφλεβικής δυσπλασίας. </w:t>
      </w:r>
      <w:r w:rsidRPr="00A831E7">
        <w:rPr>
          <w:rFonts w:eastAsia="Calibri"/>
        </w:rPr>
        <w:t>Το συχνότερο σύμπτωμα</w:t>
      </w:r>
      <w:r w:rsidR="00385093" w:rsidRPr="00A831E7">
        <w:rPr>
          <w:rFonts w:eastAsia="Calibri"/>
        </w:rPr>
        <w:t xml:space="preserve"> </w:t>
      </w:r>
      <w:r w:rsidRPr="00A831E7">
        <w:rPr>
          <w:rFonts w:eastAsia="Calibri"/>
        </w:rPr>
        <w:t>στην υπαραχνοειδή αιμορραγία είναι η αιφνίδια ημικρανία</w:t>
      </w:r>
      <w:r w:rsidR="00385093" w:rsidRPr="00A831E7">
        <w:rPr>
          <w:rFonts w:eastAsia="Calibri"/>
        </w:rPr>
        <w:t xml:space="preserve">. Πρόκειται για </w:t>
      </w:r>
      <w:r w:rsidRPr="00A831E7">
        <w:rPr>
          <w:rFonts w:eastAsia="Calibri"/>
        </w:rPr>
        <w:t>επώδυνη κεφαλ</w:t>
      </w:r>
      <w:r w:rsidR="00385093" w:rsidRPr="00A831E7">
        <w:rPr>
          <w:rFonts w:eastAsia="Calibri"/>
        </w:rPr>
        <w:t>αλγία</w:t>
      </w:r>
      <w:r w:rsidRPr="00A831E7">
        <w:rPr>
          <w:rFonts w:eastAsia="Calibri"/>
        </w:rPr>
        <w:t xml:space="preserve"> </w:t>
      </w:r>
      <w:r w:rsidR="00385093" w:rsidRPr="00A831E7">
        <w:rPr>
          <w:rFonts w:eastAsia="Calibri"/>
        </w:rPr>
        <w:t>και οδηγεί τον ασθενή σε</w:t>
      </w:r>
      <w:r w:rsidR="0016376B" w:rsidRPr="0016376B">
        <w:rPr>
          <w:rFonts w:eastAsia="Calibri"/>
        </w:rPr>
        <w:t xml:space="preserve"> </w:t>
      </w:r>
      <w:r w:rsidR="0016376B">
        <w:rPr>
          <w:rFonts w:eastAsia="Calibri"/>
        </w:rPr>
        <w:t>άμεση</w:t>
      </w:r>
      <w:r w:rsidR="00385093" w:rsidRPr="00A831E7">
        <w:rPr>
          <w:rFonts w:eastAsia="Calibri"/>
        </w:rPr>
        <w:t xml:space="preserve"> αναζήτηση ιατρικής βοήθειας. Ε</w:t>
      </w:r>
      <w:r w:rsidRPr="00A831E7">
        <w:rPr>
          <w:rFonts w:eastAsia="Calibri"/>
        </w:rPr>
        <w:t xml:space="preserve">μφανίζεται μετά από σωματική κόπωση ή ψυχολογική καταπόνηση. Ο πόνος είναι διάχυτος και επεκτείνεται στον αυχένα και το πρόσωπο. </w:t>
      </w:r>
      <w:r w:rsidR="00385093" w:rsidRPr="00A831E7">
        <w:rPr>
          <w:rFonts w:eastAsia="Calibri"/>
        </w:rPr>
        <w:t xml:space="preserve">Μπορεί να συνοδεύεται και από </w:t>
      </w:r>
      <w:r w:rsidRPr="00A831E7">
        <w:rPr>
          <w:rFonts w:eastAsia="Calibri"/>
        </w:rPr>
        <w:t>παροδική απώλεια</w:t>
      </w:r>
      <w:r w:rsidR="005B7A13" w:rsidRPr="00A831E7">
        <w:rPr>
          <w:rFonts w:eastAsia="Calibri"/>
        </w:rPr>
        <w:t xml:space="preserve"> συνείδησης. Ωστόσο η απώλεια συνείδησης δεν είναι αποκλειστικό σύμπτωμα της ΥΑ αλλά μπορεί να οφείλεται και σε αρρυθμία ή επιληπτική κρίση.  </w:t>
      </w:r>
      <w:r w:rsidRPr="00A831E7">
        <w:rPr>
          <w:rFonts w:eastAsia="Calibri"/>
        </w:rPr>
        <w:t>Άλλα συμπτώματα που συνοδεύουν την ΥΑ είναι η ναυτία, ο έμετος, η αυχεναλγία, η μη ανοχή του θορύβου και του φωτός καθώς και διαταραχή του επιπέδου συνείδησης</w:t>
      </w:r>
      <w:r w:rsidR="00A50DA1" w:rsidRPr="00A831E7">
        <w:rPr>
          <w:rFonts w:eastAsia="Calibri"/>
        </w:rPr>
        <w:t>.</w:t>
      </w:r>
      <w:r w:rsidRPr="00A831E7">
        <w:rPr>
          <w:rFonts w:eastAsia="Calibri"/>
        </w:rPr>
        <w:t xml:space="preserve"> Το 25% των ασθενών με ΥΑ έχει προειδοποιητικά σημεία οφειλόμενα σε μικρή αιμορραγία</w:t>
      </w:r>
      <w:r w:rsidR="00926901" w:rsidRPr="00A831E7">
        <w:rPr>
          <w:rFonts w:eastAsia="Calibri"/>
        </w:rPr>
        <w:t xml:space="preserve"> </w:t>
      </w:r>
      <w:r w:rsidR="00926901" w:rsidRPr="00A831E7">
        <w:rPr>
          <w:rFonts w:eastAsia="Calibri"/>
        </w:rPr>
        <w:fldChar w:fldCharType="begin"/>
      </w:r>
      <w:r w:rsidR="00926901" w:rsidRPr="00A831E7">
        <w:rPr>
          <w:rFonts w:eastAsia="Calibri"/>
        </w:rPr>
        <w:instrText xml:space="preserve"> ADDIN ZOTERO_ITEM CSL_CITATION {"citationID":"4TcPqm3s","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926901" w:rsidRPr="00A831E7">
        <w:rPr>
          <w:rFonts w:eastAsia="Calibri"/>
        </w:rPr>
        <w:fldChar w:fldCharType="separate"/>
      </w:r>
      <w:r w:rsidR="00926901" w:rsidRPr="00A831E7">
        <w:rPr>
          <w:rFonts w:eastAsia="Calibri"/>
        </w:rPr>
        <w:t>[9]</w:t>
      </w:r>
      <w:r w:rsidR="00926901" w:rsidRPr="00A831E7">
        <w:rPr>
          <w:rFonts w:eastAsia="Calibri"/>
        </w:rPr>
        <w:fldChar w:fldCharType="end"/>
      </w:r>
      <w:r w:rsidRPr="00A831E7">
        <w:rPr>
          <w:rFonts w:eastAsia="Calibri"/>
        </w:rPr>
        <w:t xml:space="preserve">. </w:t>
      </w:r>
    </w:p>
    <w:p w14:paraId="4D01AF5E" w14:textId="7C652ED8" w:rsidR="00A50DA1" w:rsidRPr="00A831E7" w:rsidRDefault="00A50DA1" w:rsidP="00F32EEE">
      <w:pPr>
        <w:spacing w:line="360" w:lineRule="auto"/>
        <w:jc w:val="both"/>
        <w:rPr>
          <w:rFonts w:eastAsia="Calibri"/>
        </w:rPr>
      </w:pPr>
      <w:r w:rsidRPr="00A831E7">
        <w:rPr>
          <w:rFonts w:eastAsia="Calibri"/>
        </w:rPr>
        <w:t xml:space="preserve">•  </w:t>
      </w:r>
      <w:r w:rsidRPr="00A831E7">
        <w:rPr>
          <w:rFonts w:eastAsia="Calibri"/>
          <w:b/>
          <w:bCs/>
          <w:i/>
          <w:iCs/>
        </w:rPr>
        <w:t>Ενδοεγκεφαλική</w:t>
      </w:r>
      <w:r w:rsidR="00F24916" w:rsidRPr="00A831E7">
        <w:rPr>
          <w:rFonts w:eastAsia="Calibri"/>
          <w:b/>
          <w:bCs/>
          <w:i/>
          <w:iCs/>
        </w:rPr>
        <w:t>/ενδοπαρεγχυματική</w:t>
      </w:r>
      <w:r w:rsidR="00926901" w:rsidRPr="00A831E7">
        <w:rPr>
          <w:rFonts w:eastAsia="Calibri"/>
          <w:b/>
          <w:bCs/>
          <w:i/>
          <w:iCs/>
        </w:rPr>
        <w:t xml:space="preserve"> </w:t>
      </w:r>
      <w:r w:rsidRPr="00A831E7">
        <w:rPr>
          <w:rFonts w:eastAsia="Calibri"/>
          <w:b/>
          <w:bCs/>
          <w:i/>
          <w:iCs/>
        </w:rPr>
        <w:t>αιμορραγία</w:t>
      </w:r>
      <w:r w:rsidR="00926901" w:rsidRPr="00A831E7">
        <w:rPr>
          <w:rFonts w:eastAsia="Calibri"/>
          <w:b/>
          <w:bCs/>
          <w:i/>
          <w:iCs/>
        </w:rPr>
        <w:t xml:space="preserve"> (ICH)</w:t>
      </w:r>
      <w:r w:rsidRPr="00A831E7">
        <w:rPr>
          <w:rFonts w:eastAsia="Calibri"/>
        </w:rPr>
        <w:t>:</w:t>
      </w:r>
      <w:r w:rsidR="00F24916" w:rsidRPr="00A831E7">
        <w:rPr>
          <w:rFonts w:eastAsia="Calibri"/>
        </w:rPr>
        <w:t xml:space="preserve"> Εμφάνιση συμπτωμάτων μέσα στο εγκεφαλικό παρέγχυμα.</w:t>
      </w:r>
      <w:r w:rsidRPr="00A831E7">
        <w:rPr>
          <w:rFonts w:eastAsia="Calibri"/>
        </w:rPr>
        <w:t xml:space="preserve"> </w:t>
      </w:r>
      <w:r w:rsidR="0054650D" w:rsidRPr="00A831E7">
        <w:rPr>
          <w:rFonts w:eastAsia="Calibri"/>
        </w:rPr>
        <w:t>Όπως</w:t>
      </w:r>
      <w:r w:rsidRPr="00A831E7">
        <w:rPr>
          <w:rFonts w:eastAsia="Calibri"/>
        </w:rPr>
        <w:t xml:space="preserve"> και στο ισχαιμικό ΑΕΕ οι ασθενείς με ενδοεγκεφαλική αιμορραγία παρουσιάζουν την ίδια εστιακή συμπτωματολογία που </w:t>
      </w:r>
      <w:r w:rsidRPr="00A831E7">
        <w:rPr>
          <w:rFonts w:eastAsia="Calibri"/>
        </w:rPr>
        <w:lastRenderedPageBreak/>
        <w:t xml:space="preserve">συνοδεύεται συνήθως από μειωμένο επίπεδο συνείδησης, </w:t>
      </w:r>
      <w:r w:rsidR="00926901" w:rsidRPr="00A831E7">
        <w:rPr>
          <w:rFonts w:eastAsia="Calibri"/>
        </w:rPr>
        <w:t>κεφαλαλγία</w:t>
      </w:r>
      <w:r w:rsidRPr="00A831E7">
        <w:rPr>
          <w:rFonts w:eastAsia="Calibri"/>
        </w:rPr>
        <w:t xml:space="preserve"> και </w:t>
      </w:r>
      <w:r w:rsidR="00F24916" w:rsidRPr="00A831E7">
        <w:rPr>
          <w:rFonts w:eastAsia="Calibri"/>
        </w:rPr>
        <w:t>ε</w:t>
      </w:r>
      <w:r w:rsidRPr="00A831E7">
        <w:rPr>
          <w:rFonts w:eastAsia="Calibri"/>
        </w:rPr>
        <w:t>μετ</w:t>
      </w:r>
      <w:r w:rsidR="00F24916" w:rsidRPr="00A831E7">
        <w:rPr>
          <w:rFonts w:eastAsia="Calibri"/>
        </w:rPr>
        <w:t>ό</w:t>
      </w:r>
      <w:r w:rsidRPr="00A831E7">
        <w:rPr>
          <w:rFonts w:eastAsia="Calibri"/>
        </w:rPr>
        <w:t xml:space="preserve"> </w:t>
      </w:r>
      <w:r w:rsidRPr="00A831E7">
        <w:rPr>
          <w:rFonts w:eastAsia="Calibri"/>
          <w:i/>
          <w:iCs/>
        </w:rPr>
        <w:t>(Πίν</w:t>
      </w:r>
      <w:r w:rsidR="0041003F" w:rsidRPr="00A831E7">
        <w:rPr>
          <w:rFonts w:eastAsia="Calibri"/>
          <w:i/>
          <w:iCs/>
        </w:rPr>
        <w:t>ακας</w:t>
      </w:r>
      <w:r w:rsidRPr="00A831E7">
        <w:rPr>
          <w:rFonts w:eastAsia="Calibri"/>
          <w:i/>
          <w:iCs/>
        </w:rPr>
        <w:t xml:space="preserve"> </w:t>
      </w:r>
      <w:r w:rsidR="0011104D" w:rsidRPr="00A831E7">
        <w:rPr>
          <w:rFonts w:eastAsia="Calibri"/>
          <w:i/>
          <w:iCs/>
        </w:rPr>
        <w:t>3</w:t>
      </w:r>
      <w:r w:rsidRPr="00A831E7">
        <w:rPr>
          <w:rFonts w:eastAsia="Calibri"/>
          <w:i/>
          <w:iCs/>
        </w:rPr>
        <w:t>)</w:t>
      </w:r>
      <w:r w:rsidR="0041003F" w:rsidRPr="00A831E7">
        <w:rPr>
          <w:rFonts w:eastAsia="Calibri"/>
        </w:rPr>
        <w:t>.</w:t>
      </w:r>
    </w:p>
    <w:p w14:paraId="0D549136" w14:textId="74FE87CC" w:rsidR="00A50DA1" w:rsidRPr="00A831E7" w:rsidRDefault="00A50DA1" w:rsidP="00F32EEE">
      <w:pPr>
        <w:spacing w:line="360" w:lineRule="auto"/>
        <w:jc w:val="both"/>
        <w:rPr>
          <w:rFonts w:eastAsia="Calibri"/>
        </w:rPr>
      </w:pPr>
      <w:r w:rsidRPr="00A831E7">
        <w:rPr>
          <w:rFonts w:eastAsia="Calibri"/>
        </w:rPr>
        <w:t xml:space="preserve">• </w:t>
      </w:r>
      <w:r w:rsidRPr="00A831E7">
        <w:rPr>
          <w:rFonts w:eastAsia="Calibri"/>
          <w:b/>
          <w:bCs/>
          <w:i/>
          <w:iCs/>
        </w:rPr>
        <w:t>Ενδοπαρεγκεφαλιδική</w:t>
      </w:r>
      <w:r w:rsidR="00F24916" w:rsidRPr="00A831E7">
        <w:rPr>
          <w:rFonts w:eastAsia="Calibri"/>
          <w:b/>
          <w:bCs/>
          <w:i/>
          <w:iCs/>
        </w:rPr>
        <w:t>/ενδοκοιλιακή</w:t>
      </w:r>
      <w:r w:rsidRPr="00A831E7">
        <w:rPr>
          <w:rFonts w:eastAsia="Calibri"/>
          <w:b/>
          <w:bCs/>
          <w:i/>
          <w:iCs/>
        </w:rPr>
        <w:t xml:space="preserve"> αιμορραγία</w:t>
      </w:r>
      <w:r w:rsidRPr="00A831E7">
        <w:rPr>
          <w:rFonts w:eastAsia="Calibri"/>
        </w:rPr>
        <w:t>:</w:t>
      </w:r>
      <w:r w:rsidR="00F24916" w:rsidRPr="00A831E7">
        <w:rPr>
          <w:rFonts w:eastAsia="Calibri"/>
        </w:rPr>
        <w:t xml:space="preserve"> Εμφάνιση αιματώματος μέσα στις κοιλίες του εγκεφάλου. Εξαιτίας της ενδοκοιλιακής αιμορραγίας μπορεί να αναπτυχθεί αποφρακτική υδροκεφαλία, η οποία πολλές φορές είναι απειλητική για τη ζωή των ασθενών. Εμφανίζεται με </w:t>
      </w:r>
      <w:r w:rsidR="00C3409E">
        <w:rPr>
          <w:rFonts w:eastAsia="Calibri"/>
        </w:rPr>
        <w:t xml:space="preserve">συμπτώματα </w:t>
      </w:r>
      <w:r w:rsidRPr="00A831E7">
        <w:rPr>
          <w:rFonts w:eastAsia="Calibri"/>
        </w:rPr>
        <w:t>αιφνίδια</w:t>
      </w:r>
      <w:r w:rsidR="00C3409E">
        <w:rPr>
          <w:rFonts w:eastAsia="Calibri"/>
        </w:rPr>
        <w:t>ς</w:t>
      </w:r>
      <w:r w:rsidRPr="00A831E7">
        <w:rPr>
          <w:rFonts w:eastAsia="Calibri"/>
        </w:rPr>
        <w:t xml:space="preserve"> ζάλη</w:t>
      </w:r>
      <w:r w:rsidR="00C3409E">
        <w:rPr>
          <w:rFonts w:eastAsia="Calibri"/>
        </w:rPr>
        <w:t>ς</w:t>
      </w:r>
      <w:r w:rsidRPr="00A831E7">
        <w:rPr>
          <w:rFonts w:eastAsia="Calibri"/>
        </w:rPr>
        <w:t>, εμέτο</w:t>
      </w:r>
      <w:r w:rsidR="00C3409E">
        <w:rPr>
          <w:rFonts w:eastAsia="Calibri"/>
        </w:rPr>
        <w:t>υ</w:t>
      </w:r>
      <w:r w:rsidRPr="00A831E7">
        <w:rPr>
          <w:rFonts w:eastAsia="Calibri"/>
        </w:rPr>
        <w:t>, αταξία</w:t>
      </w:r>
      <w:r w:rsidR="00C3409E">
        <w:rPr>
          <w:rFonts w:eastAsia="Calibri"/>
        </w:rPr>
        <w:t>ς</w:t>
      </w:r>
      <w:r w:rsidRPr="00A831E7">
        <w:rPr>
          <w:rFonts w:eastAsia="Calibri"/>
        </w:rPr>
        <w:t xml:space="preserve"> και αδυναμία</w:t>
      </w:r>
      <w:r w:rsidR="00C3409E">
        <w:rPr>
          <w:rFonts w:eastAsia="Calibri"/>
        </w:rPr>
        <w:t>ς</w:t>
      </w:r>
      <w:r w:rsidRPr="00A831E7">
        <w:rPr>
          <w:rFonts w:eastAsia="Calibri"/>
        </w:rPr>
        <w:t xml:space="preserve"> βάδισης. Τα συμπτώματα αυτά μπορεί να συνοδεύονται από καθήλωση του βλέμματος και λήθαργο και να εξελιχθούν ταχύτατα σε κώμα και εγκολεασμό εάν δεν αντιμετωπιστούν χειρουργικά είτε με αποσυμπίεση είτε με παροχέτευση του αιματώματος</w:t>
      </w:r>
      <w:r w:rsidR="00F24916" w:rsidRPr="00A831E7">
        <w:rPr>
          <w:rFonts w:eastAsia="Calibri"/>
        </w:rPr>
        <w:t xml:space="preserve"> </w:t>
      </w:r>
      <w:r w:rsidR="00F24916" w:rsidRPr="00A831E7">
        <w:rPr>
          <w:rFonts w:eastAsia="Calibri"/>
        </w:rPr>
        <w:fldChar w:fldCharType="begin"/>
      </w:r>
      <w:r w:rsidR="00F24916" w:rsidRPr="00A831E7">
        <w:rPr>
          <w:rFonts w:eastAsia="Calibri"/>
        </w:rPr>
        <w:instrText xml:space="preserve"> ADDIN ZOTERO_ITEM CSL_CITATION {"citationID":"7o26nFyJ","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00F24916" w:rsidRPr="00A831E7">
        <w:rPr>
          <w:rFonts w:eastAsia="Calibri"/>
        </w:rPr>
        <w:fldChar w:fldCharType="separate"/>
      </w:r>
      <w:r w:rsidR="00F24916" w:rsidRPr="00A831E7">
        <w:rPr>
          <w:rFonts w:eastAsia="Calibri"/>
        </w:rPr>
        <w:t>[9]</w:t>
      </w:r>
      <w:r w:rsidR="00F24916" w:rsidRPr="00A831E7">
        <w:rPr>
          <w:rFonts w:eastAsia="Calibri"/>
        </w:rPr>
        <w:fldChar w:fldCharType="end"/>
      </w:r>
      <w:r w:rsidRPr="00A831E7">
        <w:rPr>
          <w:rFonts w:eastAsia="Calibri"/>
        </w:rPr>
        <w:t>.</w:t>
      </w:r>
    </w:p>
    <w:p w14:paraId="2ED36002" w14:textId="77777777" w:rsidR="00B544EB" w:rsidRPr="00A831E7" w:rsidRDefault="00B544EB" w:rsidP="00F32EEE">
      <w:pPr>
        <w:spacing w:line="360" w:lineRule="auto"/>
        <w:jc w:val="both"/>
        <w:rPr>
          <w:rFonts w:eastAsia="Calibri"/>
        </w:rPr>
      </w:pPr>
    </w:p>
    <w:p w14:paraId="45C043B3" w14:textId="4F120C6F" w:rsidR="0041003F" w:rsidRPr="00A831E7" w:rsidRDefault="0091505C" w:rsidP="0091505C">
      <w:pPr>
        <w:pStyle w:val="af5"/>
        <w:jc w:val="center"/>
        <w:rPr>
          <w:rFonts w:eastAsia="Calibri"/>
          <w:b/>
          <w:bCs/>
          <w:color w:val="auto"/>
          <w:sz w:val="20"/>
          <w:szCs w:val="20"/>
        </w:rPr>
      </w:pPr>
      <w:bookmarkStart w:id="33" w:name="_Toc199787738"/>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3</w:t>
      </w:r>
      <w:r w:rsidRPr="00A831E7">
        <w:rPr>
          <w:b/>
          <w:bCs/>
          <w:color w:val="auto"/>
          <w:sz w:val="20"/>
          <w:szCs w:val="20"/>
        </w:rPr>
        <w:fldChar w:fldCharType="end"/>
      </w:r>
      <w:r w:rsidRPr="00A831E7">
        <w:rPr>
          <w:rFonts w:eastAsia="Calibri"/>
          <w:b/>
          <w:bCs/>
          <w:color w:val="auto"/>
          <w:sz w:val="20"/>
          <w:szCs w:val="20"/>
        </w:rPr>
        <w:t xml:space="preserve">: Αρχικά κλινικά σημεία που βοηθούν στη διαφορική διάγνωση μεταξύ αιμορραγικού και ισχαιμικού ΑΕΕ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fI1j8ERR","properties":{"formattedCitation":"[9]","plainCitation":"[9]","noteIndex":0},"citationItems":[{"id":1170,"uris":["http://zotero.org/users/local/mfHf28QG/items/3VB6LIME"],"itemData":{"id":1170,"type":"document","title":"11.pdf","URL":"https://anesthesia.gr/download/TOMOS_11/tefhos_23/11.pdf","accessed":{"date-parts":[["2024",12,18]]}},"suppress-author":true}],"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[9]</w:t>
      </w:r>
      <w:bookmarkEnd w:id="33"/>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2075"/>
        <w:gridCol w:w="2075"/>
        <w:gridCol w:w="2076"/>
        <w:gridCol w:w="2076"/>
      </w:tblGrid>
      <w:tr w:rsidR="0041003F" w:rsidRPr="00A831E7" w14:paraId="059B3043" w14:textId="77777777" w:rsidTr="0057069D">
        <w:tc>
          <w:tcPr>
            <w:tcW w:w="2075" w:type="dxa"/>
            <w:shd w:val="clear" w:color="auto" w:fill="D9D9D9" w:themeFill="background1" w:themeFillShade="D9"/>
          </w:tcPr>
          <w:p w14:paraId="6E61DC6E" w14:textId="0DA9C54C" w:rsidR="0041003F" w:rsidRPr="00A831E7" w:rsidRDefault="000128CC" w:rsidP="0041003F">
            <w:pPr>
              <w:spacing w:line="360" w:lineRule="auto"/>
              <w:jc w:val="center"/>
              <w:rPr>
                <w:rFonts w:eastAsia="Calibri"/>
                <w:b/>
                <w:bCs/>
                <w:sz w:val="20"/>
                <w:szCs w:val="20"/>
              </w:rPr>
            </w:pPr>
            <w:r w:rsidRPr="00A831E7">
              <w:rPr>
                <w:rFonts w:eastAsia="Calibri"/>
                <w:b/>
                <w:bCs/>
                <w:sz w:val="20"/>
                <w:szCs w:val="20"/>
              </w:rPr>
              <w:t>Τύπος ΑΕΕ</w:t>
            </w:r>
          </w:p>
        </w:tc>
        <w:tc>
          <w:tcPr>
            <w:tcW w:w="2075" w:type="dxa"/>
            <w:shd w:val="clear" w:color="auto" w:fill="D9D9D9" w:themeFill="background1" w:themeFillShade="D9"/>
          </w:tcPr>
          <w:p w14:paraId="3B525967" w14:textId="5B64AADC" w:rsidR="0041003F" w:rsidRPr="00A831E7" w:rsidRDefault="0041003F" w:rsidP="0041003F">
            <w:pPr>
              <w:spacing w:line="360" w:lineRule="auto"/>
              <w:jc w:val="center"/>
              <w:rPr>
                <w:rFonts w:eastAsia="Calibri"/>
                <w:b/>
                <w:bCs/>
                <w:sz w:val="20"/>
                <w:szCs w:val="20"/>
              </w:rPr>
            </w:pPr>
            <w:r w:rsidRPr="00A831E7">
              <w:rPr>
                <w:rFonts w:eastAsia="Calibri"/>
                <w:b/>
                <w:bCs/>
                <w:sz w:val="20"/>
                <w:szCs w:val="20"/>
              </w:rPr>
              <w:t>ημικρανία</w:t>
            </w:r>
          </w:p>
        </w:tc>
        <w:tc>
          <w:tcPr>
            <w:tcW w:w="2076" w:type="dxa"/>
            <w:shd w:val="clear" w:color="auto" w:fill="D9D9D9" w:themeFill="background1" w:themeFillShade="D9"/>
          </w:tcPr>
          <w:p w14:paraId="613C9E8E" w14:textId="3299C36B" w:rsidR="0041003F" w:rsidRPr="00A831E7" w:rsidRDefault="0041003F" w:rsidP="0041003F">
            <w:pPr>
              <w:spacing w:line="360" w:lineRule="auto"/>
              <w:jc w:val="center"/>
              <w:rPr>
                <w:rFonts w:eastAsia="Calibri"/>
                <w:b/>
                <w:bCs/>
                <w:sz w:val="20"/>
                <w:szCs w:val="20"/>
              </w:rPr>
            </w:pPr>
            <w:r w:rsidRPr="00A831E7">
              <w:rPr>
                <w:rFonts w:eastAsia="Calibri"/>
                <w:b/>
                <w:bCs/>
                <w:sz w:val="20"/>
                <w:szCs w:val="20"/>
              </w:rPr>
              <w:t>ελαττωμένο επίπεδο συνείδησης</w:t>
            </w:r>
          </w:p>
        </w:tc>
        <w:tc>
          <w:tcPr>
            <w:tcW w:w="2076" w:type="dxa"/>
            <w:shd w:val="clear" w:color="auto" w:fill="D9D9D9" w:themeFill="background1" w:themeFillShade="D9"/>
          </w:tcPr>
          <w:p w14:paraId="6D9B9B21" w14:textId="76BE9C82" w:rsidR="0041003F" w:rsidRPr="00A831E7" w:rsidRDefault="0041003F" w:rsidP="0041003F">
            <w:pPr>
              <w:spacing w:line="360" w:lineRule="auto"/>
              <w:jc w:val="center"/>
              <w:rPr>
                <w:rFonts w:eastAsia="Calibri"/>
                <w:b/>
                <w:bCs/>
                <w:sz w:val="20"/>
                <w:szCs w:val="20"/>
              </w:rPr>
            </w:pPr>
            <w:r w:rsidRPr="00A831E7">
              <w:rPr>
                <w:rFonts w:eastAsia="Calibri"/>
                <w:b/>
                <w:bCs/>
                <w:sz w:val="20"/>
                <w:szCs w:val="20"/>
              </w:rPr>
              <w:t>εστιακή σημειολογία</w:t>
            </w:r>
          </w:p>
        </w:tc>
      </w:tr>
      <w:tr w:rsidR="0041003F" w:rsidRPr="00A831E7" w14:paraId="6E9F11E1" w14:textId="77777777" w:rsidTr="0041003F">
        <w:tc>
          <w:tcPr>
            <w:tcW w:w="2075" w:type="dxa"/>
          </w:tcPr>
          <w:p w14:paraId="2D9723C7" w14:textId="1118C04E" w:rsidR="0041003F" w:rsidRPr="00A831E7" w:rsidRDefault="0041003F" w:rsidP="0041003F">
            <w:pPr>
              <w:spacing w:line="360" w:lineRule="auto"/>
              <w:jc w:val="center"/>
              <w:rPr>
                <w:rFonts w:eastAsia="Calibri"/>
                <w:sz w:val="20"/>
                <w:szCs w:val="20"/>
              </w:rPr>
            </w:pPr>
            <w:r w:rsidRPr="00A831E7">
              <w:rPr>
                <w:rFonts w:eastAsia="Calibri"/>
                <w:sz w:val="20"/>
                <w:szCs w:val="20"/>
              </w:rPr>
              <w:t>Έμφρακτο</w:t>
            </w:r>
          </w:p>
        </w:tc>
        <w:tc>
          <w:tcPr>
            <w:tcW w:w="2075" w:type="dxa"/>
          </w:tcPr>
          <w:p w14:paraId="1A444DEE" w14:textId="23C57BB0" w:rsidR="0041003F" w:rsidRPr="00A831E7" w:rsidRDefault="0041003F" w:rsidP="0041003F">
            <w:pPr>
              <w:spacing w:line="360" w:lineRule="auto"/>
              <w:jc w:val="center"/>
              <w:rPr>
                <w:rFonts w:eastAsia="Calibri"/>
                <w:sz w:val="20"/>
                <w:szCs w:val="20"/>
              </w:rPr>
            </w:pPr>
            <w:r w:rsidRPr="00A831E7">
              <w:rPr>
                <w:rFonts w:eastAsia="Calibri"/>
                <w:sz w:val="20"/>
                <w:szCs w:val="20"/>
              </w:rPr>
              <w:t>+ +</w:t>
            </w:r>
          </w:p>
        </w:tc>
        <w:tc>
          <w:tcPr>
            <w:tcW w:w="2076" w:type="dxa"/>
          </w:tcPr>
          <w:p w14:paraId="496E659F" w14:textId="75D8A7A7" w:rsidR="0041003F" w:rsidRPr="00A831E7" w:rsidRDefault="0041003F" w:rsidP="0041003F">
            <w:pPr>
              <w:spacing w:line="360" w:lineRule="auto"/>
              <w:jc w:val="center"/>
              <w:rPr>
                <w:rFonts w:eastAsia="Calibri"/>
                <w:sz w:val="20"/>
                <w:szCs w:val="20"/>
              </w:rPr>
            </w:pPr>
            <w:r w:rsidRPr="00A831E7">
              <w:rPr>
                <w:rFonts w:eastAsia="Calibri"/>
                <w:sz w:val="20"/>
                <w:szCs w:val="20"/>
              </w:rPr>
              <w:t>+ +</w:t>
            </w:r>
          </w:p>
        </w:tc>
        <w:tc>
          <w:tcPr>
            <w:tcW w:w="2076" w:type="dxa"/>
          </w:tcPr>
          <w:p w14:paraId="2B3D6D83" w14:textId="60353FAD" w:rsidR="0041003F" w:rsidRPr="00A831E7" w:rsidRDefault="0041003F" w:rsidP="0041003F">
            <w:pPr>
              <w:spacing w:line="360" w:lineRule="auto"/>
              <w:jc w:val="center"/>
              <w:rPr>
                <w:rFonts w:eastAsia="Calibri"/>
                <w:sz w:val="20"/>
                <w:szCs w:val="20"/>
              </w:rPr>
            </w:pPr>
            <w:r w:rsidRPr="00A831E7">
              <w:rPr>
                <w:rFonts w:eastAsia="Calibri"/>
                <w:sz w:val="20"/>
                <w:szCs w:val="20"/>
              </w:rPr>
              <w:t>+ + +</w:t>
            </w:r>
          </w:p>
        </w:tc>
      </w:tr>
      <w:tr w:rsidR="0041003F" w:rsidRPr="00A831E7" w14:paraId="4CD1C405" w14:textId="77777777" w:rsidTr="0041003F">
        <w:tc>
          <w:tcPr>
            <w:tcW w:w="2075" w:type="dxa"/>
          </w:tcPr>
          <w:p w14:paraId="677DD607" w14:textId="49804D1E" w:rsidR="0041003F" w:rsidRPr="00A831E7" w:rsidRDefault="0041003F" w:rsidP="0041003F">
            <w:pPr>
              <w:spacing w:line="360" w:lineRule="auto"/>
              <w:jc w:val="center"/>
              <w:rPr>
                <w:rFonts w:eastAsia="Calibri"/>
                <w:sz w:val="20"/>
                <w:szCs w:val="20"/>
              </w:rPr>
            </w:pPr>
            <w:r w:rsidRPr="00A831E7">
              <w:rPr>
                <w:rFonts w:eastAsia="Calibri"/>
                <w:sz w:val="20"/>
                <w:szCs w:val="20"/>
              </w:rPr>
              <w:t>ICH</w:t>
            </w:r>
          </w:p>
        </w:tc>
        <w:tc>
          <w:tcPr>
            <w:tcW w:w="2075" w:type="dxa"/>
          </w:tcPr>
          <w:p w14:paraId="6188BCF5" w14:textId="6D2B0099" w:rsidR="0041003F" w:rsidRPr="00A831E7" w:rsidRDefault="0041003F" w:rsidP="0041003F">
            <w:pPr>
              <w:spacing w:line="360" w:lineRule="auto"/>
              <w:jc w:val="center"/>
              <w:rPr>
                <w:rFonts w:eastAsia="Calibri"/>
                <w:sz w:val="20"/>
                <w:szCs w:val="20"/>
              </w:rPr>
            </w:pPr>
            <w:r w:rsidRPr="00A831E7">
              <w:rPr>
                <w:rFonts w:eastAsia="Calibri"/>
                <w:sz w:val="20"/>
                <w:szCs w:val="20"/>
              </w:rPr>
              <w:t>+ + +</w:t>
            </w:r>
          </w:p>
        </w:tc>
        <w:tc>
          <w:tcPr>
            <w:tcW w:w="2076" w:type="dxa"/>
          </w:tcPr>
          <w:p w14:paraId="55C5EADA" w14:textId="2E28758C" w:rsidR="0041003F" w:rsidRPr="00A831E7" w:rsidRDefault="0041003F" w:rsidP="0041003F">
            <w:pPr>
              <w:spacing w:line="360" w:lineRule="auto"/>
              <w:jc w:val="center"/>
              <w:rPr>
                <w:rFonts w:eastAsia="Calibri"/>
                <w:sz w:val="20"/>
                <w:szCs w:val="20"/>
              </w:rPr>
            </w:pPr>
            <w:r w:rsidRPr="00A831E7">
              <w:rPr>
                <w:rFonts w:eastAsia="Calibri"/>
                <w:sz w:val="20"/>
                <w:szCs w:val="20"/>
              </w:rPr>
              <w:t>+ + +</w:t>
            </w:r>
          </w:p>
        </w:tc>
        <w:tc>
          <w:tcPr>
            <w:tcW w:w="2076" w:type="dxa"/>
          </w:tcPr>
          <w:p w14:paraId="24CFA3F5" w14:textId="5FAC9EDA" w:rsidR="0041003F" w:rsidRPr="00A831E7" w:rsidRDefault="0041003F" w:rsidP="0041003F">
            <w:pPr>
              <w:spacing w:line="360" w:lineRule="auto"/>
              <w:jc w:val="center"/>
              <w:rPr>
                <w:rFonts w:eastAsia="Calibri"/>
                <w:sz w:val="20"/>
                <w:szCs w:val="20"/>
              </w:rPr>
            </w:pPr>
            <w:r w:rsidRPr="00A831E7">
              <w:rPr>
                <w:rFonts w:eastAsia="Calibri"/>
                <w:sz w:val="20"/>
                <w:szCs w:val="20"/>
              </w:rPr>
              <w:t>+ + +</w:t>
            </w:r>
          </w:p>
        </w:tc>
      </w:tr>
      <w:tr w:rsidR="0041003F" w:rsidRPr="00A831E7" w14:paraId="4AC543BF" w14:textId="77777777" w:rsidTr="0041003F">
        <w:tc>
          <w:tcPr>
            <w:tcW w:w="2075" w:type="dxa"/>
          </w:tcPr>
          <w:p w14:paraId="2659E1BD" w14:textId="416B5B25" w:rsidR="0041003F" w:rsidRPr="00A831E7" w:rsidRDefault="0041003F" w:rsidP="0041003F">
            <w:pPr>
              <w:spacing w:line="360" w:lineRule="auto"/>
              <w:jc w:val="center"/>
              <w:rPr>
                <w:rFonts w:eastAsia="Calibri"/>
                <w:sz w:val="20"/>
                <w:szCs w:val="20"/>
              </w:rPr>
            </w:pPr>
            <w:r w:rsidRPr="00A831E7">
              <w:rPr>
                <w:rFonts w:eastAsia="Calibri"/>
                <w:sz w:val="20"/>
                <w:szCs w:val="20"/>
              </w:rPr>
              <w:t>ΥΑ</w:t>
            </w:r>
          </w:p>
        </w:tc>
        <w:tc>
          <w:tcPr>
            <w:tcW w:w="2075" w:type="dxa"/>
          </w:tcPr>
          <w:p w14:paraId="6135D50B" w14:textId="74CEC5E2" w:rsidR="0041003F" w:rsidRPr="00A831E7" w:rsidRDefault="0041003F" w:rsidP="0041003F">
            <w:pPr>
              <w:spacing w:line="360" w:lineRule="auto"/>
              <w:jc w:val="center"/>
              <w:rPr>
                <w:rFonts w:eastAsia="Calibri"/>
                <w:sz w:val="20"/>
                <w:szCs w:val="20"/>
              </w:rPr>
            </w:pPr>
            <w:r w:rsidRPr="00A831E7">
              <w:rPr>
                <w:rFonts w:eastAsia="Calibri"/>
                <w:sz w:val="20"/>
                <w:szCs w:val="20"/>
              </w:rPr>
              <w:t>+ + +</w:t>
            </w:r>
          </w:p>
        </w:tc>
        <w:tc>
          <w:tcPr>
            <w:tcW w:w="2076" w:type="dxa"/>
          </w:tcPr>
          <w:p w14:paraId="693AE87A" w14:textId="678A2C32" w:rsidR="0041003F" w:rsidRPr="00A831E7" w:rsidRDefault="0041003F" w:rsidP="0041003F">
            <w:pPr>
              <w:spacing w:line="360" w:lineRule="auto"/>
              <w:jc w:val="center"/>
              <w:rPr>
                <w:rFonts w:eastAsia="Calibri"/>
                <w:sz w:val="20"/>
                <w:szCs w:val="20"/>
              </w:rPr>
            </w:pPr>
            <w:r w:rsidRPr="00A831E7">
              <w:rPr>
                <w:rFonts w:eastAsia="Calibri"/>
                <w:sz w:val="20"/>
                <w:szCs w:val="20"/>
              </w:rPr>
              <w:t>+ + +</w:t>
            </w:r>
          </w:p>
        </w:tc>
        <w:tc>
          <w:tcPr>
            <w:tcW w:w="2076" w:type="dxa"/>
          </w:tcPr>
          <w:p w14:paraId="13F5763A" w14:textId="7C570628" w:rsidR="0041003F" w:rsidRPr="00A831E7" w:rsidRDefault="0041003F" w:rsidP="0041003F">
            <w:pPr>
              <w:spacing w:line="360" w:lineRule="auto"/>
              <w:jc w:val="center"/>
              <w:rPr>
                <w:rFonts w:eastAsia="Calibri"/>
                <w:sz w:val="20"/>
                <w:szCs w:val="20"/>
              </w:rPr>
            </w:pPr>
            <w:r w:rsidRPr="00A831E7">
              <w:rPr>
                <w:rFonts w:eastAsia="Calibri"/>
                <w:sz w:val="20"/>
                <w:szCs w:val="20"/>
              </w:rPr>
              <w:t>+</w:t>
            </w:r>
          </w:p>
        </w:tc>
      </w:tr>
    </w:tbl>
    <w:p w14:paraId="75AF0600" w14:textId="77777777" w:rsidR="008D1EDB" w:rsidRDefault="008D1EDB" w:rsidP="00263422">
      <w:pPr>
        <w:rPr>
          <w:rFonts w:eastAsia="Calibri"/>
        </w:rPr>
      </w:pPr>
    </w:p>
    <w:p w14:paraId="7C698DC5" w14:textId="77777777" w:rsidR="00EE0F79" w:rsidRPr="00A831E7" w:rsidRDefault="00EE0F79" w:rsidP="00263422">
      <w:pPr>
        <w:rPr>
          <w:rFonts w:eastAsia="Calibri"/>
        </w:rPr>
      </w:pPr>
    </w:p>
    <w:p w14:paraId="0A23603C" w14:textId="7729D615" w:rsidR="00263422" w:rsidRPr="008F5904" w:rsidRDefault="00263422" w:rsidP="008F5904">
      <w:pPr>
        <w:pStyle w:val="3"/>
      </w:pPr>
      <w:bookmarkStart w:id="34" w:name="_Toc199787382"/>
      <w:bookmarkStart w:id="35" w:name="_Toc199946451"/>
      <w:r w:rsidRPr="008F5904">
        <w:t>1.2.3 Mimics ΑΕΕ</w:t>
      </w:r>
      <w:bookmarkEnd w:id="34"/>
      <w:bookmarkEnd w:id="35"/>
    </w:p>
    <w:p w14:paraId="72EC8B96" w14:textId="47827AA9" w:rsidR="00263422" w:rsidRPr="00A831E7" w:rsidRDefault="00263422" w:rsidP="00F32EEE">
      <w:pPr>
        <w:spacing w:line="360" w:lineRule="auto"/>
        <w:jc w:val="both"/>
        <w:rPr>
          <w:rFonts w:eastAsia="Calibri"/>
        </w:rPr>
      </w:pPr>
      <w:r w:rsidRPr="00A831E7">
        <w:rPr>
          <w:rFonts w:eastAsia="Calibri"/>
        </w:rPr>
        <w:tab/>
        <w:t xml:space="preserve">Η διάγνωση ενός ΑΕΕ δεν είναι πάντα απλή καθώς υπάρχουν διάφορες διαταραχές που εμφανίζονται με οξεία νευρολογική έλλειψη και μιμούνται το ισχαιμικό ΑΕΕ </w:t>
      </w:r>
      <w:r w:rsidR="008D1EDB" w:rsidRPr="00A831E7">
        <w:rPr>
          <w:rFonts w:eastAsia="Calibri"/>
        </w:rPr>
        <w:fldChar w:fldCharType="begin"/>
      </w:r>
      <w:r w:rsidR="00593025" w:rsidRPr="00A831E7">
        <w:rPr>
          <w:rFonts w:eastAsia="Calibri"/>
        </w:rPr>
        <w:instrText xml:space="preserve"> ADDIN ZOTERO_ITEM CSL_CITATION {"citationID":"rW42PKph","properties":{"formattedCitation":"[17]","plainCitation":"[17]","noteIndex":0},"citationItems":[{"id":1099,"uris":["http://zotero.org/users/local/mfHf28QG/items/IVALYLRN"],"itemData":{"id":1099,"type":"article-journal","container-title":"European Journal of Radiology","DOI":"10.1016/j.ejrad.2017.05.008","ISSN":"0720-048X, 1872-7727","journalAbbreviation":"European Journal of Radiology","language":"English","note":"publisher: Elsevier\nPMID: 28551302","page":"133-144","source":"www.ejradiology.com","title":"Acute stroke differential diagnosis: Stroke mimics","title-short":"Acute stroke differential diagnosis","volume":"96","author":[{"family":"Vilela","given":"Pedro"}],"issued":{"date-parts":[["2017",11,1]]}},"suppress-author":true}],"schema":"https://github.com/citation-style-language/schema/raw/master/csl-citation.json"} </w:instrText>
      </w:r>
      <w:r w:rsidR="008D1EDB" w:rsidRPr="00A831E7">
        <w:rPr>
          <w:rFonts w:eastAsia="Calibri"/>
        </w:rPr>
        <w:fldChar w:fldCharType="separate"/>
      </w:r>
      <w:r w:rsidR="00593025" w:rsidRPr="00A831E7">
        <w:rPr>
          <w:rFonts w:eastAsia="Calibri"/>
        </w:rPr>
        <w:t>[17]</w:t>
      </w:r>
      <w:r w:rsidR="008D1EDB" w:rsidRPr="00A831E7">
        <w:rPr>
          <w:rFonts w:eastAsia="Calibri"/>
        </w:rPr>
        <w:fldChar w:fldCharType="end"/>
      </w:r>
      <w:r w:rsidRPr="00A831E7">
        <w:rPr>
          <w:rFonts w:eastAsia="Calibri"/>
        </w:rPr>
        <w:t>. Τα κύρια αίτια εμφάνισης των ασθενειών που μιμούνται ΑΕΕ (stroke mimics</w:t>
      </w:r>
      <w:r w:rsidR="00483326" w:rsidRPr="00A831E7">
        <w:rPr>
          <w:rFonts w:eastAsia="Calibri"/>
        </w:rPr>
        <w:t xml:space="preserve">, </w:t>
      </w:r>
      <w:r w:rsidR="003C38BA" w:rsidRPr="00A831E7">
        <w:rPr>
          <w:rFonts w:eastAsia="Calibri"/>
        </w:rPr>
        <w:t>SMs</w:t>
      </w:r>
      <w:r w:rsidRPr="00A831E7">
        <w:rPr>
          <w:rFonts w:eastAsia="Calibri"/>
        </w:rPr>
        <w:t xml:space="preserve">) συνοψίζονται στον </w:t>
      </w:r>
      <w:r w:rsidRPr="00A831E7">
        <w:rPr>
          <w:rFonts w:eastAsia="Calibri"/>
          <w:i/>
          <w:iCs/>
        </w:rPr>
        <w:t xml:space="preserve">Πίνακα </w:t>
      </w:r>
      <w:r w:rsidR="0011104D" w:rsidRPr="00A831E7">
        <w:rPr>
          <w:rFonts w:eastAsia="Calibri"/>
          <w:i/>
          <w:iCs/>
        </w:rPr>
        <w:t>4</w:t>
      </w:r>
      <w:r w:rsidRPr="00A831E7">
        <w:rPr>
          <w:rFonts w:eastAsia="Calibri"/>
        </w:rPr>
        <w:t xml:space="preserve"> και αφορούν κυρίως περιπτώσεις που ομοιάζουν ισχαιμικό ΑΕΕ.</w:t>
      </w:r>
      <w:r w:rsidR="008D1EDB" w:rsidRPr="00A831E7">
        <w:rPr>
          <w:rFonts w:eastAsia="Calibri"/>
        </w:rPr>
        <w:t xml:space="preserve"> Οι λανθασμένες διαγνώσεις ενός mimic  περιστατικού ως ΑΕΕ φτάνουν </w:t>
      </w:r>
      <w:r w:rsidR="00811FE1" w:rsidRPr="00A831E7">
        <w:rPr>
          <w:rFonts w:eastAsia="Calibri"/>
        </w:rPr>
        <w:t>έως</w:t>
      </w:r>
      <w:r w:rsidR="008D1EDB" w:rsidRPr="00A831E7">
        <w:rPr>
          <w:rFonts w:eastAsia="Calibri"/>
        </w:rPr>
        <w:t xml:space="preserve"> και το 30%</w:t>
      </w:r>
      <w:r w:rsidR="00B52901" w:rsidRPr="00A831E7">
        <w:rPr>
          <w:rFonts w:eastAsia="Calibri"/>
        </w:rPr>
        <w:t xml:space="preserve"> ενώ δεν υπάρχουν</w:t>
      </w:r>
      <w:r w:rsidR="0050778A" w:rsidRPr="00A831E7">
        <w:rPr>
          <w:rFonts w:eastAsia="Calibri"/>
        </w:rPr>
        <w:t xml:space="preserve"> εμφανή</w:t>
      </w:r>
      <w:r w:rsidR="00B52901" w:rsidRPr="00A831E7">
        <w:rPr>
          <w:rFonts w:eastAsia="Calibri"/>
        </w:rPr>
        <w:t xml:space="preserve"> συμπτώματα που θα μπορούσαν να τα διαφοροποιήσουν από πραγματικά ΑΕΕ </w:t>
      </w:r>
      <w:r w:rsidR="00B52901" w:rsidRPr="00A831E7">
        <w:rPr>
          <w:rFonts w:eastAsia="Calibri"/>
        </w:rPr>
        <w:fldChar w:fldCharType="begin"/>
      </w:r>
      <w:r w:rsidR="00593025" w:rsidRPr="00A831E7">
        <w:rPr>
          <w:rFonts w:eastAsia="Calibri"/>
        </w:rPr>
        <w:instrText xml:space="preserve"> ADDIN ZOTERO_ITEM CSL_CITATION {"citationID":"pqTtle01","properties":{"formattedCitation":"[17]","plainCitation":"[17]","noteIndex":0},"citationItems":[{"id":1099,"uris":["http://zotero.org/users/local/mfHf28QG/items/IVALYLRN"],"itemData":{"id":1099,"type":"article-journal","container-title":"European Journal of Radiology","DOI":"10.1016/j.ejrad.2017.05.008","ISSN":"0720-048X, 1872-7727","journalAbbreviation":"European Journal of Radiology","language":"English","note":"publisher: Elsevier\nPMID: 28551302","page":"133-144","source":"www.ejradiology.com","title":"Acute stroke differential diagnosis: Stroke mimics","title-short":"Acute stroke differential diagnosis","volume":"96","author":[{"family":"Vilela","given":"Pedro"}],"issued":{"date-parts":[["2017",11,1]]}},"suppress-author":true}],"schema":"https://github.com/citation-style-language/schema/raw/master/csl-citation.json"} </w:instrText>
      </w:r>
      <w:r w:rsidR="00B52901" w:rsidRPr="00A831E7">
        <w:rPr>
          <w:rFonts w:eastAsia="Calibri"/>
        </w:rPr>
        <w:fldChar w:fldCharType="separate"/>
      </w:r>
      <w:r w:rsidR="00593025" w:rsidRPr="00A831E7">
        <w:rPr>
          <w:rFonts w:eastAsia="Calibri"/>
        </w:rPr>
        <w:t>[17]</w:t>
      </w:r>
      <w:r w:rsidR="00B52901" w:rsidRPr="00A831E7">
        <w:rPr>
          <w:rFonts w:eastAsia="Calibri"/>
        </w:rPr>
        <w:fldChar w:fldCharType="end"/>
      </w:r>
      <w:r w:rsidR="00B52901" w:rsidRPr="00A831E7">
        <w:rPr>
          <w:rFonts w:eastAsia="Calibri"/>
        </w:rPr>
        <w:t xml:space="preserve">. </w:t>
      </w:r>
    </w:p>
    <w:p w14:paraId="7C52342C" w14:textId="77777777" w:rsidR="0016376B" w:rsidRDefault="0016376B" w:rsidP="00F32EEE">
      <w:pPr>
        <w:spacing w:line="360" w:lineRule="auto"/>
        <w:jc w:val="both"/>
        <w:rPr>
          <w:rFonts w:eastAsia="Calibri"/>
        </w:rPr>
      </w:pPr>
    </w:p>
    <w:p w14:paraId="1944D274" w14:textId="77777777" w:rsidR="00EE0F79" w:rsidRDefault="00EE0F79" w:rsidP="00F32EEE">
      <w:pPr>
        <w:spacing w:line="360" w:lineRule="auto"/>
        <w:jc w:val="both"/>
        <w:rPr>
          <w:rFonts w:eastAsia="Calibri"/>
        </w:rPr>
      </w:pPr>
    </w:p>
    <w:p w14:paraId="562CC7E7" w14:textId="77777777" w:rsidR="00EE0F79" w:rsidRDefault="00EE0F79" w:rsidP="00F32EEE">
      <w:pPr>
        <w:spacing w:line="360" w:lineRule="auto"/>
        <w:jc w:val="both"/>
        <w:rPr>
          <w:rFonts w:eastAsia="Calibri"/>
        </w:rPr>
      </w:pPr>
    </w:p>
    <w:p w14:paraId="3941F159" w14:textId="77777777" w:rsidR="00EE0F79" w:rsidRDefault="00EE0F79" w:rsidP="00F32EEE">
      <w:pPr>
        <w:spacing w:line="360" w:lineRule="auto"/>
        <w:jc w:val="both"/>
        <w:rPr>
          <w:rFonts w:eastAsia="Calibri"/>
        </w:rPr>
      </w:pPr>
    </w:p>
    <w:p w14:paraId="45B29D77" w14:textId="77777777" w:rsidR="00EE0F79" w:rsidRDefault="00EE0F79" w:rsidP="00F32EEE">
      <w:pPr>
        <w:spacing w:line="360" w:lineRule="auto"/>
        <w:jc w:val="both"/>
        <w:rPr>
          <w:rFonts w:eastAsia="Calibri"/>
        </w:rPr>
      </w:pPr>
    </w:p>
    <w:p w14:paraId="3AB79A58" w14:textId="77777777" w:rsidR="00EE0F79" w:rsidRDefault="00EE0F79" w:rsidP="00F32EEE">
      <w:pPr>
        <w:spacing w:line="360" w:lineRule="auto"/>
        <w:jc w:val="both"/>
        <w:rPr>
          <w:rFonts w:eastAsia="Calibri"/>
        </w:rPr>
      </w:pPr>
    </w:p>
    <w:p w14:paraId="5DEDC494" w14:textId="77777777" w:rsidR="00EE0F79" w:rsidRPr="00A831E7" w:rsidRDefault="00EE0F79" w:rsidP="00F32EEE">
      <w:pPr>
        <w:spacing w:line="360" w:lineRule="auto"/>
        <w:jc w:val="both"/>
        <w:rPr>
          <w:rFonts w:eastAsia="Calibri"/>
        </w:rPr>
      </w:pPr>
    </w:p>
    <w:p w14:paraId="48CA8FDB" w14:textId="3B7FCF3D" w:rsidR="00C97455" w:rsidRPr="00A831E7" w:rsidRDefault="0091505C" w:rsidP="0091505C">
      <w:pPr>
        <w:pStyle w:val="af5"/>
        <w:jc w:val="center"/>
        <w:rPr>
          <w:rFonts w:eastAsia="Calibri"/>
          <w:b/>
          <w:bCs/>
          <w:color w:val="auto"/>
          <w:sz w:val="20"/>
          <w:szCs w:val="20"/>
        </w:rPr>
      </w:pPr>
      <w:bookmarkStart w:id="36" w:name="_Toc199787739"/>
      <w:r w:rsidRPr="00A831E7">
        <w:rPr>
          <w:b/>
          <w:bCs/>
          <w:color w:val="auto"/>
          <w:sz w:val="20"/>
          <w:szCs w:val="20"/>
        </w:rPr>
        <w:lastRenderedPageBreak/>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4</w:t>
      </w:r>
      <w:r w:rsidRPr="00A831E7">
        <w:rPr>
          <w:b/>
          <w:bCs/>
          <w:color w:val="auto"/>
          <w:sz w:val="20"/>
          <w:szCs w:val="20"/>
        </w:rPr>
        <w:fldChar w:fldCharType="end"/>
      </w:r>
      <w:r w:rsidRPr="00A831E7">
        <w:rPr>
          <w:rFonts w:eastAsia="Calibri"/>
          <w:b/>
          <w:bCs/>
          <w:color w:val="auto"/>
          <w:sz w:val="20"/>
          <w:szCs w:val="20"/>
        </w:rPr>
        <w:t xml:space="preserve">: Κύρια Αίτια stroke mimics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{"citationID":"wn2t12YN","properties":{"formattedCitation":"[17]","plainCitation":"[17]","noteIndex":0},"citationItems":[{"id":1099,"uris":["http://zotero.org/users/local/mfHf28QG/items/IVALYLRN"],"itemData":{"id":1099,"type":"article-journal","container-title":"European Journal of Radiology","DOI":"10.1016/j.ejrad.2017.05.008","ISSN":"0720-048X, 1872-7727","journalAbbreviation":"European Journal of Radiology","language":"English","note":"publisher: Elsevier\nPMID: 28551302","page":"133-144","source":"www.ejradiology.com","title":"Acute stroke differential diagnosis: Stroke mimics","title-short":"Acute stroke differential diagnosis","volume":"96","author":[{"family":"Vilela","given":"Pedro"}],"issued":{"date-parts":[["2017",11,1]]}},"suppress-author":true}],"schema":"https://github.com/citation-style-language/schema/raw/master/csl-citation.json"}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[17]</w:t>
      </w:r>
      <w:bookmarkEnd w:id="36"/>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8302"/>
      </w:tblGrid>
      <w:tr w:rsidR="00263422" w:rsidRPr="00A831E7" w14:paraId="7FD3A9CB" w14:textId="77777777" w:rsidTr="0057069D">
        <w:trPr>
          <w:trHeight w:val="277"/>
          <w:tblHeader/>
        </w:trPr>
        <w:tc>
          <w:tcPr>
            <w:tcW w:w="8302" w:type="dxa"/>
            <w:shd w:val="clear" w:color="auto" w:fill="D9D9D9" w:themeFill="background1" w:themeFillShade="D9"/>
          </w:tcPr>
          <w:p w14:paraId="6C046641" w14:textId="68882B2F" w:rsidR="00263422" w:rsidRPr="00A831E7" w:rsidRDefault="000128CC" w:rsidP="008E0365">
            <w:pPr>
              <w:pStyle w:val="af5"/>
              <w:keepNext/>
              <w:jc w:val="center"/>
              <w:rPr>
                <w:b/>
                <w:bCs/>
                <w:i w:val="0"/>
                <w:iCs w:val="0"/>
                <w:sz w:val="24"/>
                <w:szCs w:val="24"/>
              </w:rPr>
            </w:pPr>
            <w:r w:rsidRPr="00A831E7">
              <w:rPr>
                <w:b/>
                <w:bCs/>
                <w:i w:val="0"/>
                <w:iCs w:val="0"/>
                <w:color w:val="auto"/>
                <w:sz w:val="20"/>
                <w:szCs w:val="20"/>
              </w:rPr>
              <w:t>Αίτια SMs</w:t>
            </w:r>
          </w:p>
        </w:tc>
      </w:tr>
      <w:tr w:rsidR="00263422" w:rsidRPr="00A831E7" w14:paraId="6A040B6E" w14:textId="77777777" w:rsidTr="00E7447A">
        <w:trPr>
          <w:trHeight w:val="1927"/>
        </w:trPr>
        <w:tc>
          <w:tcPr>
            <w:tcW w:w="8302" w:type="dxa"/>
          </w:tcPr>
          <w:p w14:paraId="5E96B1D2" w14:textId="380C0E5B" w:rsidR="008D1EDB" w:rsidRPr="0016376B" w:rsidRDefault="008D1EDB" w:rsidP="008D1EDB">
            <w:pPr>
              <w:spacing w:line="360" w:lineRule="auto"/>
              <w:rPr>
                <w:rFonts w:eastAsia="Calibri"/>
                <w:b/>
                <w:bCs/>
                <w:sz w:val="20"/>
                <w:szCs w:val="20"/>
              </w:rPr>
            </w:pPr>
            <w:r w:rsidRPr="00A831E7">
              <w:rPr>
                <w:rFonts w:eastAsia="Calibri"/>
                <w:sz w:val="20"/>
                <w:szCs w:val="20"/>
              </w:rPr>
              <w:t>•</w:t>
            </w:r>
            <w:r w:rsidRPr="0016376B">
              <w:rPr>
                <w:rFonts w:eastAsia="Calibri"/>
                <w:b/>
                <w:bCs/>
                <w:sz w:val="20"/>
                <w:szCs w:val="20"/>
              </w:rPr>
              <w:t xml:space="preserve"> Ψυχογενή αίτια</w:t>
            </w:r>
          </w:p>
          <w:p w14:paraId="5630A3D9" w14:textId="21FADF8C" w:rsidR="008D1EDB" w:rsidRPr="0016376B" w:rsidRDefault="008D1EDB" w:rsidP="008D1EDB">
            <w:pPr>
              <w:spacing w:line="360" w:lineRule="auto"/>
              <w:rPr>
                <w:rFonts w:eastAsia="Calibri"/>
                <w:b/>
                <w:bCs/>
                <w:sz w:val="20"/>
                <w:szCs w:val="20"/>
              </w:rPr>
            </w:pPr>
            <w:r w:rsidRPr="0016376B">
              <w:rPr>
                <w:rFonts w:eastAsia="Calibri"/>
                <w:b/>
                <w:bCs/>
                <w:sz w:val="20"/>
                <w:szCs w:val="20"/>
              </w:rPr>
              <w:t>• Επιληπτικές κρίσεις</w:t>
            </w:r>
          </w:p>
          <w:p w14:paraId="230A9E84" w14:textId="0B34EB93" w:rsidR="008D1EDB" w:rsidRPr="0016376B" w:rsidRDefault="008D1EDB" w:rsidP="008D1EDB">
            <w:pPr>
              <w:spacing w:line="360" w:lineRule="auto"/>
              <w:rPr>
                <w:rFonts w:eastAsia="Calibri"/>
                <w:b/>
                <w:bCs/>
                <w:sz w:val="20"/>
                <w:szCs w:val="20"/>
              </w:rPr>
            </w:pPr>
            <w:r w:rsidRPr="0016376B">
              <w:rPr>
                <w:rFonts w:eastAsia="Calibri"/>
                <w:b/>
                <w:bCs/>
                <w:sz w:val="20"/>
                <w:szCs w:val="20"/>
              </w:rPr>
              <w:t>• Ημικρανία</w:t>
            </w:r>
          </w:p>
          <w:p w14:paraId="696FE9E5" w14:textId="7BCA05EA" w:rsidR="008D1EDB" w:rsidRPr="00A831E7" w:rsidRDefault="008D1EDB" w:rsidP="008D1EDB">
            <w:pPr>
              <w:spacing w:line="360" w:lineRule="auto"/>
              <w:rPr>
                <w:rFonts w:eastAsia="Calibri"/>
                <w:sz w:val="20"/>
                <w:szCs w:val="20"/>
              </w:rPr>
            </w:pPr>
            <w:r w:rsidRPr="00A831E7">
              <w:rPr>
                <w:rFonts w:eastAsia="Calibri"/>
                <w:sz w:val="20"/>
                <w:szCs w:val="20"/>
              </w:rPr>
              <w:t xml:space="preserve">• </w:t>
            </w:r>
            <w:r w:rsidRPr="0016376B">
              <w:rPr>
                <w:rFonts w:eastAsia="Calibri"/>
                <w:b/>
                <w:bCs/>
                <w:sz w:val="20"/>
                <w:szCs w:val="20"/>
              </w:rPr>
              <w:t>Μεταβολικές διαταραχές:</w:t>
            </w:r>
            <w:r w:rsidRPr="00A831E7">
              <w:rPr>
                <w:rFonts w:eastAsia="Calibri"/>
                <w:sz w:val="20"/>
                <w:szCs w:val="20"/>
              </w:rPr>
              <w:t xml:space="preserve"> </w:t>
            </w:r>
            <w:r w:rsidRPr="00A831E7">
              <w:rPr>
                <w:rFonts w:eastAsia="Calibri"/>
                <w:sz w:val="20"/>
                <w:szCs w:val="20"/>
              </w:rPr>
              <w:br/>
              <w:t xml:space="preserve">  - υπογλυκαιμία/υπεργλυκαιμία </w:t>
            </w:r>
            <w:r w:rsidRPr="00A831E7">
              <w:rPr>
                <w:rFonts w:eastAsia="Calibri"/>
                <w:sz w:val="20"/>
                <w:szCs w:val="20"/>
              </w:rPr>
              <w:br/>
              <w:t xml:space="preserve">  - ηπατική εγκεφαλοπάθεια</w:t>
            </w:r>
            <w:r w:rsidR="00DD4350" w:rsidRPr="00A831E7">
              <w:rPr>
                <w:rFonts w:eastAsia="Calibri"/>
                <w:sz w:val="20"/>
                <w:szCs w:val="20"/>
              </w:rPr>
              <w:t xml:space="preserve"> και εγκεφαλοπάθεια</w:t>
            </w:r>
            <w:r w:rsidRPr="00A831E7">
              <w:rPr>
                <w:rFonts w:eastAsia="Calibri"/>
                <w:sz w:val="20"/>
                <w:szCs w:val="20"/>
              </w:rPr>
              <w:t xml:space="preserve"> του Wernicke</w:t>
            </w:r>
          </w:p>
          <w:p w14:paraId="056CDC06" w14:textId="0E06093F" w:rsidR="008D1EDB" w:rsidRPr="00A831E7" w:rsidRDefault="008D1EDB" w:rsidP="008D1EDB">
            <w:pPr>
              <w:spacing w:line="360" w:lineRule="auto"/>
              <w:rPr>
                <w:rFonts w:eastAsia="Calibri"/>
                <w:sz w:val="20"/>
                <w:szCs w:val="20"/>
              </w:rPr>
            </w:pPr>
            <w:r w:rsidRPr="00A831E7">
              <w:rPr>
                <w:rFonts w:eastAsia="Calibri"/>
                <w:sz w:val="20"/>
                <w:szCs w:val="20"/>
              </w:rPr>
              <w:t xml:space="preserve">• </w:t>
            </w:r>
            <w:r w:rsidRPr="0016376B">
              <w:rPr>
                <w:rFonts w:eastAsia="Calibri"/>
                <w:b/>
                <w:bCs/>
                <w:sz w:val="20"/>
                <w:szCs w:val="20"/>
              </w:rPr>
              <w:t xml:space="preserve">Λοιμώξεις: </w:t>
            </w:r>
            <w:r w:rsidRPr="00A831E7">
              <w:rPr>
                <w:rFonts w:eastAsia="Calibri"/>
                <w:sz w:val="20"/>
                <w:szCs w:val="20"/>
              </w:rPr>
              <w:br/>
              <w:t xml:space="preserve">  - εγκεφαλίτιδα </w:t>
            </w:r>
            <w:r w:rsidRPr="00A831E7">
              <w:rPr>
                <w:rFonts w:eastAsia="Calibri"/>
                <w:sz w:val="20"/>
                <w:szCs w:val="20"/>
              </w:rPr>
              <w:br/>
              <w:t xml:space="preserve">  - απόστημα εγκεφάλου</w:t>
            </w:r>
          </w:p>
          <w:p w14:paraId="3C417FE3" w14:textId="61CF97D3" w:rsidR="008D1EDB" w:rsidRPr="0016376B" w:rsidRDefault="008D1EDB" w:rsidP="008D1EDB">
            <w:pPr>
              <w:spacing w:line="360" w:lineRule="auto"/>
              <w:rPr>
                <w:rFonts w:eastAsia="Calibri"/>
                <w:b/>
                <w:bCs/>
                <w:sz w:val="20"/>
                <w:szCs w:val="20"/>
              </w:rPr>
            </w:pPr>
            <w:r w:rsidRPr="00A831E7">
              <w:rPr>
                <w:rFonts w:eastAsia="Calibri"/>
                <w:sz w:val="20"/>
                <w:szCs w:val="20"/>
              </w:rPr>
              <w:t xml:space="preserve">• </w:t>
            </w:r>
            <w:r w:rsidRPr="0016376B">
              <w:rPr>
                <w:rFonts w:eastAsia="Calibri"/>
                <w:b/>
                <w:bCs/>
                <w:sz w:val="20"/>
                <w:szCs w:val="20"/>
              </w:rPr>
              <w:t>Όγκοι</w:t>
            </w:r>
            <w:r w:rsidRPr="00A831E7">
              <w:rPr>
                <w:rFonts w:eastAsia="Calibri"/>
                <w:sz w:val="20"/>
                <w:szCs w:val="20"/>
              </w:rPr>
              <w:t xml:space="preserve">: </w:t>
            </w:r>
            <w:r w:rsidRPr="00A831E7">
              <w:rPr>
                <w:rFonts w:eastAsia="Calibri"/>
                <w:sz w:val="20"/>
                <w:szCs w:val="20"/>
              </w:rPr>
              <w:br/>
              <w:t xml:space="preserve">  - όγκοι στο ΚΝΣ </w:t>
            </w:r>
            <w:r w:rsidRPr="00A831E7">
              <w:rPr>
                <w:rFonts w:eastAsia="Calibri"/>
                <w:sz w:val="20"/>
                <w:szCs w:val="20"/>
              </w:rPr>
              <w:br/>
              <w:t xml:space="preserve">  - μεταστάσεις </w:t>
            </w:r>
            <w:r w:rsidRPr="00A831E7">
              <w:rPr>
                <w:rFonts w:eastAsia="Calibri"/>
                <w:sz w:val="20"/>
                <w:szCs w:val="20"/>
              </w:rPr>
              <w:br/>
            </w:r>
            <w:r w:rsidRPr="0016376B">
              <w:rPr>
                <w:rFonts w:eastAsia="Calibri"/>
                <w:b/>
                <w:bCs/>
                <w:sz w:val="20"/>
                <w:szCs w:val="20"/>
              </w:rPr>
              <w:t>• Υπερτασική εγκεφαλοπάθεια / Σύνδρομο οπίσθιας αναστρέψιμης αγγειοσυστολής</w:t>
            </w:r>
          </w:p>
          <w:p w14:paraId="5E3673C4" w14:textId="740074FB" w:rsidR="00263422" w:rsidRPr="00A831E7" w:rsidRDefault="008D1EDB" w:rsidP="008D1EDB">
            <w:pPr>
              <w:spacing w:line="360" w:lineRule="auto"/>
              <w:rPr>
                <w:rFonts w:eastAsia="Calibri"/>
                <w:sz w:val="22"/>
                <w:szCs w:val="22"/>
              </w:rPr>
            </w:pPr>
            <w:r w:rsidRPr="0016376B">
              <w:rPr>
                <w:rFonts w:eastAsia="Calibri"/>
                <w:b/>
                <w:bCs/>
                <w:sz w:val="20"/>
                <w:szCs w:val="20"/>
              </w:rPr>
              <w:t>• Τοξικότητα φαρμάκων ή ναρκωτικών ουσιών</w:t>
            </w:r>
          </w:p>
        </w:tc>
      </w:tr>
    </w:tbl>
    <w:p w14:paraId="1D28B940" w14:textId="77777777" w:rsidR="003F2DCA" w:rsidRPr="00A831E7" w:rsidRDefault="003F2DCA" w:rsidP="00AE7049">
      <w:pPr>
        <w:spacing w:line="360" w:lineRule="auto"/>
        <w:jc w:val="both"/>
        <w:rPr>
          <w:b/>
          <w:bCs/>
          <w:sz w:val="28"/>
          <w:szCs w:val="28"/>
        </w:rPr>
      </w:pPr>
    </w:p>
    <w:p w14:paraId="4951192F" w14:textId="48960549" w:rsidR="00353873" w:rsidRPr="00A831E7" w:rsidRDefault="00353873" w:rsidP="00667F5D">
      <w:pPr>
        <w:pStyle w:val="2"/>
        <w:spacing w:line="360" w:lineRule="auto"/>
        <w:rPr>
          <w:rFonts w:ascii="Times New Roman" w:eastAsia="Calibri" w:hAnsi="Times New Roman" w:cs="Times New Roman"/>
          <w:b/>
          <w:bCs/>
          <w:i/>
          <w:iCs/>
          <w:color w:val="auto"/>
          <w:sz w:val="28"/>
          <w:szCs w:val="28"/>
        </w:rPr>
      </w:pPr>
      <w:bookmarkStart w:id="37" w:name="_Toc199787383"/>
      <w:bookmarkStart w:id="38" w:name="_Toc199946452"/>
      <w:r w:rsidRPr="00A831E7">
        <w:rPr>
          <w:rFonts w:ascii="Times New Roman" w:hAnsi="Times New Roman" w:cs="Times New Roman"/>
          <w:b/>
          <w:bCs/>
          <w:i/>
          <w:iCs/>
          <w:color w:val="auto"/>
          <w:sz w:val="28"/>
          <w:szCs w:val="28"/>
        </w:rPr>
        <w:t>1</w:t>
      </w:r>
      <w:r w:rsidR="009E6986" w:rsidRPr="00A831E7">
        <w:rPr>
          <w:rFonts w:ascii="Times New Roman" w:hAnsi="Times New Roman" w:cs="Times New Roman"/>
          <w:b/>
          <w:bCs/>
          <w:i/>
          <w:iCs/>
          <w:color w:val="auto"/>
          <w:sz w:val="28"/>
          <w:szCs w:val="28"/>
        </w:rPr>
        <w:t>.3</w:t>
      </w:r>
      <w:r w:rsidRPr="00A831E7">
        <w:rPr>
          <w:rFonts w:ascii="Times New Roman" w:hAnsi="Times New Roman" w:cs="Times New Roman"/>
          <w:b/>
          <w:bCs/>
          <w:i/>
          <w:iCs/>
          <w:color w:val="auto"/>
          <w:sz w:val="28"/>
          <w:szCs w:val="28"/>
        </w:rPr>
        <w:t xml:space="preserve"> </w:t>
      </w:r>
      <w:r w:rsidR="003F2DCA" w:rsidRPr="00A831E7">
        <w:rPr>
          <w:rFonts w:ascii="Times New Roman" w:hAnsi="Times New Roman" w:cs="Times New Roman"/>
          <w:b/>
          <w:bCs/>
          <w:i/>
          <w:iCs/>
          <w:color w:val="auto"/>
          <w:sz w:val="28"/>
          <w:szCs w:val="28"/>
        </w:rPr>
        <w:t>Σημασία έγκαιρης διάγνωσης</w:t>
      </w:r>
      <w:r w:rsidR="003F12CC" w:rsidRPr="00A831E7">
        <w:rPr>
          <w:rFonts w:ascii="Times New Roman" w:hAnsi="Times New Roman" w:cs="Times New Roman"/>
          <w:b/>
          <w:bCs/>
          <w:i/>
          <w:iCs/>
          <w:color w:val="auto"/>
          <w:sz w:val="28"/>
          <w:szCs w:val="28"/>
        </w:rPr>
        <w:t xml:space="preserve"> point-of-care (PoC)</w:t>
      </w:r>
      <w:bookmarkEnd w:id="37"/>
      <w:bookmarkEnd w:id="38"/>
    </w:p>
    <w:p w14:paraId="6F916910" w14:textId="67B71144" w:rsidR="002F7066" w:rsidRPr="00A831E7" w:rsidRDefault="00353873" w:rsidP="00F32EEE">
      <w:pPr>
        <w:spacing w:line="360" w:lineRule="auto"/>
        <w:ind w:firstLine="720"/>
        <w:jc w:val="both"/>
      </w:pPr>
      <w:r w:rsidRPr="00A831E7">
        <w:rPr>
          <w:rFonts w:eastAsia="Calibri"/>
        </w:rPr>
        <w:t>Η έγκαιρη διάγνωση και ταξινόμηση του ΑΕΕ είναι ζωτικής σημασίας για την έκβαση της ασθένειας και για τη μείωση των μακροχρόνιων αναπηριών. Η ταξινόμηση ενός ΑΕΕ θα καθορίσει αντίστοιχα την κατάλληλη θεραπευτική στρατηγική.</w:t>
      </w:r>
      <w:r w:rsidR="008E1C54" w:rsidRPr="00A831E7">
        <w:rPr>
          <w:rFonts w:eastAsia="Calibri"/>
        </w:rPr>
        <w:t xml:space="preserve"> </w:t>
      </w:r>
      <w:r w:rsidR="006C47AD" w:rsidRPr="00A831E7">
        <w:rPr>
          <w:rFonts w:eastAsia="Calibri"/>
        </w:rPr>
        <w:t>Σε περίπτωση Ισχαιμικού ΑΕΕ πρέπει να χορηγηθεί ενδοφλέβιος ορός για θρομβόλυση το συντομότερο</w:t>
      </w:r>
      <w:r w:rsidR="00540F82" w:rsidRPr="00A831E7">
        <w:rPr>
          <w:rFonts w:eastAsia="Calibri"/>
        </w:rPr>
        <w:t xml:space="preserve"> </w:t>
      </w:r>
      <w:r w:rsidR="006C47AD" w:rsidRPr="00A831E7">
        <w:rPr>
          <w:rFonts w:eastAsia="Calibri"/>
        </w:rPr>
        <w:t>(&lt;4.5</w:t>
      </w:r>
      <w:r w:rsidR="002E4784">
        <w:rPr>
          <w:rFonts w:eastAsia="Calibri"/>
          <w:lang w:val="en-US"/>
        </w:rPr>
        <w:t>h</w:t>
      </w:r>
      <w:r w:rsidR="006C47AD" w:rsidRPr="00A831E7">
        <w:rPr>
          <w:rFonts w:eastAsia="Calibri"/>
        </w:rPr>
        <w:t xml:space="preserve">) </w:t>
      </w:r>
      <w:r w:rsidR="006C47AD" w:rsidRPr="00A831E7">
        <w:rPr>
          <w:rFonts w:eastAsia="Calibri"/>
        </w:rPr>
        <w:fldChar w:fldCharType="begin"/>
      </w:r>
      <w:r w:rsidR="00593025" w:rsidRPr="00A831E7">
        <w:rPr>
          <w:rFonts w:eastAsia="Calibri"/>
        </w:rPr>
        <w:instrText xml:space="preserve"> ADDIN ZOTERO_ITEM CSL_CITATION {"citationID":"7fhr7fRO","properties":{"formattedCitation":"[18]","plainCitation":"[18]","noteIndex":0},"citationItems":[{"id":1198,"uris":["http://zotero.org/users/local/mfHf28QG/items/EMHEAVA9"],"itemData":{"id":1198,"type":"article-journal","container-title":"The Lancet","DOI":"10.1016/S0140-6736(24)00642-1","ISSN":"0140-6736, 1474-547X","issue":"10446","journalAbbreviation":"The Lancet","language":"English","note":"publisher: Elsevier\nPMID: 38759664","page":"2820-2836","source":"www.thelancet.com","title":"Stroke","volume":"403","author":[{"family":"Hilkens","given":"Nina A."},{"family":"Casolla","given":"Barbara"},{"family":"Leung","given":"Thomas W."},{"family":"Leeuw","given":"Frank-Erik","dropping-particle":"de"}],"issued":{"date-parts":[["2024",6,29]]}},"suppress-author":true}],"schema":"https://github.com/citation-style-language/schema/raw/master/csl-citation.json"} </w:instrText>
      </w:r>
      <w:r w:rsidR="006C47AD" w:rsidRPr="00A831E7">
        <w:rPr>
          <w:rFonts w:eastAsia="Calibri"/>
        </w:rPr>
        <w:fldChar w:fldCharType="separate"/>
      </w:r>
      <w:r w:rsidR="00593025" w:rsidRPr="00A831E7">
        <w:rPr>
          <w:rFonts w:eastAsia="Calibri"/>
        </w:rPr>
        <w:t>[18]</w:t>
      </w:r>
      <w:r w:rsidR="006C47AD" w:rsidRPr="00A831E7">
        <w:rPr>
          <w:rFonts w:eastAsia="Calibri"/>
        </w:rPr>
        <w:fldChar w:fldCharType="end"/>
      </w:r>
      <w:r w:rsidR="006C47AD" w:rsidRPr="00A831E7">
        <w:rPr>
          <w:rFonts w:eastAsia="Calibri"/>
        </w:rPr>
        <w:t>. Σε θρόμβους μεγάλης αρτηρίας</w:t>
      </w:r>
      <w:r w:rsidR="00F267A1">
        <w:rPr>
          <w:rFonts w:eastAsia="Calibri"/>
        </w:rPr>
        <w:t xml:space="preserve"> </w:t>
      </w:r>
      <w:r w:rsidR="006C47AD" w:rsidRPr="00A831E7">
        <w:rPr>
          <w:rFonts w:eastAsia="Calibri"/>
        </w:rPr>
        <w:t>(LVO) πραγματοποιείται και αγγειακή θρομβεκτομή (&lt;4.5h) ενώ αν έχει περάσει αρκετή ώρα η θεραπεία γίνεται βάσει απεικόνισης της αιμάτωσης εντός 6-24</w:t>
      </w:r>
      <w:r w:rsidR="00A705FD">
        <w:rPr>
          <w:rFonts w:eastAsia="Calibri"/>
        </w:rPr>
        <w:t xml:space="preserve"> ωρών</w:t>
      </w:r>
      <w:r w:rsidR="006C47AD" w:rsidRPr="00A831E7">
        <w:rPr>
          <w:rFonts w:eastAsia="Calibri"/>
        </w:rPr>
        <w:t xml:space="preserve"> για LVO και μέχρι 9</w:t>
      </w:r>
      <w:r w:rsidR="00A705FD">
        <w:rPr>
          <w:rFonts w:eastAsia="Calibri"/>
        </w:rPr>
        <w:t xml:space="preserve"> ώρες</w:t>
      </w:r>
      <w:r w:rsidR="006C47AD" w:rsidRPr="00A831E7">
        <w:rPr>
          <w:rFonts w:eastAsia="Calibri"/>
        </w:rPr>
        <w:t xml:space="preserve"> για τις υπόλοιπες περιπτώσεις </w:t>
      </w:r>
      <w:r w:rsidR="006C47AD" w:rsidRPr="00A831E7">
        <w:rPr>
          <w:rFonts w:eastAsia="Calibri"/>
        </w:rPr>
        <w:fldChar w:fldCharType="begin"/>
      </w:r>
      <w:r w:rsidR="00593025" w:rsidRPr="00A831E7">
        <w:rPr>
          <w:rFonts w:eastAsia="Calibri"/>
        </w:rPr>
        <w:instrText xml:space="preserve"> ADDIN ZOTERO_ITEM CSL_CITATION {"citationID":"koS4DS1o","properties":{"formattedCitation":"[18]","plainCitation":"[18]","noteIndex":0},"citationItems":[{"id":1198,"uris":["http://zotero.org/users/local/mfHf28QG/items/EMHEAVA9"],"itemData":{"id":1198,"type":"article-journal","container-title":"The Lancet","DOI":"10.1016/S0140-6736(24)00642-1","ISSN":"0140-6736, 1474-547X","issue":"10446","journalAbbreviation":"The Lancet","language":"English","note":"publisher: Elsevier\nPMID: 38759664","page":"2820-2836","source":"www.thelancet.com","title":"Stroke","volume":"403","author":[{"family":"Hilkens","given":"Nina A."},{"family":"Casolla","given":"Barbara"},{"family":"Leung","given":"Thomas W."},{"family":"Leeuw","given":"Frank-Erik","dropping-particle":"de"}],"issued":{"date-parts":[["2024",6,29]]}},"suppress-author":true}],"schema":"https://github.com/citation-style-language/schema/raw/master/csl-citation.json"} </w:instrText>
      </w:r>
      <w:r w:rsidR="006C47AD" w:rsidRPr="00A831E7">
        <w:rPr>
          <w:rFonts w:eastAsia="Calibri"/>
        </w:rPr>
        <w:fldChar w:fldCharType="separate"/>
      </w:r>
      <w:r w:rsidR="00593025" w:rsidRPr="00A831E7">
        <w:rPr>
          <w:rFonts w:eastAsia="Calibri"/>
        </w:rPr>
        <w:t>[18]</w:t>
      </w:r>
      <w:r w:rsidR="006C47AD" w:rsidRPr="00A831E7">
        <w:rPr>
          <w:rFonts w:eastAsia="Calibri"/>
        </w:rPr>
        <w:fldChar w:fldCharType="end"/>
      </w:r>
      <w:r w:rsidR="006C47AD" w:rsidRPr="00A831E7">
        <w:rPr>
          <w:rFonts w:eastAsia="Calibri"/>
        </w:rPr>
        <w:t>. Σε Αιμορραγικό ΑΕΕ χρειάζεται άμεση</w:t>
      </w:r>
      <w:r w:rsidR="00F267A1">
        <w:rPr>
          <w:rFonts w:eastAsia="Calibri"/>
        </w:rPr>
        <w:t xml:space="preserve"> αντίστροφη</w:t>
      </w:r>
      <w:r w:rsidR="006C47AD" w:rsidRPr="00A831E7">
        <w:rPr>
          <w:rFonts w:eastAsia="Calibri"/>
        </w:rPr>
        <w:t xml:space="preserve"> </w:t>
      </w:r>
      <w:r w:rsidR="007E4811" w:rsidRPr="00A831E7">
        <w:rPr>
          <w:rFonts w:eastAsia="Calibri"/>
        </w:rPr>
        <w:t xml:space="preserve">αντιπηκτική </w:t>
      </w:r>
      <w:r w:rsidR="00C15B2B" w:rsidRPr="00A831E7">
        <w:rPr>
          <w:rFonts w:eastAsia="Calibri"/>
        </w:rPr>
        <w:t>παρέμβαση είτε με φάρμακα είτ</w:t>
      </w:r>
      <w:r w:rsidR="007273FF" w:rsidRPr="00A831E7">
        <w:rPr>
          <w:rFonts w:eastAsia="Calibri"/>
        </w:rPr>
        <w:t>ε</w:t>
      </w:r>
      <w:r w:rsidR="00C15B2B" w:rsidRPr="00A831E7">
        <w:rPr>
          <w:rFonts w:eastAsia="Calibri"/>
        </w:rPr>
        <w:t xml:space="preserve"> </w:t>
      </w:r>
      <w:r w:rsidR="007E4811" w:rsidRPr="00A831E7">
        <w:rPr>
          <w:rFonts w:eastAsia="Calibri"/>
        </w:rPr>
        <w:t>χειρουργικά</w:t>
      </w:r>
      <w:r w:rsidR="00F267A1">
        <w:rPr>
          <w:rFonts w:eastAsia="Calibri"/>
        </w:rPr>
        <w:t xml:space="preserve"> για την βελτίωση της αιμόστασης</w:t>
      </w:r>
      <w:r w:rsidR="007E4811" w:rsidRPr="00A831E7">
        <w:rPr>
          <w:rFonts w:eastAsia="Calibri"/>
        </w:rPr>
        <w:t>,</w:t>
      </w:r>
      <w:r w:rsidR="006C47AD" w:rsidRPr="00A831E7">
        <w:rPr>
          <w:rFonts w:eastAsia="Calibri"/>
        </w:rPr>
        <w:t xml:space="preserve"> ρύθμιση πιθανώς υψηλής πίεσης και ενδεχόμενη νευροχειρουργική επέμβαση αν κριθεί απαραίτητο </w:t>
      </w:r>
      <w:r w:rsidR="006C47AD" w:rsidRPr="00A831E7">
        <w:rPr>
          <w:rFonts w:eastAsia="Calibri"/>
        </w:rPr>
        <w:fldChar w:fldCharType="begin"/>
      </w:r>
      <w:r w:rsidR="00593025" w:rsidRPr="00A831E7">
        <w:rPr>
          <w:rFonts w:eastAsia="Calibri"/>
        </w:rPr>
        <w:instrText xml:space="preserve"> ADDIN ZOTERO_ITEM CSL_CITATION {"citationID":"82IqhyCP","properties":{"formattedCitation":"[18]","plainCitation":"[18]","noteIndex":0},"citationItems":[{"id":1198,"uris":["http://zotero.org/users/local/mfHf28QG/items/EMHEAVA9"],"itemData":{"id":1198,"type":"article-journal","container-title":"The Lancet","DOI":"10.1016/S0140-6736(24)00642-1","ISSN":"0140-6736, 1474-547X","issue":"10446","journalAbbreviation":"The Lancet","language":"English","note":"publisher: Elsevier\nPMID: 38759664","page":"2820-2836","source":"www.thelancet.com","title":"Stroke","volume":"403","author":[{"family":"Hilkens","given":"Nina A."},{"family":"Casolla","given":"Barbara"},{"family":"Leung","given":"Thomas W."},{"family":"Leeuw","given":"Frank-Erik","dropping-particle":"de"}],"issued":{"date-parts":[["2024",6,29]]}},"suppress-author":true}],"schema":"https://github.com/citation-style-language/schema/raw/master/csl-citation.json"} </w:instrText>
      </w:r>
      <w:r w:rsidR="006C47AD" w:rsidRPr="00A831E7">
        <w:rPr>
          <w:rFonts w:eastAsia="Calibri"/>
        </w:rPr>
        <w:fldChar w:fldCharType="separate"/>
      </w:r>
      <w:r w:rsidR="00593025" w:rsidRPr="00A831E7">
        <w:rPr>
          <w:rFonts w:eastAsia="Calibri"/>
        </w:rPr>
        <w:t>[18]</w:t>
      </w:r>
      <w:r w:rsidR="006C47AD" w:rsidRPr="00A831E7">
        <w:rPr>
          <w:rFonts w:eastAsia="Calibri"/>
        </w:rPr>
        <w:fldChar w:fldCharType="end"/>
      </w:r>
      <w:r w:rsidR="006C47AD" w:rsidRPr="00A831E7">
        <w:rPr>
          <w:rFonts w:eastAsia="Calibri"/>
        </w:rPr>
        <w:t xml:space="preserve">. </w:t>
      </w:r>
      <w:r w:rsidR="007E4811" w:rsidRPr="00A831E7">
        <w:rPr>
          <w:rFonts w:eastAsia="Calibri"/>
        </w:rPr>
        <w:t xml:space="preserve">Και οι δύο κατηγορίες ΑΕΕ έχουν μικρό παράθυρο για παροχή αποτελεσματικής θεραπείας ενώ οι περιπτώσεις Ισχαιμικών ΑΕΕ παρουσιάζουν καλύτερη πρόγνωση και έκβαση με μικρότερα ποσοστά θνησιμότητας και επιπλοκών </w:t>
      </w:r>
      <w:r w:rsidR="00ED6A60" w:rsidRPr="00A831E7">
        <w:rPr>
          <w:rFonts w:eastAsia="Calibri"/>
        </w:rPr>
        <w:fldChar w:fldCharType="begin"/>
      </w:r>
      <w:r w:rsidR="00ED6A60" w:rsidRPr="00A831E7">
        <w:rPr>
          <w:rFonts w:eastAsia="Calibri"/>
        </w:rPr>
        <w:instrText xml:space="preserve"> ADDIN ZOTERO_ITEM CSL_CITATION {"citationID":"cQYXGkEn","properties":{"formattedCitation":"[13]","plainCitation":"[13]","noteIndex":0},"citationItems":[{"id":1104,"uris":["http://zotero.org/users/local/mfHf28QG/items/EJ2MW8IJ"],"itemData":{"id":1104,"type":"article-journal","abstract":"Stroke is ranked as the second leading cause of death worldwide with an annual mortality rate of about 5.5 million. Not only does the burden of stroke lie in the high mortality but the high morbidity also results in up to 50% of survivors being chronically disabled. Thus stroke is a disease of immense public health importance with serious economic and social consequences. The public health burden of stroke is set to rise over future decades because of demographic transitions of populations, particularly in developing countries. This paper provides an overview of stroke in the 21st century from a public health perspective.","container-title":"Stroke Research and Treatment","DOI":"10.1155/2018/3238165","ISSN":"2090-8105","journalAbbreviation":"Stroke Res Treat","language":"eng","note":"PMID: 30598741\nPMCID: PMC6288566","page":"3238165","source":"PubMed","title":"Stroke in the 21st Century: A Snapshot of the Burden, Epidemiology, and Quality of Life","title-short":"Stroke in the 21st Century","volume":"2018","author":[{"family":"Donkor","given":"Eric S."}],"issued":{"date-parts":[["2018"]]}},"suppress-author":true}],"schema":"https://github.com/citation-style-language/schema/raw/master/csl-citation.json"} </w:instrText>
      </w:r>
      <w:r w:rsidR="00ED6A60" w:rsidRPr="00A831E7">
        <w:rPr>
          <w:rFonts w:eastAsia="Calibri"/>
        </w:rPr>
        <w:fldChar w:fldCharType="separate"/>
      </w:r>
      <w:r w:rsidR="00ED6A60" w:rsidRPr="00A831E7">
        <w:rPr>
          <w:rFonts w:eastAsia="Calibri"/>
        </w:rPr>
        <w:t>[13]</w:t>
      </w:r>
      <w:r w:rsidR="00ED6A60" w:rsidRPr="00A831E7">
        <w:rPr>
          <w:rFonts w:eastAsia="Calibri"/>
        </w:rPr>
        <w:fldChar w:fldCharType="end"/>
      </w:r>
      <w:r w:rsidR="00ED6A60" w:rsidRPr="00A831E7">
        <w:rPr>
          <w:rFonts w:eastAsia="Calibri"/>
        </w:rPr>
        <w:t>.</w:t>
      </w:r>
      <w:r w:rsidR="00F960AA" w:rsidRPr="00A831E7">
        <w:t xml:space="preserve"> </w:t>
      </w:r>
    </w:p>
    <w:p w14:paraId="623F3E44" w14:textId="7E774757" w:rsidR="00D634EB" w:rsidRPr="00A831E7" w:rsidRDefault="00F960AA" w:rsidP="00F32EEE">
      <w:pPr>
        <w:spacing w:line="360" w:lineRule="auto"/>
        <w:ind w:firstLine="720"/>
        <w:jc w:val="both"/>
        <w:rPr>
          <w:rFonts w:eastAsia="Calibri"/>
        </w:rPr>
      </w:pPr>
      <w:r w:rsidRPr="00A831E7">
        <w:rPr>
          <w:rFonts w:eastAsia="Calibri"/>
        </w:rPr>
        <w:t xml:space="preserve">Στο σύνολό τους τα αποτελέσματα της θεραπείας εξαρτώνται από τη φύση και τη σοβαρότητα του εγκεφαλικού επεισοδίου, τη γρήγορη διάγνωση και την αποτελεσματική χορήγηση της κατάλληλης θεραπείας. Η αποκατάσταση μετά από </w:t>
      </w:r>
      <w:r w:rsidRPr="00A831E7">
        <w:rPr>
          <w:rFonts w:eastAsia="Calibri"/>
        </w:rPr>
        <w:lastRenderedPageBreak/>
        <w:t xml:space="preserve">επιτυχημένη αντιμετώπιση μπορεί να διαρκέσει από εβδομάδες έως και χρόνια με βραχυχρόνια ή μακροχρόνια συμπτώματα όπως παράλυση, αδυναμία, μούδιασμα, διάφορους πόνους, δυσχέρεια σκέψης και ομιλίας, απουσία ελέγχου συναισθημάτων και εκφράσεων καθώς και κατάθλιψη </w:t>
      </w:r>
      <w:r w:rsidRPr="00A831E7">
        <w:rPr>
          <w:rFonts w:eastAsia="Calibri"/>
        </w:rPr>
        <w:fldChar w:fldCharType="begin"/>
      </w:r>
      <w:r w:rsidR="00593025" w:rsidRPr="00A831E7">
        <w:rPr>
          <w:rFonts w:eastAsia="Calibri"/>
        </w:rPr>
        <w:instrText xml:space="preserve"> ADDIN ZOTERO_ITEM CSL_CITATION {"citationID":"jrwok5wJ","properties":{"formattedCitation":"[18]","plainCitation":"[18]","noteIndex":0},"citationItems":[{"id":1198,"uris":["http://zotero.org/users/local/mfHf28QG/items/EMHEAVA9"],"itemData":{"id":1198,"type":"article-journal","container-title":"The Lancet","DOI":"10.1016/S0140-6736(24)00642-1","ISSN":"0140-6736, 1474-547X","issue":"10446","journalAbbreviation":"The Lancet","language":"English","note":"publisher: Elsevier\nPMID: 38759664","page":"2820-2836","source":"www.thelancet.com","title":"Stroke","volume":"403","author":[{"family":"Hilkens","given":"Nina A."},{"family":"Casolla","given":"Barbara"},{"family":"Leung","given":"Thomas W."},{"family":"Leeuw","given":"Frank-Erik","dropping-particle":"de"}],"issued":{"date-parts":[["2024",6,29]]}},"suppress-author":true}],"schema":"https://github.com/citation-style-language/schema/raw/master/csl-citation.json"} </w:instrText>
      </w:r>
      <w:r w:rsidRPr="00A831E7">
        <w:rPr>
          <w:rFonts w:eastAsia="Calibri"/>
        </w:rPr>
        <w:fldChar w:fldCharType="separate"/>
      </w:r>
      <w:r w:rsidR="00593025" w:rsidRPr="00A831E7">
        <w:rPr>
          <w:rFonts w:eastAsia="Calibri"/>
        </w:rPr>
        <w:t>[18]</w:t>
      </w:r>
      <w:r w:rsidRPr="00A831E7">
        <w:rPr>
          <w:rFonts w:eastAsia="Calibri"/>
        </w:rPr>
        <w:fldChar w:fldCharType="end"/>
      </w:r>
      <w:r w:rsidRPr="00A831E7">
        <w:rPr>
          <w:rFonts w:eastAsia="Calibri"/>
        </w:rPr>
        <w:t xml:space="preserve">. </w:t>
      </w:r>
      <w:r w:rsidR="00AE70C2" w:rsidRPr="00A831E7">
        <w:rPr>
          <w:rFonts w:eastAsia="Calibri"/>
        </w:rPr>
        <w:t>Η αξιοποίηση νέων τεχνικών θεραπείας όπως η χρήση EVs (</w:t>
      </w:r>
      <w:r w:rsidR="002E4784">
        <w:rPr>
          <w:rFonts w:eastAsia="Calibri"/>
          <w:lang w:val="en-US"/>
        </w:rPr>
        <w:t>E</w:t>
      </w:r>
      <w:r w:rsidR="00AE70C2" w:rsidRPr="00A831E7">
        <w:rPr>
          <w:rFonts w:eastAsia="Calibri"/>
        </w:rPr>
        <w:t xml:space="preserve">xtracellular </w:t>
      </w:r>
      <w:r w:rsidR="002E4784">
        <w:rPr>
          <w:rFonts w:eastAsia="Calibri"/>
          <w:lang w:val="en-US"/>
        </w:rPr>
        <w:t>V</w:t>
      </w:r>
      <w:r w:rsidR="00AE70C2" w:rsidRPr="00A831E7">
        <w:rPr>
          <w:rFonts w:eastAsia="Calibri"/>
        </w:rPr>
        <w:t>esicles) για ανάπλαση νεύρων στον εγκέφαλο</w:t>
      </w:r>
      <w:r w:rsidR="00E14525" w:rsidRPr="00A831E7">
        <w:rPr>
          <w:rFonts w:eastAsia="Calibri"/>
        </w:rPr>
        <w:t xml:space="preserve"> </w:t>
      </w:r>
      <w:r w:rsidR="003F6BC2" w:rsidRPr="00A831E7">
        <w:rPr>
          <w:rFonts w:eastAsia="Calibri"/>
        </w:rPr>
        <w:t>–</w:t>
      </w:r>
      <w:r w:rsidR="00AE70C2" w:rsidRPr="00A831E7">
        <w:rPr>
          <w:rFonts w:eastAsia="Calibri"/>
        </w:rPr>
        <w:t xml:space="preserve"> λόγω της ιδιότητας του να</w:t>
      </w:r>
      <w:r w:rsidR="00F267A1">
        <w:rPr>
          <w:rFonts w:eastAsia="Calibri"/>
        </w:rPr>
        <w:t xml:space="preserve"> μεταφέρουν πληροφορία</w:t>
      </w:r>
      <w:r w:rsidR="00AE70C2" w:rsidRPr="00A831E7">
        <w:rPr>
          <w:rFonts w:eastAsia="Calibri"/>
        </w:rPr>
        <w:t xml:space="preserve"> με ευκολία</w:t>
      </w:r>
      <w:r w:rsidR="00F267A1">
        <w:rPr>
          <w:rFonts w:eastAsia="Calibri"/>
        </w:rPr>
        <w:t xml:space="preserve"> μέσω</w:t>
      </w:r>
      <w:r w:rsidR="00AE70C2" w:rsidRPr="00A831E7">
        <w:rPr>
          <w:rFonts w:eastAsia="Calibri"/>
        </w:rPr>
        <w:t xml:space="preserve"> το</w:t>
      </w:r>
      <w:r w:rsidR="00F267A1">
        <w:rPr>
          <w:rFonts w:eastAsia="Calibri"/>
        </w:rPr>
        <w:t>υ</w:t>
      </w:r>
      <w:r w:rsidR="00AE70C2" w:rsidRPr="00A831E7">
        <w:rPr>
          <w:rFonts w:eastAsia="Calibri"/>
        </w:rPr>
        <w:t xml:space="preserve"> αιματοεγκεφαλικ</w:t>
      </w:r>
      <w:r w:rsidR="00F267A1">
        <w:rPr>
          <w:rFonts w:eastAsia="Calibri"/>
        </w:rPr>
        <w:t>ού</w:t>
      </w:r>
      <w:r w:rsidR="00AE70C2" w:rsidRPr="00A831E7">
        <w:rPr>
          <w:rFonts w:eastAsia="Calibri"/>
        </w:rPr>
        <w:t xml:space="preserve"> φραγμ</w:t>
      </w:r>
      <w:r w:rsidR="00F267A1">
        <w:rPr>
          <w:rFonts w:eastAsia="Calibri"/>
        </w:rPr>
        <w:t>ού</w:t>
      </w:r>
      <w:r w:rsidR="00AE70C2" w:rsidRPr="00A831E7">
        <w:rPr>
          <w:rFonts w:eastAsia="Calibri"/>
        </w:rPr>
        <w:t xml:space="preserve"> (blood-brain</w:t>
      </w:r>
      <w:r w:rsidR="002E4784" w:rsidRPr="002E4784">
        <w:rPr>
          <w:rFonts w:eastAsia="Calibri"/>
        </w:rPr>
        <w:t>-</w:t>
      </w:r>
      <w:r w:rsidR="00AE70C2" w:rsidRPr="00A831E7">
        <w:rPr>
          <w:rFonts w:eastAsia="Calibri"/>
        </w:rPr>
        <w:t>barrier</w:t>
      </w:r>
      <w:r w:rsidR="00483326" w:rsidRPr="00A831E7">
        <w:rPr>
          <w:rFonts w:eastAsia="Calibri"/>
        </w:rPr>
        <w:t xml:space="preserve">, </w:t>
      </w:r>
      <w:r w:rsidR="00AE70C2" w:rsidRPr="00A831E7">
        <w:rPr>
          <w:rFonts w:eastAsia="Calibri"/>
        </w:rPr>
        <w:t>BBB)</w:t>
      </w:r>
      <w:r w:rsidR="00E14525" w:rsidRPr="00A831E7">
        <w:rPr>
          <w:rFonts w:eastAsia="Calibri"/>
        </w:rPr>
        <w:t xml:space="preserve"> </w:t>
      </w:r>
      <w:r w:rsidR="003F6BC2" w:rsidRPr="00A831E7">
        <w:rPr>
          <w:rFonts w:eastAsia="Calibri"/>
        </w:rPr>
        <w:t>–</w:t>
      </w:r>
      <w:r w:rsidR="00AE70C2" w:rsidRPr="00A831E7">
        <w:rPr>
          <w:rFonts w:eastAsia="Calibri"/>
        </w:rPr>
        <w:t xml:space="preserve"> θα μπορούσε να μειώσει σημαντικά το χρόνο αποκατάστασης </w:t>
      </w:r>
      <w:r w:rsidR="00AE70C2" w:rsidRPr="00A831E7">
        <w:rPr>
          <w:rFonts w:eastAsia="Calibri"/>
        </w:rPr>
        <w:fldChar w:fldCharType="begin"/>
      </w:r>
      <w:r w:rsidR="00AE70C2" w:rsidRPr="00A831E7">
        <w:rPr>
          <w:rFonts w:eastAsia="Calibri"/>
        </w:rPr>
        <w:instrText xml:space="preserve"> ADDIN ZOTERO_ITEM CSL_CITATION {"citationID":"8ODJzFcS","properties":{"formattedCitation":"[4]","plainCitation":"[4]","noteIndex":0},"citationItems":[{"id":259,"uris":["http://zotero.org/users/local/mfHf28QG/items/BNXINVFS"],"itemData":{"id":259,"type":"article-journal","abstract":"Stroke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Sang"}],"issued":{"date-parts":[["2022",7,28]]}},"suppress-author":true}],"schema":"https://github.com/citation-style-language/schema/raw/master/csl-citation.json"} </w:instrText>
      </w:r>
      <w:r w:rsidR="00AE70C2" w:rsidRPr="00A831E7">
        <w:rPr>
          <w:rFonts w:eastAsia="Calibri"/>
        </w:rPr>
        <w:fldChar w:fldCharType="separate"/>
      </w:r>
      <w:r w:rsidR="00AE70C2" w:rsidRPr="00A831E7">
        <w:rPr>
          <w:rFonts w:eastAsia="Calibri"/>
        </w:rPr>
        <w:t>[4]</w:t>
      </w:r>
      <w:r w:rsidR="00AE70C2" w:rsidRPr="00A831E7">
        <w:rPr>
          <w:rFonts w:eastAsia="Calibri"/>
        </w:rPr>
        <w:fldChar w:fldCharType="end"/>
      </w:r>
      <w:r w:rsidR="00AE70C2" w:rsidRPr="00A831E7">
        <w:rPr>
          <w:rFonts w:eastAsia="Calibri"/>
        </w:rPr>
        <w:t>.</w:t>
      </w:r>
    </w:p>
    <w:p w14:paraId="7290BC62" w14:textId="1C3D2D0A" w:rsidR="000251C5" w:rsidRPr="00A831E7" w:rsidRDefault="00105D4F" w:rsidP="00F32EEE">
      <w:pPr>
        <w:spacing w:line="360" w:lineRule="auto"/>
        <w:ind w:firstLine="720"/>
        <w:jc w:val="both"/>
        <w:rPr>
          <w:rFonts w:eastAsia="Calibri"/>
        </w:rPr>
      </w:pPr>
      <w:r w:rsidRPr="00A831E7">
        <w:rPr>
          <w:rFonts w:eastAsia="Calibri"/>
        </w:rPr>
        <w:t>Η εξασφάλιση έγκαιρης και επιτυχημένης διάγνωσης αποτελεί τον ακρογωνιαίο λίθο της αποτελεσματικής ιατρικής παρέμβασης καθώς είναι κρίσιμη για τον καθορισμό της θεραπείας, την έκβαση της ασθένειας και την ανάρρωση του ασθενή. Δεδομένης της χρονικής εξάρτησης</w:t>
      </w:r>
      <w:r w:rsidR="007273FF" w:rsidRPr="00A831E7">
        <w:rPr>
          <w:rFonts w:eastAsia="Calibri"/>
        </w:rPr>
        <w:t xml:space="preserve"> που έχει η έκβαση</w:t>
      </w:r>
      <w:r w:rsidRPr="00A831E7">
        <w:rPr>
          <w:rFonts w:eastAsia="Calibri"/>
        </w:rPr>
        <w:t xml:space="preserve"> ενός ΑΕΕ</w:t>
      </w:r>
      <w:r w:rsidR="007273FF" w:rsidRPr="00A831E7">
        <w:rPr>
          <w:rFonts w:eastAsia="Calibri"/>
        </w:rPr>
        <w:t xml:space="preserve"> κρίνεται απαραίτητη</w:t>
      </w:r>
      <w:r w:rsidRPr="00A831E7">
        <w:rPr>
          <w:rFonts w:eastAsia="Calibri"/>
        </w:rPr>
        <w:t xml:space="preserve"> η άμεση και ακριβής κατάταξη</w:t>
      </w:r>
      <w:r w:rsidR="007273FF" w:rsidRPr="00A831E7">
        <w:rPr>
          <w:rFonts w:eastAsia="Calibri"/>
        </w:rPr>
        <w:t xml:space="preserve"> αυτού</w:t>
      </w:r>
      <w:r w:rsidRPr="00A831E7">
        <w:rPr>
          <w:rFonts w:eastAsia="Calibri"/>
        </w:rPr>
        <w:t>. Επομένως κατά τις πρώτες ώρες της εκδήλωσης συμπτωμάτων χρειάζεται</w:t>
      </w:r>
      <w:r w:rsidR="00F209BF" w:rsidRPr="00A831E7">
        <w:rPr>
          <w:rFonts w:eastAsia="Calibri"/>
        </w:rPr>
        <w:t xml:space="preserve"> όχι μόνο</w:t>
      </w:r>
      <w:r w:rsidRPr="00A831E7">
        <w:rPr>
          <w:rFonts w:eastAsia="Calibri"/>
        </w:rPr>
        <w:t xml:space="preserve"> άμεση ανταπόκριση</w:t>
      </w:r>
      <w:r w:rsidR="007273FF" w:rsidRPr="00A831E7">
        <w:rPr>
          <w:rFonts w:eastAsia="Calibri"/>
        </w:rPr>
        <w:t xml:space="preserve"> των υπηρεσιών </w:t>
      </w:r>
      <w:r w:rsidR="00E93CD2">
        <w:rPr>
          <w:rFonts w:eastAsia="Calibri"/>
        </w:rPr>
        <w:t>πρώτων βοηθειών</w:t>
      </w:r>
      <w:r w:rsidR="007273FF" w:rsidRPr="00A831E7">
        <w:rPr>
          <w:rFonts w:eastAsia="Calibri"/>
        </w:rPr>
        <w:t xml:space="preserve"> (EMS) </w:t>
      </w:r>
      <w:r w:rsidRPr="00A831E7">
        <w:rPr>
          <w:rFonts w:eastAsia="Calibri"/>
        </w:rPr>
        <w:t xml:space="preserve"> </w:t>
      </w:r>
      <w:r w:rsidR="00F209BF" w:rsidRPr="00A831E7">
        <w:rPr>
          <w:rFonts w:eastAsia="Calibri"/>
        </w:rPr>
        <w:t>αλλά και</w:t>
      </w:r>
      <w:r w:rsidRPr="00A831E7">
        <w:rPr>
          <w:rFonts w:eastAsia="Calibri"/>
        </w:rPr>
        <w:t xml:space="preserve"> άρτια εκπαιδευμένο προσωπικό</w:t>
      </w:r>
      <w:r w:rsidR="00F209BF" w:rsidRPr="00A831E7">
        <w:rPr>
          <w:rFonts w:eastAsia="Calibri"/>
        </w:rPr>
        <w:t xml:space="preserve"> </w:t>
      </w:r>
      <w:r w:rsidR="007273FF" w:rsidRPr="00A831E7">
        <w:rPr>
          <w:rFonts w:eastAsia="Calibri"/>
        </w:rPr>
        <w:t xml:space="preserve">συμπεριλαμβανομένων και </w:t>
      </w:r>
      <w:r w:rsidR="00F209BF" w:rsidRPr="00A831E7">
        <w:rPr>
          <w:rFonts w:eastAsia="Calibri"/>
        </w:rPr>
        <w:t>των</w:t>
      </w:r>
      <w:r w:rsidRPr="00A831E7">
        <w:rPr>
          <w:rFonts w:eastAsia="Calibri"/>
        </w:rPr>
        <w:t xml:space="preserve"> </w:t>
      </w:r>
      <w:r w:rsidR="00F209BF" w:rsidRPr="00A831E7">
        <w:rPr>
          <w:rFonts w:eastAsia="Calibri"/>
        </w:rPr>
        <w:t>διασωστών (EMTs). Υπάρχει ανάγκη για συνεχή εκπαίδευση και ανάπτυξη δεξιοτήτων ώστε να μπορούν να προσφέρουν την καλύτερη δυνατή φροντίδα στους ασθενείς.</w:t>
      </w:r>
    </w:p>
    <w:p w14:paraId="47FA0D29" w14:textId="35E2556B" w:rsidR="00D634EB" w:rsidRPr="00A831E7" w:rsidRDefault="00F209BF" w:rsidP="00F32EEE">
      <w:pPr>
        <w:spacing w:line="360" w:lineRule="auto"/>
        <w:ind w:firstLine="720"/>
        <w:jc w:val="both"/>
        <w:rPr>
          <w:rFonts w:eastAsia="Calibri"/>
        </w:rPr>
      </w:pPr>
      <w:r w:rsidRPr="00A831E7">
        <w:rPr>
          <w:rFonts w:eastAsia="Calibri"/>
        </w:rPr>
        <w:t>Στη διάθεση των επαγγελματιών της προνοσοκομειακής φροντίδας πρέπει να υπάρχουν νέες διαγνωστικές τεχνικές και εργαλεία</w:t>
      </w:r>
      <w:r w:rsidR="00F267A1">
        <w:rPr>
          <w:rFonts w:eastAsia="Calibri"/>
          <w:lang w:val="en-US"/>
        </w:rPr>
        <w:t>,</w:t>
      </w:r>
      <w:r w:rsidRPr="00A831E7">
        <w:rPr>
          <w:rFonts w:eastAsia="Calibri"/>
        </w:rPr>
        <w:t xml:space="preserve"> όπως </w:t>
      </w:r>
      <w:r w:rsidR="00F267A1">
        <w:rPr>
          <w:rFonts w:eastAsia="Calibri"/>
        </w:rPr>
        <w:t>οι κινητές μονάδες εγκεφαλικού επεισοδίου</w:t>
      </w:r>
      <w:r w:rsidRPr="00A831E7">
        <w:rPr>
          <w:rFonts w:eastAsia="Calibri"/>
        </w:rPr>
        <w:t xml:space="preserve"> </w:t>
      </w:r>
      <w:r w:rsidR="00F267A1">
        <w:rPr>
          <w:rFonts w:eastAsia="Calibri"/>
        </w:rPr>
        <w:t>(</w:t>
      </w:r>
      <w:r w:rsidR="00F267A1">
        <w:rPr>
          <w:rFonts w:eastAsia="Calibri"/>
          <w:lang w:val="en-US"/>
        </w:rPr>
        <w:t xml:space="preserve">Mobile Stroke Units, </w:t>
      </w:r>
      <w:r w:rsidRPr="00A831E7">
        <w:rPr>
          <w:rFonts w:eastAsia="Calibri"/>
        </w:rPr>
        <w:t>MSUs</w:t>
      </w:r>
      <w:r w:rsidR="00F267A1">
        <w:rPr>
          <w:rFonts w:eastAsia="Calibri"/>
        </w:rPr>
        <w:t>)</w:t>
      </w:r>
      <w:r w:rsidRPr="00A831E7">
        <w:rPr>
          <w:rFonts w:eastAsia="Calibri"/>
        </w:rPr>
        <w:t xml:space="preserve"> και</w:t>
      </w:r>
      <w:r w:rsidR="00F267A1">
        <w:rPr>
          <w:rFonts w:eastAsia="Calibri"/>
          <w:lang w:val="en-US"/>
        </w:rPr>
        <w:t xml:space="preserve"> </w:t>
      </w:r>
      <w:r w:rsidR="00F267A1">
        <w:rPr>
          <w:rFonts w:eastAsia="Calibri"/>
        </w:rPr>
        <w:t>οι</w:t>
      </w:r>
      <w:r w:rsidRPr="00A831E7">
        <w:rPr>
          <w:rFonts w:eastAsia="Calibri"/>
        </w:rPr>
        <w:t xml:space="preserve"> συσκευές PoC ώστε να ενισχυθεί η προνοσοκομειακή διάγνωση και να εξοικονομηθεί κρίσιμος χρόνος. Τα MSUs είναι ειδικά εξοπλισμένα ασθενοφόρα με προηγμένο απεικονιστικό εξοπλισμό όπως CT scanners και MRIs, ενώ διαθέτουν </w:t>
      </w:r>
      <w:r w:rsidR="00B73932" w:rsidRPr="00A831E7">
        <w:rPr>
          <w:rFonts w:eastAsia="Calibri"/>
        </w:rPr>
        <w:t>εξειδικευμένο προσωπικό για την αντιμετώπιση ΑΕΕ περιστατικών. Διαθέτουν επίσης PoC εργαστήριο</w:t>
      </w:r>
      <w:r w:rsidR="00E11049" w:rsidRPr="00A831E7">
        <w:rPr>
          <w:rFonts w:eastAsia="Calibri"/>
        </w:rPr>
        <w:t xml:space="preserve"> και εξοπλισμό τηλεϊατρικής </w:t>
      </w:r>
      <w:r w:rsidR="00E11049" w:rsidRPr="00A831E7">
        <w:rPr>
          <w:rFonts w:eastAsia="Calibri"/>
        </w:rPr>
        <w:fldChar w:fldCharType="begin"/>
      </w:r>
      <w:r w:rsidR="00593025" w:rsidRPr="00A831E7">
        <w:rPr>
          <w:rFonts w:eastAsia="Calibri"/>
        </w:rPr>
        <w:instrText xml:space="preserve"> ADDIN ZOTERO_ITEM CSL_CITATION {"citationID":"8yw8nX7f","properties":{"formattedCitation":"[19]","plainCitation":"[19]","noteIndex":0},"citationItems":[{"id":110,"uris":["http://zotero.org/users/local/mfHf28QG/items/QT2DILW2"],"itemData":{"id":110,"type":"article-journal","abstract":"Mobile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E11049" w:rsidRPr="00A831E7">
        <w:rPr>
          <w:rFonts w:eastAsia="Calibri"/>
        </w:rPr>
        <w:fldChar w:fldCharType="separate"/>
      </w:r>
      <w:r w:rsidR="00593025" w:rsidRPr="00A831E7">
        <w:rPr>
          <w:rFonts w:eastAsia="Calibri"/>
        </w:rPr>
        <w:t>[19]</w:t>
      </w:r>
      <w:r w:rsidR="00E11049" w:rsidRPr="00A831E7">
        <w:rPr>
          <w:rFonts w:eastAsia="Calibri"/>
        </w:rPr>
        <w:fldChar w:fldCharType="end"/>
      </w:r>
      <w:r w:rsidR="00E11049" w:rsidRPr="00A831E7">
        <w:rPr>
          <w:rFonts w:eastAsia="Calibri"/>
        </w:rPr>
        <w:t>.</w:t>
      </w:r>
      <w:r w:rsidR="00B73932" w:rsidRPr="00A831E7">
        <w:rPr>
          <w:rFonts w:eastAsia="Calibri"/>
        </w:rPr>
        <w:t xml:space="preserve"> Επιτρέπουν γρήγορη διάγνωση υψηλής ακρίβειας στην τοποθεσία του ασθενή</w:t>
      </w:r>
      <w:r w:rsidR="00B70195" w:rsidRPr="00A831E7">
        <w:rPr>
          <w:rFonts w:eastAsia="Calibri"/>
        </w:rPr>
        <w:t xml:space="preserve"> με ικανότητα</w:t>
      </w:r>
      <w:r w:rsidR="00B73932" w:rsidRPr="00A831E7">
        <w:rPr>
          <w:rFonts w:eastAsia="Calibri"/>
        </w:rPr>
        <w:t xml:space="preserve"> άμεση</w:t>
      </w:r>
      <w:r w:rsidR="00B70195" w:rsidRPr="00A831E7">
        <w:rPr>
          <w:rFonts w:eastAsia="Calibri"/>
        </w:rPr>
        <w:t>ς</w:t>
      </w:r>
      <w:r w:rsidR="00B73932" w:rsidRPr="00A831E7">
        <w:rPr>
          <w:rFonts w:eastAsia="Calibri"/>
        </w:rPr>
        <w:t xml:space="preserve"> παροχή</w:t>
      </w:r>
      <w:r w:rsidR="00B70195" w:rsidRPr="00A831E7">
        <w:rPr>
          <w:rFonts w:eastAsia="Calibri"/>
        </w:rPr>
        <w:t>ς</w:t>
      </w:r>
      <w:r w:rsidR="00B73932" w:rsidRPr="00A831E7">
        <w:rPr>
          <w:rFonts w:eastAsia="Calibri"/>
        </w:rPr>
        <w:t xml:space="preserve"> θεραπείας</w:t>
      </w:r>
      <w:r w:rsidR="00B70195" w:rsidRPr="00A831E7">
        <w:rPr>
          <w:rFonts w:eastAsia="Calibri"/>
        </w:rPr>
        <w:t>,</w:t>
      </w:r>
      <w:r w:rsidR="00B73932" w:rsidRPr="00A831E7">
        <w:rPr>
          <w:rFonts w:eastAsia="Calibri"/>
        </w:rPr>
        <w:t xml:space="preserve"> όπως θρομβόλυση</w:t>
      </w:r>
      <w:r w:rsidR="00B70195" w:rsidRPr="00A831E7">
        <w:rPr>
          <w:rFonts w:eastAsia="Calibri"/>
        </w:rPr>
        <w:t>,</w:t>
      </w:r>
      <w:r w:rsidR="00B73932" w:rsidRPr="00A831E7">
        <w:rPr>
          <w:rFonts w:eastAsia="Calibri"/>
        </w:rPr>
        <w:t xml:space="preserve"> σε περίπτωση ισχαιμικού ΑΕΕ. Η έγκαιρη επέμβαση είναι κρίσιμη για την βελτίωση της έκβασης των περιστατικών και τη μείωση της σοβαρότητας</w:t>
      </w:r>
      <w:r w:rsidR="00B70195" w:rsidRPr="00A831E7">
        <w:rPr>
          <w:rFonts w:eastAsia="Calibri"/>
        </w:rPr>
        <w:t xml:space="preserve"> των</w:t>
      </w:r>
      <w:r w:rsidR="00B73932" w:rsidRPr="00A831E7">
        <w:rPr>
          <w:rFonts w:eastAsia="Calibri"/>
        </w:rPr>
        <w:t xml:space="preserve"> εγκεφαλικών βλαβών </w:t>
      </w:r>
      <w:r w:rsidR="00B73932" w:rsidRPr="00A831E7">
        <w:rPr>
          <w:rFonts w:eastAsia="Calibri"/>
        </w:rPr>
        <w:fldChar w:fldCharType="begin"/>
      </w:r>
      <w:r w:rsidR="00593025" w:rsidRPr="00A831E7">
        <w:rPr>
          <w:rFonts w:eastAsia="Calibri"/>
        </w:rPr>
        <w:instrText xml:space="preserve"> ADDIN ZOTERO_ITEM CSL_CITATION {"citationID":"05lKyFKo","properties":{"formattedCitation":"[19]","plainCitation":"[19]","noteIndex":0},"citationItems":[{"id":110,"uris":["http://zotero.org/users/local/mfHf28QG/items/QT2DILW2"],"itemData":{"id":110,"type":"article-journal","abstract":"Mobile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B73932" w:rsidRPr="00A831E7">
        <w:rPr>
          <w:rFonts w:eastAsia="Calibri"/>
        </w:rPr>
        <w:fldChar w:fldCharType="separate"/>
      </w:r>
      <w:r w:rsidR="00593025" w:rsidRPr="00A831E7">
        <w:rPr>
          <w:rFonts w:eastAsia="Calibri"/>
        </w:rPr>
        <w:t>[19]</w:t>
      </w:r>
      <w:r w:rsidR="00B73932" w:rsidRPr="00A831E7">
        <w:rPr>
          <w:rFonts w:eastAsia="Calibri"/>
        </w:rPr>
        <w:fldChar w:fldCharType="end"/>
      </w:r>
      <w:r w:rsidR="00B73932" w:rsidRPr="00A831E7">
        <w:rPr>
          <w:rFonts w:eastAsia="Calibri"/>
        </w:rPr>
        <w:t>. Ωστόσο το κόστος</w:t>
      </w:r>
      <w:r w:rsidR="00B70195" w:rsidRPr="00A831E7">
        <w:rPr>
          <w:rFonts w:eastAsia="Calibri"/>
        </w:rPr>
        <w:t xml:space="preserve"> απόκτησης και συντήρησης, καθώς</w:t>
      </w:r>
      <w:r w:rsidR="00B73932" w:rsidRPr="00A831E7">
        <w:rPr>
          <w:rFonts w:eastAsia="Calibri"/>
        </w:rPr>
        <w:t xml:space="preserve"> και </w:t>
      </w:r>
      <w:r w:rsidR="00B70195" w:rsidRPr="00A831E7">
        <w:rPr>
          <w:rFonts w:eastAsia="Calibri"/>
        </w:rPr>
        <w:t xml:space="preserve">η ανάγκη ύπαρξης </w:t>
      </w:r>
      <w:r w:rsidR="00B73932" w:rsidRPr="00A831E7">
        <w:rPr>
          <w:rFonts w:eastAsia="Calibri"/>
        </w:rPr>
        <w:t>εξειδ</w:t>
      </w:r>
      <w:r w:rsidR="00B70195" w:rsidRPr="00A831E7">
        <w:rPr>
          <w:rFonts w:eastAsia="Calibri"/>
        </w:rPr>
        <w:t>ικευμένου</w:t>
      </w:r>
      <w:r w:rsidR="00B73932" w:rsidRPr="00A831E7">
        <w:rPr>
          <w:rFonts w:eastAsia="Calibri"/>
        </w:rPr>
        <w:t xml:space="preserve"> προσωπικού</w:t>
      </w:r>
      <w:r w:rsidR="00B70195" w:rsidRPr="00A831E7">
        <w:rPr>
          <w:rFonts w:eastAsia="Calibri"/>
        </w:rPr>
        <w:t>,</w:t>
      </w:r>
      <w:r w:rsidR="00B73932" w:rsidRPr="00A831E7">
        <w:rPr>
          <w:rFonts w:eastAsia="Calibri"/>
        </w:rPr>
        <w:t xml:space="preserve"> </w:t>
      </w:r>
      <w:r w:rsidR="00E11049" w:rsidRPr="00A831E7">
        <w:rPr>
          <w:rFonts w:eastAsia="Calibri"/>
        </w:rPr>
        <w:t xml:space="preserve">δυσχεραίνει την διαθεσιμότητα τους, ειδικά σε αραιοκατοικημένες περιοχές ή περιοχές χαμηλού εισοδήματος </w:t>
      </w:r>
      <w:r w:rsidR="00E11049" w:rsidRPr="00A831E7">
        <w:rPr>
          <w:rFonts w:eastAsia="Calibri"/>
        </w:rPr>
        <w:fldChar w:fldCharType="begin"/>
      </w:r>
      <w:r w:rsidR="00593025" w:rsidRPr="00A831E7">
        <w:rPr>
          <w:rFonts w:eastAsia="Calibri"/>
        </w:rPr>
        <w:instrText xml:space="preserve"> ADDIN ZOTERO_ITEM CSL_CITATION {"citationID":"qyCqFoCT","properties":{"formattedCitation":"[19]","plainCitation":"[19]","noteIndex":0},"citationItems":[{"id":110,"uris":["http://zotero.org/users/local/mfHf28QG/items/QT2DILW2"],"itemData":{"id":110,"type":"article-journal","abstract":"Mobile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E11049" w:rsidRPr="00A831E7">
        <w:rPr>
          <w:rFonts w:eastAsia="Calibri"/>
        </w:rPr>
        <w:fldChar w:fldCharType="separate"/>
      </w:r>
      <w:r w:rsidR="00593025" w:rsidRPr="00A831E7">
        <w:rPr>
          <w:rFonts w:eastAsia="Calibri"/>
        </w:rPr>
        <w:t>[19]</w:t>
      </w:r>
      <w:r w:rsidR="00E11049" w:rsidRPr="00A831E7">
        <w:rPr>
          <w:rFonts w:eastAsia="Calibri"/>
        </w:rPr>
        <w:fldChar w:fldCharType="end"/>
      </w:r>
      <w:r w:rsidR="00E11049" w:rsidRPr="00A831E7">
        <w:rPr>
          <w:rFonts w:eastAsia="Calibri"/>
        </w:rPr>
        <w:t>.</w:t>
      </w:r>
    </w:p>
    <w:p w14:paraId="3C20E814" w14:textId="6C44A62B" w:rsidR="002A023B" w:rsidRPr="00A831E7" w:rsidRDefault="00E11049" w:rsidP="00F32EEE">
      <w:pPr>
        <w:spacing w:line="360" w:lineRule="auto"/>
        <w:ind w:firstLine="720"/>
        <w:jc w:val="both"/>
        <w:rPr>
          <w:rFonts w:eastAsia="Calibri"/>
        </w:rPr>
      </w:pPr>
      <w:r w:rsidRPr="00A831E7">
        <w:rPr>
          <w:rFonts w:eastAsia="Calibri"/>
        </w:rPr>
        <w:t xml:space="preserve">Από την άλλη πλευρά, οι συσκευές PoC  παρουσιάζουν φορητότητα, αποδοτικές διαγνωστικές ικανότητες και μπορούν να χρησιμοποιηθούν από </w:t>
      </w:r>
      <w:r w:rsidR="00E93CD2">
        <w:rPr>
          <w:rFonts w:eastAsia="Calibri"/>
        </w:rPr>
        <w:t xml:space="preserve">διασώστες </w:t>
      </w:r>
      <w:r w:rsidR="00E93CD2">
        <w:rPr>
          <w:rFonts w:eastAsia="Calibri"/>
        </w:rPr>
        <w:lastRenderedPageBreak/>
        <w:t>(</w:t>
      </w:r>
      <w:r w:rsidRPr="00A831E7">
        <w:rPr>
          <w:rFonts w:eastAsia="Calibri"/>
        </w:rPr>
        <w:t>EMTs</w:t>
      </w:r>
      <w:r w:rsidR="00E93CD2">
        <w:rPr>
          <w:rFonts w:eastAsia="Calibri"/>
        </w:rPr>
        <w:t>)</w:t>
      </w:r>
      <w:r w:rsidRPr="00A831E7">
        <w:rPr>
          <w:rFonts w:eastAsia="Calibri"/>
        </w:rPr>
        <w:t xml:space="preserve"> και </w:t>
      </w:r>
      <w:r w:rsidR="00E93CD2">
        <w:rPr>
          <w:rFonts w:eastAsia="Calibri"/>
        </w:rPr>
        <w:t>το προσωπικό των υπηρεσιών πρώτων βοηθειών (</w:t>
      </w:r>
      <w:r w:rsidRPr="00A831E7">
        <w:rPr>
          <w:rFonts w:eastAsia="Calibri"/>
        </w:rPr>
        <w:t>EMS</w:t>
      </w:r>
      <w:r w:rsidR="00E93CD2">
        <w:rPr>
          <w:rFonts w:eastAsia="Calibri"/>
        </w:rPr>
        <w:t>)</w:t>
      </w:r>
      <w:r w:rsidRPr="00A831E7">
        <w:rPr>
          <w:rFonts w:eastAsia="Calibri"/>
        </w:rPr>
        <w:t xml:space="preserve"> κατά την μεταφορά του ασθενή. Επιτρέπουν τη γρήγορη μέτρηση ζωτικών βιοδεικτών</w:t>
      </w:r>
      <w:r w:rsidR="002A023B" w:rsidRPr="00A831E7">
        <w:rPr>
          <w:rFonts w:eastAsia="Calibri"/>
        </w:rPr>
        <w:t xml:space="preserve"> και</w:t>
      </w:r>
      <w:r w:rsidRPr="00A831E7">
        <w:rPr>
          <w:rFonts w:eastAsia="Calibri"/>
        </w:rPr>
        <w:t xml:space="preserve"> μπορούν να χρησιμοποιηθούν για </w:t>
      </w:r>
      <w:r w:rsidR="002A023B" w:rsidRPr="00A831E7">
        <w:rPr>
          <w:rFonts w:eastAsia="Calibri"/>
        </w:rPr>
        <w:t xml:space="preserve">εξετάσεις αίματος και υπερήχων παρέχοντας δεδομένα πραγματικού χρόνου για την λήψη θεραπευτικών αποφάσεων. </w:t>
      </w:r>
    </w:p>
    <w:p w14:paraId="76604AA3" w14:textId="4592DA11" w:rsidR="009E6986" w:rsidRDefault="002A023B" w:rsidP="00F32EEE">
      <w:pPr>
        <w:spacing w:line="360" w:lineRule="auto"/>
        <w:ind w:firstLine="720"/>
        <w:jc w:val="both"/>
        <w:rPr>
          <w:rFonts w:eastAsia="Calibri"/>
        </w:rPr>
      </w:pPr>
      <w:r w:rsidRPr="00A831E7">
        <w:rPr>
          <w:rFonts w:eastAsia="Calibri"/>
        </w:rPr>
        <w:t>Η συνεχής εκπαίδευση και η υιοθέτηση νέων τεχνολογιών</w:t>
      </w:r>
      <w:r w:rsidR="00B605E4" w:rsidRPr="00A831E7">
        <w:rPr>
          <w:rFonts w:eastAsia="Calibri"/>
        </w:rPr>
        <w:t xml:space="preserve"> </w:t>
      </w:r>
      <w:r w:rsidR="003F6BC2" w:rsidRPr="00A831E7">
        <w:rPr>
          <w:rFonts w:eastAsia="Calibri"/>
        </w:rPr>
        <w:t>–</w:t>
      </w:r>
      <w:r w:rsidR="00B605E4" w:rsidRPr="00A831E7">
        <w:rPr>
          <w:rFonts w:eastAsia="Calibri"/>
        </w:rPr>
        <w:t xml:space="preserve"> σε συνδυασμό με την ενσωμάτωση ταχύτερων τεχνικών διάγνωσης στην προνοσοκομειακή περίοδο</w:t>
      </w:r>
      <w:r w:rsidRPr="00A831E7">
        <w:rPr>
          <w:rFonts w:eastAsia="Calibri"/>
        </w:rPr>
        <w:t xml:space="preserve"> </w:t>
      </w:r>
      <w:r w:rsidR="003F6BC2" w:rsidRPr="00A831E7">
        <w:rPr>
          <w:rFonts w:eastAsia="Calibri"/>
        </w:rPr>
        <w:t>–</w:t>
      </w:r>
      <w:r w:rsidRPr="00A831E7">
        <w:rPr>
          <w:rFonts w:eastAsia="Calibri"/>
        </w:rPr>
        <w:t>διασφαλίζουν ότι η διάγνωση και η θεραπεία του εγκεφαλικού επεισοδίου μπορούν να ξεκινήσουν όσο το δυνατόν νωρίτερα</w:t>
      </w:r>
      <w:r w:rsidR="00B605E4" w:rsidRPr="00A831E7">
        <w:rPr>
          <w:rFonts w:eastAsia="Calibri"/>
        </w:rPr>
        <w:t xml:space="preserve"> εξοικονομώντας κρίσιμο χρόνο για την έκβαση ενός ΑΕΕ. </w:t>
      </w:r>
    </w:p>
    <w:p w14:paraId="4579DE59" w14:textId="77777777" w:rsidR="00C7272A" w:rsidRPr="00A831E7" w:rsidRDefault="00C7272A" w:rsidP="00C7272A">
      <w:pPr>
        <w:spacing w:line="360" w:lineRule="auto"/>
        <w:jc w:val="both"/>
        <w:rPr>
          <w:rFonts w:eastAsia="Calibri"/>
        </w:rPr>
      </w:pPr>
    </w:p>
    <w:p w14:paraId="6AEBA152" w14:textId="632D45EF" w:rsidR="009E6986" w:rsidRPr="00A831E7" w:rsidRDefault="009E6986" w:rsidP="00667F5D">
      <w:pPr>
        <w:pStyle w:val="2"/>
        <w:spacing w:line="360" w:lineRule="auto"/>
        <w:rPr>
          <w:rFonts w:ascii="Times New Roman" w:eastAsia="Calibri" w:hAnsi="Times New Roman" w:cs="Times New Roman"/>
          <w:b/>
          <w:bCs/>
          <w:i/>
          <w:iCs/>
          <w:color w:val="auto"/>
          <w:sz w:val="28"/>
          <w:szCs w:val="28"/>
        </w:rPr>
      </w:pPr>
      <w:bookmarkStart w:id="39" w:name="_Toc199787384"/>
      <w:bookmarkStart w:id="40" w:name="_Toc199946453"/>
      <w:bookmarkStart w:id="41" w:name="_Hlk198465580"/>
      <w:r w:rsidRPr="00A831E7">
        <w:rPr>
          <w:rFonts w:ascii="Times New Roman" w:hAnsi="Times New Roman" w:cs="Times New Roman"/>
          <w:b/>
          <w:bCs/>
          <w:i/>
          <w:iCs/>
          <w:color w:val="auto"/>
          <w:sz w:val="28"/>
          <w:szCs w:val="28"/>
        </w:rPr>
        <w:t>1.4 Τεχνικές διάγνωσης</w:t>
      </w:r>
      <w:bookmarkEnd w:id="39"/>
      <w:bookmarkEnd w:id="40"/>
    </w:p>
    <w:p w14:paraId="594EF34A" w14:textId="4627F9A7" w:rsidR="003045AC" w:rsidRPr="00A831E7" w:rsidRDefault="009E6986" w:rsidP="00F32EEE">
      <w:pPr>
        <w:spacing w:line="360" w:lineRule="auto"/>
        <w:jc w:val="both"/>
        <w:rPr>
          <w:rFonts w:eastAsia="Calibri"/>
        </w:rPr>
      </w:pPr>
      <w:r w:rsidRPr="00A831E7">
        <w:rPr>
          <w:rFonts w:eastAsia="Calibri"/>
        </w:rPr>
        <w:tab/>
        <w:t>Οι παραδοσιακές απεικονιστικές εξετάσεις, όπως η αξονική τομογραφία</w:t>
      </w:r>
      <w:r w:rsidR="0057069D" w:rsidRPr="00A831E7">
        <w:rPr>
          <w:rFonts w:eastAsia="Calibri"/>
        </w:rPr>
        <w:t xml:space="preserve"> </w:t>
      </w:r>
      <w:r w:rsidRPr="00A831E7">
        <w:rPr>
          <w:rFonts w:eastAsia="Calibri"/>
        </w:rPr>
        <w:t>(CT) και η μαγνητική τομογραφία</w:t>
      </w:r>
      <w:r w:rsidR="0057069D" w:rsidRPr="00A831E7">
        <w:rPr>
          <w:rFonts w:eastAsia="Calibri"/>
        </w:rPr>
        <w:t xml:space="preserve"> </w:t>
      </w:r>
      <w:r w:rsidRPr="00A831E7">
        <w:rPr>
          <w:rFonts w:eastAsia="Calibri"/>
        </w:rPr>
        <w:t>(MRI), εξακολουθούν να αποτελούν σημαντικά εργαλεία για τη διάγνωση</w:t>
      </w:r>
      <w:r w:rsidR="00373DE6" w:rsidRPr="00A831E7">
        <w:rPr>
          <w:rFonts w:eastAsia="Calibri"/>
        </w:rPr>
        <w:t xml:space="preserve"> και εκτίμηση</w:t>
      </w:r>
      <w:r w:rsidRPr="00A831E7">
        <w:rPr>
          <w:rFonts w:eastAsia="Calibri"/>
        </w:rPr>
        <w:t xml:space="preserve"> ενός ΑΕΕ</w:t>
      </w:r>
      <w:r w:rsidR="00373DE6" w:rsidRPr="00A831E7">
        <w:rPr>
          <w:rFonts w:eastAsia="Calibri"/>
        </w:rPr>
        <w:t>. Οι CT εξετάσεις είναι ευρέως διαθέσιμες</w:t>
      </w:r>
      <w:r w:rsidR="003045AC" w:rsidRPr="00A831E7">
        <w:rPr>
          <w:rFonts w:eastAsia="Calibri"/>
        </w:rPr>
        <w:t xml:space="preserve"> σε </w:t>
      </w:r>
      <w:r w:rsidR="00373DE6" w:rsidRPr="00A831E7">
        <w:rPr>
          <w:rFonts w:eastAsia="Calibri"/>
        </w:rPr>
        <w:t xml:space="preserve"> </w:t>
      </w:r>
      <w:r w:rsidR="003045AC" w:rsidRPr="00A831E7">
        <w:rPr>
          <w:rFonts w:eastAsia="Calibri"/>
        </w:rPr>
        <w:t xml:space="preserve">ιατρικές δομές ενώ προσφέρουν ταχύτατη διάγνωση και διαφοροποίηση μεταξύ ισχαιμικού και αιμορραγικού ΑΕΕ. Η </w:t>
      </w:r>
      <w:r w:rsidR="002E4784">
        <w:rPr>
          <w:rFonts w:eastAsia="Calibri"/>
        </w:rPr>
        <w:t>διάκριση μεταξύ των δύο</w:t>
      </w:r>
      <w:r w:rsidR="003045AC" w:rsidRPr="00A831E7">
        <w:rPr>
          <w:rFonts w:eastAsia="Calibri"/>
        </w:rPr>
        <w:t xml:space="preserve"> καθορίζει </w:t>
      </w:r>
      <w:r w:rsidR="00F267A1">
        <w:rPr>
          <w:rFonts w:eastAsia="Calibri"/>
        </w:rPr>
        <w:t>τον τύπο των αντιδιαμετρικά</w:t>
      </w:r>
      <w:r w:rsidR="00DD6A2E">
        <w:rPr>
          <w:rFonts w:eastAsia="Calibri"/>
        </w:rPr>
        <w:t xml:space="preserve"> αντίθετων μορφών</w:t>
      </w:r>
      <w:r w:rsidR="00F267A1">
        <w:rPr>
          <w:rFonts w:eastAsia="Calibri"/>
        </w:rPr>
        <w:t xml:space="preserve"> </w:t>
      </w:r>
      <w:r w:rsidR="003045AC" w:rsidRPr="00A831E7">
        <w:rPr>
          <w:rFonts w:eastAsia="Calibri"/>
        </w:rPr>
        <w:t xml:space="preserve"> θεραπεία</w:t>
      </w:r>
      <w:r w:rsidR="00F267A1">
        <w:rPr>
          <w:rFonts w:eastAsia="Calibri"/>
        </w:rPr>
        <w:t>ς</w:t>
      </w:r>
      <w:r w:rsidR="00DD6A2E">
        <w:rPr>
          <w:rFonts w:eastAsia="Calibri"/>
        </w:rPr>
        <w:t xml:space="preserve"> που θα ακολουθηθεί</w:t>
      </w:r>
      <w:r w:rsidR="003045AC" w:rsidRPr="00A831E7">
        <w:rPr>
          <w:rFonts w:eastAsia="Calibri"/>
        </w:rPr>
        <w:t>.</w:t>
      </w:r>
      <w:r w:rsidR="00B4722F" w:rsidRPr="00A831E7">
        <w:rPr>
          <w:rFonts w:eastAsia="Calibri"/>
        </w:rPr>
        <w:t xml:space="preserve"> Ωστόσο η αξονική τομογραφία</w:t>
      </w:r>
      <w:r w:rsidR="0057069D" w:rsidRPr="00A831E7">
        <w:rPr>
          <w:rFonts w:eastAsia="Calibri"/>
        </w:rPr>
        <w:t xml:space="preserve"> </w:t>
      </w:r>
      <w:r w:rsidR="00B4722F" w:rsidRPr="00A831E7">
        <w:rPr>
          <w:rFonts w:eastAsia="Calibri"/>
        </w:rPr>
        <w:t xml:space="preserve">(CT) έχει περιορισμούς στην ανίχνευση ισχαιμικού ΑΕΕ σε πρώιμο στάδιο και μικρότερων θρόμβων λόγω της χαμηλότερης ευαισθησίας της ενώ ο ασθενής λαμβάνει μεγάλη δόση ραδιενέργειας </w:t>
      </w:r>
      <w:r w:rsidR="00B4722F" w:rsidRPr="00A831E7">
        <w:rPr>
          <w:rFonts w:eastAsia="Calibri"/>
        </w:rPr>
        <w:fldChar w:fldCharType="begin"/>
      </w:r>
      <w:r w:rsidR="00B4722F" w:rsidRPr="00A831E7">
        <w:rPr>
          <w:rFonts w:eastAsia="Calibri"/>
        </w:rPr>
        <w:instrText xml:space="preserve"> ADDIN ZOTERO_ITEM CSL_CITATION {"citationID":"ZckM6Bdh","properties":{"formattedCitation":"[16]","plainCitation":"[16]","noteIndex":0},"citationItems":[{"id":172,"uris":["http://zotero.org/users/local/mfHf28QG/items/NFV5AQIQ"],"itemData":{"id":172,"type":"article-journal","abstract":"There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B4722F" w:rsidRPr="00A831E7">
        <w:rPr>
          <w:rFonts w:eastAsia="Calibri"/>
        </w:rPr>
        <w:fldChar w:fldCharType="separate"/>
      </w:r>
      <w:r w:rsidR="00B4722F" w:rsidRPr="00A831E7">
        <w:rPr>
          <w:rFonts w:eastAsia="Calibri"/>
        </w:rPr>
        <w:t>[16]</w:t>
      </w:r>
      <w:r w:rsidR="00B4722F" w:rsidRPr="00A831E7">
        <w:rPr>
          <w:rFonts w:eastAsia="Calibri"/>
        </w:rPr>
        <w:fldChar w:fldCharType="end"/>
      </w:r>
      <w:r w:rsidR="00B4722F" w:rsidRPr="00A831E7">
        <w:rPr>
          <w:rFonts w:eastAsia="Calibri"/>
        </w:rPr>
        <w:t>. Η μαγνητική τομογραφία</w:t>
      </w:r>
      <w:r w:rsidR="00644BB2" w:rsidRPr="00A831E7">
        <w:rPr>
          <w:rFonts w:eastAsia="Calibri"/>
        </w:rPr>
        <w:t xml:space="preserve"> </w:t>
      </w:r>
      <w:r w:rsidR="00B4722F" w:rsidRPr="00A831E7">
        <w:rPr>
          <w:rFonts w:eastAsia="Calibri"/>
        </w:rPr>
        <w:t>(MRI)</w:t>
      </w:r>
      <w:r w:rsidR="00644BB2" w:rsidRPr="00A831E7">
        <w:rPr>
          <w:rFonts w:eastAsia="Calibri"/>
        </w:rPr>
        <w:t xml:space="preserve"> και</w:t>
      </w:r>
      <w:r w:rsidR="00B4722F" w:rsidRPr="00A831E7">
        <w:rPr>
          <w:rFonts w:eastAsia="Calibri"/>
        </w:rPr>
        <w:t xml:space="preserve"> </w:t>
      </w:r>
      <w:r w:rsidR="00644BB2" w:rsidRPr="00A831E7">
        <w:rPr>
          <w:rFonts w:eastAsia="Calibri"/>
        </w:rPr>
        <w:t xml:space="preserve">συγκεκριμένα </w:t>
      </w:r>
      <w:r w:rsidR="00B4722F" w:rsidRPr="00A831E7">
        <w:rPr>
          <w:rFonts w:eastAsia="Calibri"/>
        </w:rPr>
        <w:t>η σταθμισμένη απεικόνιση διάχυσης (DWI), προσφέρ</w:t>
      </w:r>
      <w:r w:rsidR="00644BB2" w:rsidRPr="00A831E7">
        <w:rPr>
          <w:rFonts w:eastAsia="Calibri"/>
        </w:rPr>
        <w:t>ει</w:t>
      </w:r>
      <w:r w:rsidR="00B4722F" w:rsidRPr="00A831E7">
        <w:rPr>
          <w:rFonts w:eastAsia="Calibri"/>
        </w:rPr>
        <w:t xml:space="preserve"> ανώτερη ευαισθησία και ειδικότητα για την ανίχνευση οξέων ισχαιμικών AEE και παρέχει λεπτομερείς ανατομικές και λειτουργικές πληροφορίες </w:t>
      </w:r>
      <w:r w:rsidR="00B4722F" w:rsidRPr="00A831E7">
        <w:rPr>
          <w:rFonts w:eastAsia="Calibri"/>
        </w:rPr>
        <w:fldChar w:fldCharType="begin"/>
      </w:r>
      <w:r w:rsidR="00B4722F" w:rsidRPr="00A831E7">
        <w:rPr>
          <w:rFonts w:eastAsia="Calibri"/>
        </w:rPr>
        <w:instrText xml:space="preserve"> ADDIN ZOTERO_ITEM CSL_CITATION {"citationID":"4yZDznSV","properties":{"formattedCitation":"[16]","plainCitation":"[16]","noteIndex":0},"citationItems":[{"id":172,"uris":["http://zotero.org/users/local/mfHf28QG/items/NFV5AQIQ"],"itemData":{"id":172,"type":"article-journal","abstract":"There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B4722F" w:rsidRPr="00A831E7">
        <w:rPr>
          <w:rFonts w:eastAsia="Calibri"/>
        </w:rPr>
        <w:fldChar w:fldCharType="separate"/>
      </w:r>
      <w:r w:rsidR="00B4722F" w:rsidRPr="00A831E7">
        <w:rPr>
          <w:rFonts w:eastAsia="Calibri"/>
        </w:rPr>
        <w:t>[16]</w:t>
      </w:r>
      <w:r w:rsidR="00B4722F" w:rsidRPr="00A831E7">
        <w:rPr>
          <w:rFonts w:eastAsia="Calibri"/>
        </w:rPr>
        <w:fldChar w:fldCharType="end"/>
      </w:r>
      <w:r w:rsidR="00B4722F" w:rsidRPr="00A831E7">
        <w:rPr>
          <w:rFonts w:eastAsia="Calibri"/>
        </w:rPr>
        <w:t>. Παρά τα πλεονεκτήματα αυτά, οι μεγαλύτεροι χρόνοι για την πραγματοποίηση των εξετάσεων MRI</w:t>
      </w:r>
      <w:r w:rsidR="00644BB2" w:rsidRPr="00A831E7">
        <w:rPr>
          <w:rFonts w:eastAsia="Calibri"/>
        </w:rPr>
        <w:t>,</w:t>
      </w:r>
      <w:r w:rsidR="00B4722F" w:rsidRPr="00A831E7">
        <w:rPr>
          <w:rFonts w:eastAsia="Calibri"/>
        </w:rPr>
        <w:t xml:space="preserve"> το υψηλότερο κόστος και η περιορισμένη διαθεσιμότητα σε χώρους έκτακτης ανάγκης μπορούν να εμποδίσουν την άμεση χρησιμότητά τ</w:t>
      </w:r>
      <w:r w:rsidR="0069784D" w:rsidRPr="00A831E7">
        <w:rPr>
          <w:rFonts w:eastAsia="Calibri"/>
        </w:rPr>
        <w:t>ου</w:t>
      </w:r>
      <w:r w:rsidR="00B4722F" w:rsidRPr="00A831E7">
        <w:rPr>
          <w:rFonts w:eastAsia="Calibri"/>
        </w:rPr>
        <w:t>ς στη διάγνωση</w:t>
      </w:r>
      <w:r w:rsidR="0069784D" w:rsidRPr="00A831E7">
        <w:rPr>
          <w:rFonts w:eastAsia="Calibri"/>
        </w:rPr>
        <w:t xml:space="preserve"> </w:t>
      </w:r>
      <w:r w:rsidR="0069784D" w:rsidRPr="00A831E7">
        <w:rPr>
          <w:rFonts w:eastAsia="Calibri"/>
        </w:rPr>
        <w:fldChar w:fldCharType="begin"/>
      </w:r>
      <w:r w:rsidR="0069784D" w:rsidRPr="00A831E7">
        <w:rPr>
          <w:rFonts w:eastAsia="Calibri"/>
        </w:rPr>
        <w:instrText xml:space="preserve"> ADDIN ZOTERO_ITEM CSL_CITATION {"citationID":"YKzZajHC","properties":{"formattedCitation":"[16]","plainCitation":"[16]","noteIndex":0},"citationItems":[{"id":172,"uris":["http://zotero.org/users/local/mfHf28QG/items/NFV5AQIQ"],"itemData":{"id":172,"type":"article-journal","abstract":"There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69784D" w:rsidRPr="00A831E7">
        <w:rPr>
          <w:rFonts w:eastAsia="Calibri"/>
        </w:rPr>
        <w:fldChar w:fldCharType="separate"/>
      </w:r>
      <w:r w:rsidR="0069784D" w:rsidRPr="00A831E7">
        <w:rPr>
          <w:rFonts w:eastAsia="Calibri"/>
        </w:rPr>
        <w:t>[16]</w:t>
      </w:r>
      <w:r w:rsidR="0069784D" w:rsidRPr="00A831E7">
        <w:rPr>
          <w:rFonts w:eastAsia="Calibri"/>
        </w:rPr>
        <w:fldChar w:fldCharType="end"/>
      </w:r>
      <w:r w:rsidR="0069784D" w:rsidRPr="00A831E7">
        <w:rPr>
          <w:rFonts w:eastAsia="Calibri"/>
        </w:rPr>
        <w:t xml:space="preserve">. </w:t>
      </w:r>
    </w:p>
    <w:p w14:paraId="184455E8" w14:textId="37D23D2F" w:rsidR="00C7220D" w:rsidRPr="00A831E7" w:rsidRDefault="00C7220D" w:rsidP="00F32EEE">
      <w:pPr>
        <w:spacing w:line="360" w:lineRule="auto"/>
        <w:ind w:firstLine="720"/>
        <w:jc w:val="both"/>
        <w:rPr>
          <w:rFonts w:eastAsia="Calibri"/>
        </w:rPr>
      </w:pPr>
      <w:r w:rsidRPr="00A831E7">
        <w:rPr>
          <w:rFonts w:eastAsia="Calibri"/>
        </w:rPr>
        <w:t>Η ανάγκη για πιο αξιόπιστες διαγνωστικές προσεγγίσεις καθιστά κρίσιμη την αξιολόγηση κάθε μεθόδου</w:t>
      </w:r>
      <w:r w:rsidR="00E05210" w:rsidRPr="00A831E7">
        <w:rPr>
          <w:rFonts w:eastAsia="Calibri"/>
        </w:rPr>
        <w:t xml:space="preserve"> και μοντέλου διάγνωσης</w:t>
      </w:r>
      <w:r w:rsidRPr="00A831E7">
        <w:rPr>
          <w:rFonts w:eastAsia="Calibri"/>
        </w:rPr>
        <w:t xml:space="preserve"> μέσω ποσοτικών </w:t>
      </w:r>
      <w:r w:rsidR="00E05210" w:rsidRPr="00A831E7">
        <w:rPr>
          <w:rFonts w:eastAsia="Calibri"/>
        </w:rPr>
        <w:t>μέτρων</w:t>
      </w:r>
      <w:r w:rsidRPr="00A831E7">
        <w:rPr>
          <w:rFonts w:eastAsia="Calibri"/>
        </w:rPr>
        <w:t>, όπως η ευαισθησία (sensitivity), η ειδικότητα (specificity) και η ROC-AUC</w:t>
      </w:r>
      <w:r w:rsidR="002E4784">
        <w:rPr>
          <w:rFonts w:eastAsia="Calibri"/>
        </w:rPr>
        <w:t xml:space="preserve"> </w:t>
      </w:r>
      <w:r w:rsidR="002E4784" w:rsidRPr="00A831E7">
        <w:rPr>
          <w:rFonts w:eastAsia="Calibri"/>
        </w:rPr>
        <w:t>(Receiver Operating Characteristic - Area Under the Curve)</w:t>
      </w:r>
      <w:r w:rsidRPr="00A831E7">
        <w:rPr>
          <w:rFonts w:eastAsia="Calibri"/>
        </w:rPr>
        <w:t>. Η ευαισθησία εκφράζει την ικανότητα ενός τεστ να ανιχνεύει πραγματικά θετικά αποτελέσματα, ενώ η ειδικότητα αντιπροσωπεύει την ικανότητα διάκρισης πραγματικά αρνητικών περιπτώσεων από ψευδώς θετικές</w:t>
      </w:r>
      <w:r w:rsidR="002E4784">
        <w:rPr>
          <w:rFonts w:eastAsia="Calibri"/>
        </w:rPr>
        <w:t>:</w:t>
      </w:r>
    </w:p>
    <w:p w14:paraId="10A059A9" w14:textId="77777777" w:rsidR="00C7220D" w:rsidRPr="00A831E7" w:rsidRDefault="00C7220D" w:rsidP="00C7220D">
      <w:pPr>
        <w:spacing w:line="360" w:lineRule="auto"/>
        <w:jc w:val="both"/>
        <w:rPr>
          <w:rFonts w:eastAsia="Calibri"/>
        </w:rPr>
      </w:pPr>
    </w:p>
    <w:p w14:paraId="729C5A98" w14:textId="4833A51C" w:rsidR="00C7220D" w:rsidRPr="00730D74" w:rsidRDefault="00C7220D" w:rsidP="00C7220D">
      <w:pPr>
        <w:spacing w:line="360" w:lineRule="auto"/>
        <w:jc w:val="center"/>
        <w:rPr>
          <w:rFonts w:eastAsia="Calibri"/>
          <w:i/>
          <w:iCs/>
          <w:lang w:val="en-US"/>
        </w:rPr>
      </w:pPr>
      <m:oMath>
        <m:r>
          <m:rPr>
            <m:nor/>
          </m:rPr>
          <w:rPr>
            <w:rFonts w:eastAsia="Calibri"/>
            <w:i/>
            <w:iCs/>
            <w:lang w:val="en-US"/>
          </w:rPr>
          <m:t>Sensitivity</m:t>
        </m:r>
        <m:r>
          <w:rPr>
            <w:rFonts w:ascii="Cambria Math" w:eastAsia="Calibri" w:hAnsi="Cambria Math"/>
            <w:lang w:val="en-US"/>
          </w:rPr>
          <m:t>=</m:t>
        </m:r>
        <m:f>
          <m:fPr>
            <m:ctrlPr>
              <w:rPr>
                <w:rFonts w:ascii="Cambria Math" w:eastAsia="Calibri" w:hAnsi="Cambria Math"/>
                <w:i/>
                <w:iCs/>
              </w:rPr>
            </m:ctrlPr>
          </m:fPr>
          <m:num>
            <m:r>
              <m:rPr>
                <m:nor/>
              </m:rPr>
              <w:rPr>
                <w:rFonts w:eastAsia="Calibri"/>
                <w:i/>
                <w:iCs/>
                <w:lang w:val="en-US"/>
              </w:rPr>
              <m:t>True Positives</m:t>
            </m:r>
          </m:num>
          <m:den>
            <m:r>
              <m:rPr>
                <m:nor/>
              </m:rPr>
              <w:rPr>
                <w:rFonts w:eastAsia="Calibri"/>
                <w:i/>
                <w:iCs/>
                <w:lang w:val="en-US"/>
              </w:rPr>
              <m:t>True Positives</m:t>
            </m:r>
            <m:r>
              <w:rPr>
                <w:rFonts w:ascii="Cambria Math" w:eastAsia="Calibri" w:hAnsi="Cambria Math"/>
                <w:lang w:val="en-US"/>
              </w:rPr>
              <m:t>+</m:t>
            </m:r>
            <m:r>
              <m:rPr>
                <m:nor/>
              </m:rPr>
              <w:rPr>
                <w:rFonts w:eastAsia="Calibri"/>
                <w:i/>
                <w:iCs/>
                <w:lang w:val="en-US"/>
              </w:rPr>
              <m:t>False Negatives</m:t>
            </m:r>
          </m:den>
        </m:f>
      </m:oMath>
      <w:r w:rsidRPr="00730D74">
        <w:rPr>
          <w:rFonts w:eastAsia="Calibri"/>
          <w:i/>
          <w:iCs/>
          <w:lang w:val="en-US"/>
        </w:rPr>
        <w:tab/>
        <w:t xml:space="preserve">, </w:t>
      </w:r>
      <m:oMath>
        <m:r>
          <m:rPr>
            <m:nor/>
          </m:rPr>
          <w:rPr>
            <w:rFonts w:eastAsia="Calibri"/>
            <w:i/>
            <w:iCs/>
            <w:lang w:val="en-US"/>
          </w:rPr>
          <m:t>Specificity</m:t>
        </m:r>
        <m:r>
          <w:rPr>
            <w:rFonts w:ascii="Cambria Math" w:eastAsia="Calibri" w:hAnsi="Cambria Math"/>
            <w:lang w:val="en-US"/>
          </w:rPr>
          <m:t>=</m:t>
        </m:r>
        <m:f>
          <m:fPr>
            <m:ctrlPr>
              <w:rPr>
                <w:rFonts w:ascii="Cambria Math" w:eastAsia="Calibri" w:hAnsi="Cambria Math"/>
                <w:i/>
                <w:iCs/>
              </w:rPr>
            </m:ctrlPr>
          </m:fPr>
          <m:num>
            <m:r>
              <m:rPr>
                <m:nor/>
              </m:rPr>
              <w:rPr>
                <w:rFonts w:eastAsia="Calibri"/>
                <w:i/>
                <w:iCs/>
                <w:lang w:val="en-US"/>
              </w:rPr>
              <m:t>True Negatives</m:t>
            </m:r>
          </m:num>
          <m:den>
            <m:r>
              <m:rPr>
                <m:nor/>
              </m:rPr>
              <w:rPr>
                <w:rFonts w:eastAsia="Calibri"/>
                <w:i/>
                <w:iCs/>
                <w:lang w:val="en-US"/>
              </w:rPr>
              <m:t>True Negatives</m:t>
            </m:r>
            <m:r>
              <w:rPr>
                <w:rFonts w:ascii="Cambria Math" w:eastAsia="Calibri" w:hAnsi="Cambria Math"/>
                <w:lang w:val="en-US"/>
              </w:rPr>
              <m:t>+</m:t>
            </m:r>
            <m:r>
              <m:rPr>
                <m:nor/>
              </m:rPr>
              <w:rPr>
                <w:rFonts w:eastAsia="Calibri"/>
                <w:i/>
                <w:iCs/>
                <w:lang w:val="en-US"/>
              </w:rPr>
              <m:t>False Positives</m:t>
            </m:r>
          </m:den>
        </m:f>
      </m:oMath>
      <w:r w:rsidR="002E4784" w:rsidRPr="00730D74">
        <w:rPr>
          <w:rFonts w:eastAsia="Calibri"/>
          <w:i/>
          <w:iCs/>
          <w:lang w:val="en-US"/>
        </w:rPr>
        <w:t xml:space="preserve">  .</w:t>
      </w:r>
    </w:p>
    <w:p w14:paraId="734C6DE1" w14:textId="77777777" w:rsidR="00C7220D" w:rsidRPr="00EF4134" w:rsidRDefault="00C7220D" w:rsidP="00C7220D">
      <w:pPr>
        <w:spacing w:line="360" w:lineRule="auto"/>
        <w:jc w:val="center"/>
        <w:rPr>
          <w:rFonts w:eastAsia="Calibri"/>
          <w:i/>
          <w:iCs/>
          <w:sz w:val="22"/>
          <w:szCs w:val="22"/>
        </w:rPr>
      </w:pPr>
    </w:p>
    <w:p w14:paraId="45E5F5EF" w14:textId="64F3E74B" w:rsidR="00C7220D" w:rsidRPr="00A831E7" w:rsidRDefault="00C7220D" w:rsidP="00F32EEE">
      <w:pPr>
        <w:spacing w:line="360" w:lineRule="auto"/>
        <w:ind w:firstLine="720"/>
        <w:jc w:val="both"/>
        <w:rPr>
          <w:rFonts w:eastAsia="Calibri"/>
        </w:rPr>
      </w:pPr>
      <w:r w:rsidRPr="00A831E7">
        <w:rPr>
          <w:rFonts w:eastAsia="Calibri"/>
        </w:rPr>
        <w:t>Η αποτελεσματικότητα ενός διαγνωστικού μοντέλου ποσοτικοποιείται μέσω της ROC-AUC, η οποία εκτιμά την ικανότητα διάκρισης μεταξύ παθολογικής και μη παθολογικής κατάστασης. Τιμές ROC-AUC κοντά στο 1 υποδηλώνουν υψηλή διαγνωστική ακρίβεια, καθιστώντας μια διαγνωστική μέθοδο αξιόπιστη για κλινική εφαρμογή.</w:t>
      </w:r>
    </w:p>
    <w:p w14:paraId="32E11474" w14:textId="4A3C02CB" w:rsidR="0069784D" w:rsidRPr="00A831E7" w:rsidRDefault="00C7220D" w:rsidP="00F32EEE">
      <w:pPr>
        <w:spacing w:line="360" w:lineRule="auto"/>
        <w:ind w:firstLine="720"/>
        <w:jc w:val="both"/>
        <w:rPr>
          <w:rFonts w:eastAsia="Calibri"/>
        </w:rPr>
      </w:pPr>
      <w:r w:rsidRPr="00A831E7">
        <w:rPr>
          <w:rFonts w:eastAsia="Calibri"/>
        </w:rPr>
        <w:t>Οι χαμηλές τιμές αυτών των παραμέτρων σε παραδοσιακά διαγνωστικά εργαλεία ενισχύουν την ανάγκη για καινοτόμες τεχνικές που συνδυάζουν μοριακές πληροφορίες με βελτιωμένη ακρίβεια.</w:t>
      </w:r>
      <w:r w:rsidR="0011104D" w:rsidRPr="00A831E7">
        <w:rPr>
          <w:rFonts w:eastAsia="Calibri"/>
        </w:rPr>
        <w:t xml:space="preserve"> </w:t>
      </w:r>
      <w:r w:rsidRPr="00A831E7">
        <w:rPr>
          <w:rFonts w:eastAsia="Calibri"/>
        </w:rPr>
        <w:t xml:space="preserve">Οι κυκλοφορούντες βιοδείκτες αποτελούν μία από τις κύριες εναλλακτικές διαγνωστικές προσεγγίσεις, καθώς αντικατοπτρίζουν τις κυτταρικές και μοριακές αλλοιώσεις που συμβαίνουν κατά τη διάρκεια της ισχαιμίας. Η ανάλυσή τους μπορεί να προσφέρει πρώιμη διάγνωση και πολύτιμες πληροφορίες για την έκταση της εγκεφαλικής βλάβης. </w:t>
      </w:r>
      <w:r w:rsidR="00766779" w:rsidRPr="00A831E7">
        <w:rPr>
          <w:rFonts w:eastAsia="Calibri"/>
        </w:rPr>
        <w:t>Βιοδείκτες όπως η ειδική</w:t>
      </w:r>
      <w:r w:rsidR="00603CB2" w:rsidRPr="00A831E7">
        <w:rPr>
          <w:rFonts w:eastAsia="Calibri"/>
        </w:rPr>
        <w:t xml:space="preserve"> νευρωνική</w:t>
      </w:r>
      <w:r w:rsidR="00766779" w:rsidRPr="00A831E7">
        <w:rPr>
          <w:rFonts w:eastAsia="Calibri"/>
        </w:rPr>
        <w:t xml:space="preserve"> ενολάση (NSE), η πρωτεΐνη δέσμευσης ασβεστίου </w:t>
      </w:r>
      <w:r w:rsidR="00603CB2" w:rsidRPr="00A831E7">
        <w:rPr>
          <w:rFonts w:eastAsia="Calibri"/>
        </w:rPr>
        <w:t>(</w:t>
      </w:r>
      <w:r w:rsidR="00766779" w:rsidRPr="00A831E7">
        <w:rPr>
          <w:rFonts w:eastAsia="Calibri"/>
        </w:rPr>
        <w:t>S100B</w:t>
      </w:r>
      <w:r w:rsidR="00603CB2" w:rsidRPr="00A831E7">
        <w:rPr>
          <w:rFonts w:eastAsia="Calibri"/>
        </w:rPr>
        <w:t>)</w:t>
      </w:r>
      <w:r w:rsidR="00766779" w:rsidRPr="00A831E7">
        <w:rPr>
          <w:rFonts w:eastAsia="Calibri"/>
        </w:rPr>
        <w:t xml:space="preserve"> και η ινώδης όξινη πρωτεΐνη</w:t>
      </w:r>
      <w:r w:rsidR="0010194E" w:rsidRPr="00A831E7">
        <w:rPr>
          <w:rFonts w:eastAsia="Calibri"/>
        </w:rPr>
        <w:t xml:space="preserve"> γλοίας</w:t>
      </w:r>
      <w:r w:rsidR="00766779" w:rsidRPr="00A831E7">
        <w:rPr>
          <w:rFonts w:eastAsia="Calibri"/>
        </w:rPr>
        <w:t xml:space="preserve"> (GFAP) μπορούν να αποκαλύψουν νευρωνική και νευρογλοιακή βλάβη</w:t>
      </w:r>
      <w:r w:rsidR="00D26829" w:rsidRPr="00A831E7">
        <w:rPr>
          <w:rFonts w:eastAsia="Calibri"/>
        </w:rPr>
        <w:t xml:space="preserve"> </w:t>
      </w:r>
      <w:r w:rsidR="00D26829" w:rsidRPr="00A831E7">
        <w:rPr>
          <w:rFonts w:eastAsia="Calibri"/>
        </w:rPr>
        <w:fldChar w:fldCharType="begin"/>
      </w:r>
      <w:r w:rsidR="00D26829" w:rsidRPr="00A831E7">
        <w:rPr>
          <w:rFonts w:eastAsia="Calibri"/>
        </w:rPr>
        <w:instrText xml:space="preserve"> ADDIN ZOTERO_ITEM CSL_CITATION {"citationID":"ZhEh6mRU","properties":{"formattedCitation":"[16]","plainCitation":"[16]","noteIndex":0},"citationItems":[{"id":172,"uris":["http://zotero.org/users/local/mfHf28QG/items/NFV5AQIQ"],"itemData":{"id":172,"type":"article-journal","abstract":"There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D26829" w:rsidRPr="00A831E7">
        <w:rPr>
          <w:rFonts w:eastAsia="Calibri"/>
        </w:rPr>
        <w:fldChar w:fldCharType="separate"/>
      </w:r>
      <w:r w:rsidR="00D26829" w:rsidRPr="00A831E7">
        <w:rPr>
          <w:rFonts w:eastAsia="Calibri"/>
        </w:rPr>
        <w:t>[16]</w:t>
      </w:r>
      <w:r w:rsidR="00D26829" w:rsidRPr="00A831E7">
        <w:rPr>
          <w:rFonts w:eastAsia="Calibri"/>
        </w:rPr>
        <w:fldChar w:fldCharType="end"/>
      </w:r>
      <w:r w:rsidR="00766779" w:rsidRPr="00A831E7">
        <w:rPr>
          <w:rFonts w:eastAsia="Calibri"/>
        </w:rPr>
        <w:t>. Τα αυξημένα επίπεδα αυτών των πρωτεϊνών στο αίμα μπορούν να βοηθήσουν στην επιβεβαίωση της διάγνωσης του εγκεφαλικού επεισοδίου και να προσφέρουν προγνωστικές πληροφορίες σχετικά με την έκταση της εγκεφαλικής βλάβης. Ωστόσο,</w:t>
      </w:r>
      <w:r w:rsidR="00B46FFC" w:rsidRPr="00A831E7">
        <w:rPr>
          <w:rFonts w:eastAsia="Calibri"/>
        </w:rPr>
        <w:t xml:space="preserve"> αρκετοί βιοδείκτες μπορούν να αυξηθούν σε μια ποικιλία άλλων νευρολογικών διαταραχών και παθήσεων που δεν συνδέονται με εγκεφαλικά επεισόδια. Το παραπάνω γεγονός σε συνδυασμό με </w:t>
      </w:r>
      <w:r w:rsidR="00D26829" w:rsidRPr="00A831E7">
        <w:rPr>
          <w:rFonts w:eastAsia="Calibri"/>
        </w:rPr>
        <w:t xml:space="preserve"> </w:t>
      </w:r>
      <w:r w:rsidR="00B46FFC" w:rsidRPr="00A831E7">
        <w:rPr>
          <w:rFonts w:eastAsia="Calibri"/>
        </w:rPr>
        <w:t>τ</w:t>
      </w:r>
      <w:r w:rsidR="00D26829" w:rsidRPr="00A831E7">
        <w:rPr>
          <w:rFonts w:eastAsia="Calibri"/>
        </w:rPr>
        <w:t xml:space="preserve">η χαμηλή </w:t>
      </w:r>
      <w:r w:rsidR="00766779" w:rsidRPr="00A831E7">
        <w:rPr>
          <w:rFonts w:eastAsia="Calibri"/>
        </w:rPr>
        <w:t>ειδικότητα και ευαισθησία</w:t>
      </w:r>
      <w:r w:rsidR="00D26829" w:rsidRPr="00A831E7">
        <w:rPr>
          <w:rFonts w:eastAsia="Calibri"/>
        </w:rPr>
        <w:t xml:space="preserve"> που παρουσιάζουν</w:t>
      </w:r>
      <w:r w:rsidR="00644BB2" w:rsidRPr="00A831E7">
        <w:rPr>
          <w:rFonts w:eastAsia="Calibri"/>
        </w:rPr>
        <w:t xml:space="preserve"> </w:t>
      </w:r>
      <w:r w:rsidR="003F6BC2" w:rsidRPr="00A831E7">
        <w:rPr>
          <w:rFonts w:eastAsia="Calibri"/>
        </w:rPr>
        <w:t>–</w:t>
      </w:r>
      <w:r w:rsidR="00B46FFC" w:rsidRPr="00A831E7">
        <w:rPr>
          <w:rFonts w:eastAsia="Calibri"/>
        </w:rPr>
        <w:t xml:space="preserve"> όταν εξετάζεται κάθε βιοδείκτης αυτόνομα</w:t>
      </w:r>
      <w:r w:rsidR="00644BB2" w:rsidRPr="00A831E7">
        <w:rPr>
          <w:rFonts w:eastAsia="Calibri"/>
        </w:rPr>
        <w:t xml:space="preserve"> </w:t>
      </w:r>
      <w:r w:rsidR="003F6BC2" w:rsidRPr="00A831E7">
        <w:rPr>
          <w:rFonts w:eastAsia="Calibri"/>
        </w:rPr>
        <w:t>–</w:t>
      </w:r>
      <w:r w:rsidR="00644BB2" w:rsidRPr="00A831E7">
        <w:rPr>
          <w:rFonts w:eastAsia="Calibri"/>
        </w:rPr>
        <w:t xml:space="preserve"> </w:t>
      </w:r>
      <w:r w:rsidR="00D26829" w:rsidRPr="00A831E7">
        <w:rPr>
          <w:rFonts w:eastAsia="Calibri"/>
        </w:rPr>
        <w:t>δυσχεραίνει την ενσωμάτωση τους σε κλινικές εφαρμογές</w:t>
      </w:r>
      <w:r w:rsidR="00B46FFC" w:rsidRPr="00A831E7">
        <w:rPr>
          <w:rFonts w:eastAsia="Calibri"/>
        </w:rPr>
        <w:t xml:space="preserve"> </w:t>
      </w:r>
      <w:r w:rsidR="00B46FFC" w:rsidRPr="00A831E7">
        <w:rPr>
          <w:rFonts w:eastAsia="Calibri"/>
        </w:rPr>
        <w:fldChar w:fldCharType="begin"/>
      </w:r>
      <w:r w:rsidR="00B46FFC" w:rsidRPr="00A831E7">
        <w:rPr>
          <w:rFonts w:eastAsia="Calibri"/>
        </w:rPr>
        <w:instrText xml:space="preserve"> ADDIN ZOTERO_ITEM CSL_CITATION {"citationID":"PjlEHt3f","properties":{"formattedCitation":"[16]","plainCitation":"[16]","noteIndex":0},"citationItems":[{"id":172,"uris":["http://zotero.org/users/local/mfHf28QG/items/NFV5AQIQ"],"itemData":{"id":172,"type":"article-journal","abstract":"There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B46FFC" w:rsidRPr="00A831E7">
        <w:rPr>
          <w:rFonts w:eastAsia="Calibri"/>
        </w:rPr>
        <w:fldChar w:fldCharType="separate"/>
      </w:r>
      <w:r w:rsidR="00B46FFC" w:rsidRPr="00A831E7">
        <w:rPr>
          <w:rFonts w:eastAsia="Calibri"/>
        </w:rPr>
        <w:t>[16]</w:t>
      </w:r>
      <w:r w:rsidR="00B46FFC" w:rsidRPr="00A831E7">
        <w:rPr>
          <w:rFonts w:eastAsia="Calibri"/>
        </w:rPr>
        <w:fldChar w:fldCharType="end"/>
      </w:r>
      <w:r w:rsidR="00B46FFC" w:rsidRPr="00A831E7">
        <w:rPr>
          <w:rFonts w:eastAsia="Calibri"/>
        </w:rPr>
        <w:t>.</w:t>
      </w:r>
    </w:p>
    <w:p w14:paraId="35E30620" w14:textId="3BE8C377" w:rsidR="00603CB2" w:rsidRPr="00A831E7" w:rsidRDefault="00603CB2" w:rsidP="00F32EEE">
      <w:pPr>
        <w:spacing w:line="360" w:lineRule="auto"/>
        <w:jc w:val="both"/>
        <w:rPr>
          <w:rFonts w:eastAsia="Calibri"/>
        </w:rPr>
      </w:pPr>
      <w:r w:rsidRPr="00A831E7">
        <w:rPr>
          <w:rFonts w:eastAsia="Calibri"/>
        </w:rPr>
        <w:tab/>
        <w:t>Πρόσφατες έρευνες αναδεικνύουν τα εξωκυτταρικά κυστίδια (EVs) ως πολλά υποσχόμενους διαγνωστικούς βιοδείκτες για</w:t>
      </w:r>
      <w:r w:rsidR="00546B2D" w:rsidRPr="00A831E7">
        <w:rPr>
          <w:rFonts w:eastAsia="Calibri"/>
        </w:rPr>
        <w:t xml:space="preserve"> το </w:t>
      </w:r>
      <w:r w:rsidR="00F53852" w:rsidRPr="00A831E7">
        <w:rPr>
          <w:rFonts w:eastAsia="Calibri"/>
        </w:rPr>
        <w:t>ΑΕΕ</w:t>
      </w:r>
      <w:r w:rsidRPr="00A831E7">
        <w:rPr>
          <w:rFonts w:eastAsia="Calibri"/>
        </w:rPr>
        <w:t>. Τα EVs είναι</w:t>
      </w:r>
      <w:r w:rsidR="00334D5D" w:rsidRPr="00A831E7">
        <w:rPr>
          <w:rFonts w:eastAsia="Calibri"/>
        </w:rPr>
        <w:t xml:space="preserve"> κυστίδια νανομεγέθους διπλής λιπιδικής στιβάδας</w:t>
      </w:r>
      <w:r w:rsidRPr="00A831E7">
        <w:rPr>
          <w:rFonts w:eastAsia="Calibri"/>
        </w:rPr>
        <w:t xml:space="preserve"> που απελευθερώνονται από </w:t>
      </w:r>
      <w:r w:rsidR="00B62C0A" w:rsidRPr="00A831E7">
        <w:rPr>
          <w:rFonts w:eastAsia="Calibri"/>
        </w:rPr>
        <w:t>πληθώρα</w:t>
      </w:r>
      <w:r w:rsidRPr="00A831E7">
        <w:rPr>
          <w:rFonts w:eastAsia="Calibri"/>
        </w:rPr>
        <w:t xml:space="preserve"> κ</w:t>
      </w:r>
      <w:r w:rsidR="00B62C0A" w:rsidRPr="00A831E7">
        <w:rPr>
          <w:rFonts w:eastAsia="Calibri"/>
        </w:rPr>
        <w:t>υ</w:t>
      </w:r>
      <w:r w:rsidRPr="00A831E7">
        <w:rPr>
          <w:rFonts w:eastAsia="Calibri"/>
        </w:rPr>
        <w:t>ττ</w:t>
      </w:r>
      <w:r w:rsidR="00B62C0A" w:rsidRPr="00A831E7">
        <w:rPr>
          <w:rFonts w:eastAsia="Calibri"/>
        </w:rPr>
        <w:t>ά</w:t>
      </w:r>
      <w:r w:rsidRPr="00A831E7">
        <w:rPr>
          <w:rFonts w:eastAsia="Calibri"/>
        </w:rPr>
        <w:t>ρ</w:t>
      </w:r>
      <w:r w:rsidR="00B62C0A" w:rsidRPr="00A831E7">
        <w:rPr>
          <w:rFonts w:eastAsia="Calibri"/>
        </w:rPr>
        <w:t xml:space="preserve">ων </w:t>
      </w:r>
      <w:r w:rsidR="00B62C0A" w:rsidRPr="00A831E7">
        <w:rPr>
          <w:rFonts w:eastAsia="Calibri"/>
        </w:rPr>
        <w:fldChar w:fldCharType="begin"/>
      </w:r>
      <w:r w:rsidR="00B62C0A" w:rsidRPr="00A831E7">
        <w:rPr>
          <w:rFonts w:eastAsia="Calibri"/>
        </w:rPr>
        <w:instrText xml:space="preserve"> ADDIN ZOTERO_ITEM CSL_CITATION {"citationID":"Tn6BToGS","properties":{"formattedCitation":"[20]","plainCitation":"[20]","noteIndex":0},"citationItems":[{"id":180,"uris":["http://zotero.org/users/local/mfHf28QG/items/56CU9CM3"],"itemData":{"id":180,"type":"article-journal","abstract":"Ischemic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uppress-author":true}],"schema":"https://github.com/citation-style-language/schema/raw/master/csl-citation.json"} </w:instrText>
      </w:r>
      <w:r w:rsidR="00B62C0A" w:rsidRPr="00A831E7">
        <w:rPr>
          <w:rFonts w:eastAsia="Calibri"/>
        </w:rPr>
        <w:fldChar w:fldCharType="separate"/>
      </w:r>
      <w:r w:rsidR="00B62C0A" w:rsidRPr="00A831E7">
        <w:rPr>
          <w:rFonts w:eastAsia="Calibri"/>
        </w:rPr>
        <w:t>[20]</w:t>
      </w:r>
      <w:r w:rsidR="00B62C0A" w:rsidRPr="00A831E7">
        <w:rPr>
          <w:rFonts w:eastAsia="Calibri"/>
        </w:rPr>
        <w:fldChar w:fldCharType="end"/>
      </w:r>
      <w:r w:rsidR="00B62C0A" w:rsidRPr="00A831E7">
        <w:rPr>
          <w:rFonts w:eastAsia="Calibri"/>
        </w:rPr>
        <w:t>.</w:t>
      </w:r>
      <w:r w:rsidRPr="00A831E7">
        <w:rPr>
          <w:rFonts w:eastAsia="Calibri"/>
        </w:rPr>
        <w:t xml:space="preserve"> </w:t>
      </w:r>
      <w:r w:rsidR="00B62C0A" w:rsidRPr="00A831E7">
        <w:rPr>
          <w:rFonts w:eastAsia="Calibri"/>
        </w:rPr>
        <w:t>E</w:t>
      </w:r>
      <w:r w:rsidRPr="00A831E7">
        <w:rPr>
          <w:rFonts w:eastAsia="Calibri"/>
        </w:rPr>
        <w:t>νθυλακώνο</w:t>
      </w:r>
      <w:r w:rsidR="00B62C0A" w:rsidRPr="00A831E7">
        <w:rPr>
          <w:rFonts w:eastAsia="Calibri"/>
        </w:rPr>
        <w:t>υν</w:t>
      </w:r>
      <w:r w:rsidRPr="00A831E7">
        <w:rPr>
          <w:rFonts w:eastAsia="Calibri"/>
        </w:rPr>
        <w:t xml:space="preserve"> μια ποικιλία βιοδραστικών μορίων</w:t>
      </w:r>
      <w:r w:rsidR="00E14525" w:rsidRPr="00A831E7">
        <w:rPr>
          <w:rFonts w:eastAsia="Calibri"/>
        </w:rPr>
        <w:t xml:space="preserve"> </w:t>
      </w:r>
      <w:r w:rsidR="003F6BC2" w:rsidRPr="00A831E7">
        <w:rPr>
          <w:rFonts w:eastAsia="Calibri"/>
        </w:rPr>
        <w:t>–</w:t>
      </w:r>
      <w:r w:rsidRPr="00A831E7">
        <w:rPr>
          <w:rFonts w:eastAsia="Calibri"/>
        </w:rPr>
        <w:t xml:space="preserve"> συμπεριλαμβανομένων πρωτεϊνών, λιπιδίων και νουκλεϊκών οξέων</w:t>
      </w:r>
      <w:r w:rsidR="00B62C0A" w:rsidRPr="00A831E7">
        <w:rPr>
          <w:rFonts w:eastAsia="Calibri"/>
        </w:rPr>
        <w:t xml:space="preserve"> όπως miRNAs</w:t>
      </w:r>
      <w:r w:rsidRPr="00A831E7">
        <w:rPr>
          <w:rFonts w:eastAsia="Calibri"/>
        </w:rPr>
        <w:t xml:space="preserve"> </w:t>
      </w:r>
      <w:r w:rsidR="003F6BC2" w:rsidRPr="00A831E7">
        <w:rPr>
          <w:rFonts w:eastAsia="Calibri"/>
        </w:rPr>
        <w:t>–</w:t>
      </w:r>
      <w:r w:rsidRPr="00A831E7">
        <w:rPr>
          <w:rFonts w:eastAsia="Calibri"/>
        </w:rPr>
        <w:t xml:space="preserve"> που αντικατοπτρίζουν τη φυσιολογική ή παθολογική κατάσταση των κυττάρων προέλευσής </w:t>
      </w:r>
      <w:r w:rsidR="00B62C0A" w:rsidRPr="00A831E7">
        <w:rPr>
          <w:rFonts w:eastAsia="Calibri"/>
        </w:rPr>
        <w:t xml:space="preserve">τους </w:t>
      </w:r>
      <w:r w:rsidR="00B62C0A" w:rsidRPr="00A831E7">
        <w:rPr>
          <w:rFonts w:eastAsia="Calibri"/>
        </w:rPr>
        <w:fldChar w:fldCharType="begin"/>
      </w:r>
      <w:r w:rsidR="00B62C0A" w:rsidRPr="00A831E7">
        <w:rPr>
          <w:rFonts w:eastAsia="Calibri"/>
        </w:rPr>
        <w:instrText xml:space="preserve"> ADDIN ZOTERO_ITEM CSL_CITATION {"citationID":"aU8mlBZP","properties":{"formattedCitation":"[20]","plainCitation":"[20]","noteIndex":0},"citationItems":[{"id":180,"uris":["http://zotero.org/users/local/mfHf28QG/items/56CU9CM3"],"itemData":{"id":180,"type":"article-journal","abstract":"Ischemic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uppress-author":true}],"schema":"https://github.com/citation-style-language/schema/raw/master/csl-citation.json"} </w:instrText>
      </w:r>
      <w:r w:rsidR="00B62C0A" w:rsidRPr="00A831E7">
        <w:rPr>
          <w:rFonts w:eastAsia="Calibri"/>
        </w:rPr>
        <w:fldChar w:fldCharType="separate"/>
      </w:r>
      <w:r w:rsidR="00B62C0A" w:rsidRPr="00A831E7">
        <w:rPr>
          <w:rFonts w:eastAsia="Calibri"/>
        </w:rPr>
        <w:t>[20]</w:t>
      </w:r>
      <w:r w:rsidR="00B62C0A" w:rsidRPr="00A831E7">
        <w:rPr>
          <w:rFonts w:eastAsia="Calibri"/>
        </w:rPr>
        <w:fldChar w:fldCharType="end"/>
      </w:r>
      <w:r w:rsidRPr="00A831E7">
        <w:rPr>
          <w:rFonts w:eastAsia="Calibri"/>
        </w:rPr>
        <w:t>. Μετά από ένα εγκεφαλικό επεισόδιο υπάρχει αυξημένη απελευθέρωση EVs από κατεστραμμένους νευρώνες</w:t>
      </w:r>
      <w:r w:rsidR="00644BB2" w:rsidRPr="00A831E7">
        <w:rPr>
          <w:rFonts w:eastAsia="Calibri"/>
        </w:rPr>
        <w:t xml:space="preserve"> και</w:t>
      </w:r>
      <w:r w:rsidRPr="00A831E7">
        <w:rPr>
          <w:rFonts w:eastAsia="Calibri"/>
        </w:rPr>
        <w:t xml:space="preserve"> </w:t>
      </w:r>
      <w:r w:rsidR="00F53852" w:rsidRPr="00A831E7">
        <w:rPr>
          <w:rFonts w:eastAsia="Calibri"/>
        </w:rPr>
        <w:t>νευρογλοιακά</w:t>
      </w:r>
      <w:r w:rsidRPr="00A831E7">
        <w:rPr>
          <w:rFonts w:eastAsia="Calibri"/>
        </w:rPr>
        <w:t xml:space="preserve"> και </w:t>
      </w:r>
      <w:r w:rsidRPr="00A831E7">
        <w:rPr>
          <w:rFonts w:eastAsia="Calibri"/>
        </w:rPr>
        <w:lastRenderedPageBreak/>
        <w:t>ενδοθηλιακά κύτταρα στην κυκλοφορία</w:t>
      </w:r>
      <w:r w:rsidR="00644BB2" w:rsidRPr="00A831E7">
        <w:rPr>
          <w:rFonts w:eastAsia="Calibri"/>
        </w:rPr>
        <w:t xml:space="preserve"> του αίματος</w:t>
      </w:r>
      <w:r w:rsidR="00F53852" w:rsidRPr="00A831E7">
        <w:rPr>
          <w:rFonts w:eastAsia="Calibri"/>
        </w:rPr>
        <w:t xml:space="preserve"> </w:t>
      </w:r>
      <w:r w:rsidR="00F53852" w:rsidRPr="00A831E7">
        <w:rPr>
          <w:rFonts w:eastAsia="Calibri"/>
        </w:rPr>
        <w:fldChar w:fldCharType="begin"/>
      </w:r>
      <w:r w:rsidR="00F53852" w:rsidRPr="00A831E7">
        <w:rPr>
          <w:rFonts w:eastAsia="Calibri"/>
        </w:rPr>
        <w:instrText xml:space="preserve"> ADDIN ZOTERO_ITEM CSL_CITATION {"citationID":"ifcEKxyB","properties":{"formattedCitation":"[20]","plainCitation":"[20]","noteIndex":0},"citationItems":[{"id":180,"uris":["http://zotero.org/users/local/mfHf28QG/items/56CU9CM3"],"itemData":{"id":180,"type":"article-journal","abstract":"Ischemic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uppress-author":true}],"schema":"https://github.com/citation-style-language/schema/raw/master/csl-citation.json"} </w:instrText>
      </w:r>
      <w:r w:rsidR="00F53852" w:rsidRPr="00A831E7">
        <w:rPr>
          <w:rFonts w:eastAsia="Calibri"/>
        </w:rPr>
        <w:fldChar w:fldCharType="separate"/>
      </w:r>
      <w:r w:rsidR="00F53852" w:rsidRPr="00A831E7">
        <w:rPr>
          <w:rFonts w:eastAsia="Calibri"/>
        </w:rPr>
        <w:t>[20]</w:t>
      </w:r>
      <w:r w:rsidR="00F53852" w:rsidRPr="00A831E7">
        <w:rPr>
          <w:rFonts w:eastAsia="Calibri"/>
        </w:rPr>
        <w:fldChar w:fldCharType="end"/>
      </w:r>
      <w:r w:rsidRPr="00A831E7">
        <w:rPr>
          <w:rFonts w:eastAsia="Calibri"/>
        </w:rPr>
        <w:t xml:space="preserve">. Αυτά τα EVs που προέρχονται από τον εγκέφαλο φέρουν </w:t>
      </w:r>
      <w:r w:rsidR="00F53852" w:rsidRPr="00A831E7">
        <w:rPr>
          <w:rFonts w:eastAsia="Calibri"/>
        </w:rPr>
        <w:t>πληροφορία που σχετίζεται</w:t>
      </w:r>
      <w:r w:rsidRPr="00A831E7">
        <w:rPr>
          <w:rFonts w:eastAsia="Calibri"/>
        </w:rPr>
        <w:t xml:space="preserve"> με ισχαιμική βλάβη και</w:t>
      </w:r>
      <w:r w:rsidR="00F53852" w:rsidRPr="00A831E7">
        <w:rPr>
          <w:rFonts w:eastAsia="Calibri"/>
        </w:rPr>
        <w:t xml:space="preserve"> πιθανή</w:t>
      </w:r>
      <w:r w:rsidRPr="00A831E7">
        <w:rPr>
          <w:rFonts w:eastAsia="Calibri"/>
        </w:rPr>
        <w:t xml:space="preserve"> νευροφλεγμονή, παρέχοντας ένα λεπτομερές μοριακό στιγμιότυπο του</w:t>
      </w:r>
      <w:r w:rsidR="002E4784">
        <w:rPr>
          <w:rFonts w:eastAsia="Calibri"/>
        </w:rPr>
        <w:t xml:space="preserve"> </w:t>
      </w:r>
      <w:r w:rsidRPr="00A831E7">
        <w:rPr>
          <w:rFonts w:eastAsia="Calibri"/>
        </w:rPr>
        <w:t xml:space="preserve"> </w:t>
      </w:r>
      <w:r w:rsidR="00F53852" w:rsidRPr="00A831E7">
        <w:rPr>
          <w:rFonts w:eastAsia="Calibri"/>
        </w:rPr>
        <w:t xml:space="preserve">ΑΕΕ </w:t>
      </w:r>
      <w:r w:rsidR="00F53852" w:rsidRPr="00A831E7">
        <w:rPr>
          <w:rFonts w:eastAsia="Calibri"/>
        </w:rPr>
        <w:fldChar w:fldCharType="begin"/>
      </w:r>
      <w:r w:rsidR="00F53852" w:rsidRPr="00A831E7">
        <w:rPr>
          <w:rFonts w:eastAsia="Calibri"/>
        </w:rPr>
        <w:instrText xml:space="preserve"> ADDIN ZOTERO_ITEM CSL_CITATION {"citationID":"6ehyAv6q","properties":{"formattedCitation":"[11]","plainCitation":"[11]","noteIndex":0},"citationItems":[{"id":127,"uris":["http://zotero.org/users/local/mfHf28QG/items/NIFKWPSY"],"itemData":{"id":127,"type":"article-journal","abstract":"There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Ryun"}],"issued":{"date-parts":[["2020",7,28]]}},"suppress-author":true}],"schema":"https://github.com/citation-style-language/schema/raw/master/csl-citation.json"} </w:instrText>
      </w:r>
      <w:r w:rsidR="00F53852" w:rsidRPr="00A831E7">
        <w:rPr>
          <w:rFonts w:eastAsia="Calibri"/>
        </w:rPr>
        <w:fldChar w:fldCharType="separate"/>
      </w:r>
      <w:r w:rsidR="00F53852" w:rsidRPr="00A831E7">
        <w:rPr>
          <w:rFonts w:eastAsia="Calibri"/>
        </w:rPr>
        <w:t>[11]</w:t>
      </w:r>
      <w:r w:rsidR="00F53852" w:rsidRPr="00A831E7">
        <w:rPr>
          <w:rFonts w:eastAsia="Calibri"/>
        </w:rPr>
        <w:fldChar w:fldCharType="end"/>
      </w:r>
      <w:r w:rsidR="00F53852" w:rsidRPr="00A831E7">
        <w:rPr>
          <w:rFonts w:eastAsia="Calibri"/>
        </w:rPr>
        <w:t>.</w:t>
      </w:r>
    </w:p>
    <w:p w14:paraId="28B7DF97" w14:textId="6F28C6B1" w:rsidR="00644BB2" w:rsidRPr="00A831E7" w:rsidRDefault="009037B2" w:rsidP="00F32EEE">
      <w:pPr>
        <w:spacing w:line="360" w:lineRule="auto"/>
        <w:jc w:val="both"/>
        <w:rPr>
          <w:rFonts w:eastAsia="Calibri"/>
        </w:rPr>
      </w:pPr>
      <w:r w:rsidRPr="00A831E7">
        <w:rPr>
          <w:rFonts w:eastAsia="Calibri"/>
        </w:rPr>
        <w:tab/>
      </w:r>
      <w:r w:rsidR="00E14525" w:rsidRPr="00A831E7">
        <w:rPr>
          <w:rFonts w:eastAsia="Calibri"/>
        </w:rPr>
        <w:t>Τα EVs</w:t>
      </w:r>
      <w:r w:rsidR="00644BB2" w:rsidRPr="00A831E7">
        <w:rPr>
          <w:rFonts w:eastAsia="Calibri"/>
        </w:rPr>
        <w:t xml:space="preserve"> μπορούν να συνεισφέρουν στην ταχεία διάγνωση και θεραπεία</w:t>
      </w:r>
      <w:r w:rsidR="00E14525" w:rsidRPr="00A831E7">
        <w:rPr>
          <w:rFonts w:eastAsia="Calibri"/>
        </w:rPr>
        <w:t xml:space="preserve"> </w:t>
      </w:r>
      <w:r w:rsidR="00644BB2" w:rsidRPr="00A831E7">
        <w:rPr>
          <w:rFonts w:eastAsia="Calibri"/>
        </w:rPr>
        <w:t xml:space="preserve">καθώς </w:t>
      </w:r>
      <w:r w:rsidR="00E14525" w:rsidRPr="00A831E7">
        <w:rPr>
          <w:rFonts w:eastAsia="Calibri"/>
        </w:rPr>
        <w:t>παρουσιάζουν σταθερότητ</w:t>
      </w:r>
      <w:r w:rsidR="002E4784">
        <w:rPr>
          <w:rFonts w:eastAsia="Calibri"/>
        </w:rPr>
        <w:t>α</w:t>
      </w:r>
      <w:r w:rsidR="00E14525" w:rsidRPr="00A831E7">
        <w:rPr>
          <w:rFonts w:eastAsia="Calibri"/>
        </w:rPr>
        <w:t xml:space="preserve"> στ</w:t>
      </w:r>
      <w:r w:rsidR="002E4784">
        <w:rPr>
          <w:rFonts w:eastAsia="Calibri"/>
        </w:rPr>
        <w:t>ην</w:t>
      </w:r>
      <w:r w:rsidR="00E14525" w:rsidRPr="00A831E7">
        <w:rPr>
          <w:rFonts w:eastAsia="Calibri"/>
        </w:rPr>
        <w:t xml:space="preserve"> </w:t>
      </w:r>
      <w:r w:rsidR="002E4784">
        <w:rPr>
          <w:rFonts w:eastAsia="Calibri"/>
        </w:rPr>
        <w:t>κυκλοφορία του αίματος</w:t>
      </w:r>
      <w:r w:rsidR="00E14525" w:rsidRPr="00A831E7">
        <w:rPr>
          <w:rFonts w:eastAsia="Calibri"/>
        </w:rPr>
        <w:t xml:space="preserve"> </w:t>
      </w:r>
      <w:r w:rsidR="003F6BC2" w:rsidRPr="00A831E7">
        <w:rPr>
          <w:rFonts w:eastAsia="Calibri"/>
        </w:rPr>
        <w:t>–</w:t>
      </w:r>
      <w:r w:rsidR="00E14525" w:rsidRPr="00A831E7">
        <w:rPr>
          <w:rFonts w:eastAsia="Calibri"/>
        </w:rPr>
        <w:t xml:space="preserve"> διατηρώντας αναλλοίωτη πληροφορία </w:t>
      </w:r>
      <w:r w:rsidR="003F6BC2" w:rsidRPr="00A831E7">
        <w:rPr>
          <w:rFonts w:eastAsia="Calibri"/>
        </w:rPr>
        <w:t>–</w:t>
      </w:r>
      <w:r w:rsidR="00644BB2" w:rsidRPr="00A831E7">
        <w:rPr>
          <w:rFonts w:eastAsia="Calibri"/>
        </w:rPr>
        <w:t xml:space="preserve"> και</w:t>
      </w:r>
      <w:r w:rsidR="00E14525" w:rsidRPr="00A831E7">
        <w:rPr>
          <w:rFonts w:eastAsia="Calibri"/>
        </w:rPr>
        <w:t xml:space="preserve"> δυνατότητες ταχείας ανίχνευσης</w:t>
      </w:r>
      <w:r w:rsidR="00644BB2" w:rsidRPr="00A831E7">
        <w:rPr>
          <w:rFonts w:eastAsia="Calibri"/>
        </w:rPr>
        <w:t xml:space="preserve"> </w:t>
      </w:r>
      <w:r w:rsidR="00644BB2" w:rsidRPr="00A831E7">
        <w:rPr>
          <w:rFonts w:eastAsia="Calibri"/>
        </w:rPr>
        <w:fldChar w:fldCharType="begin"/>
      </w:r>
      <w:r w:rsidR="00644BB2" w:rsidRPr="00A831E7">
        <w:rPr>
          <w:rFonts w:eastAsia="Calibri"/>
        </w:rPr>
        <w:instrText xml:space="preserve"> ADDIN ZOTERO_ITEM CSL_CITATION {"citationID":"dyZhEKll","properties":{"formattedCitation":"[20]","plainCitation":"[20]","noteIndex":0},"citationItems":[{"id":180,"uris":["http://zotero.org/users/local/mfHf28QG/items/56CU9CM3"],"itemData":{"id":180,"type":"article-journal","abstract":"Ischemic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uppress-author":true}],"schema":"https://github.com/citation-style-language/schema/raw/master/csl-citation.json"} </w:instrText>
      </w:r>
      <w:r w:rsidR="00644BB2" w:rsidRPr="00A831E7">
        <w:rPr>
          <w:rFonts w:eastAsia="Calibri"/>
        </w:rPr>
        <w:fldChar w:fldCharType="separate"/>
      </w:r>
      <w:r w:rsidR="00644BB2" w:rsidRPr="00A831E7">
        <w:rPr>
          <w:rFonts w:eastAsia="Calibri"/>
        </w:rPr>
        <w:t>[20]</w:t>
      </w:r>
      <w:r w:rsidR="00644BB2" w:rsidRPr="00A831E7">
        <w:rPr>
          <w:rFonts w:eastAsia="Calibri"/>
        </w:rPr>
        <w:fldChar w:fldCharType="end"/>
      </w:r>
      <w:r w:rsidR="00E14525" w:rsidRPr="00A831E7">
        <w:rPr>
          <w:rFonts w:eastAsia="Calibri"/>
        </w:rPr>
        <w:t>. Τα EVs μπορούν επίσης να παρέχουν πληροφορίες σχετικά με τον υπότυπο και τη σοβαρότητα του εγκεφαλικού επεισοδίου, ενισχύοντας ενδεχομένως τις εξατομικευμένες στρατηγικές θεραπείας</w:t>
      </w:r>
      <w:r w:rsidR="00644BB2" w:rsidRPr="00A831E7">
        <w:rPr>
          <w:rFonts w:eastAsia="Calibri"/>
        </w:rPr>
        <w:t xml:space="preserve"> </w:t>
      </w:r>
      <w:r w:rsidR="00644BB2" w:rsidRPr="00A831E7">
        <w:rPr>
          <w:rFonts w:eastAsia="Calibri"/>
        </w:rPr>
        <w:fldChar w:fldCharType="begin"/>
      </w:r>
      <w:r w:rsidR="00644BB2" w:rsidRPr="00A831E7">
        <w:rPr>
          <w:rFonts w:eastAsia="Calibri"/>
        </w:rPr>
        <w:instrText xml:space="preserve"> ADDIN ZOTERO_ITEM CSL_CITATION {"citationID":"2EI6YyTE","properties":{"formattedCitation":"[4]","plainCitation":"[4]","noteIndex":0},"citationItems":[{"id":259,"uris":["http://zotero.org/users/local/mfHf28QG/items/BNXINVFS"],"itemData":{"id":259,"type":"article-journal","abstract":"Stroke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Sang"}],"issued":{"date-parts":[["2022",7,28]]}},"suppress-author":true}],"schema":"https://github.com/citation-style-language/schema/raw/master/csl-citation.json"} </w:instrText>
      </w:r>
      <w:r w:rsidR="00644BB2" w:rsidRPr="00A831E7">
        <w:rPr>
          <w:rFonts w:eastAsia="Calibri"/>
        </w:rPr>
        <w:fldChar w:fldCharType="separate"/>
      </w:r>
      <w:r w:rsidR="00644BB2" w:rsidRPr="00A831E7">
        <w:rPr>
          <w:rFonts w:eastAsia="Calibri"/>
        </w:rPr>
        <w:t>[4]</w:t>
      </w:r>
      <w:r w:rsidR="00644BB2" w:rsidRPr="00A831E7">
        <w:rPr>
          <w:rFonts w:eastAsia="Calibri"/>
        </w:rPr>
        <w:fldChar w:fldCharType="end"/>
      </w:r>
      <w:r w:rsidR="00E14525" w:rsidRPr="00A831E7">
        <w:rPr>
          <w:rFonts w:eastAsia="Calibri"/>
        </w:rPr>
        <w:t xml:space="preserve">. </w:t>
      </w:r>
    </w:p>
    <w:p w14:paraId="5F7F0351" w14:textId="3AC4B66C" w:rsidR="00B46FFC" w:rsidRDefault="00B605E4" w:rsidP="00F32EEE">
      <w:pPr>
        <w:spacing w:line="360" w:lineRule="auto"/>
        <w:jc w:val="both"/>
        <w:rPr>
          <w:rFonts w:eastAsia="Calibri"/>
        </w:rPr>
      </w:pPr>
      <w:r w:rsidRPr="00A831E7">
        <w:rPr>
          <w:rFonts w:eastAsia="Calibri"/>
        </w:rPr>
        <w:tab/>
        <w:t>Καθώς οι εξελίξεις στον τομέα της έρευνας συνεχίζονται, ο συνδυασμός των διαγνωστικών δυνατοτήτων</w:t>
      </w:r>
      <w:r w:rsidR="002E4784">
        <w:rPr>
          <w:rFonts w:eastAsia="Calibri"/>
        </w:rPr>
        <w:t xml:space="preserve"> των βιοδεικτών και των</w:t>
      </w:r>
      <w:r w:rsidRPr="00A831E7">
        <w:rPr>
          <w:rFonts w:eastAsia="Calibri"/>
        </w:rPr>
        <w:t xml:space="preserve"> EVs με τεχνολογίες τεχνητής νοημοσύνης (AI) </w:t>
      </w:r>
      <w:r w:rsidR="00B554B3" w:rsidRPr="00A831E7">
        <w:rPr>
          <w:rFonts w:eastAsia="Calibri"/>
        </w:rPr>
        <w:t>και μηχανικής μάθησης (ML)</w:t>
      </w:r>
      <w:r w:rsidR="002E4784">
        <w:rPr>
          <w:rFonts w:eastAsia="Calibri"/>
        </w:rPr>
        <w:t>,</w:t>
      </w:r>
      <w:r w:rsidRPr="00A831E7">
        <w:rPr>
          <w:rFonts w:eastAsia="Calibri"/>
        </w:rPr>
        <w:t xml:space="preserve"> μπορεί να φέρει περαιτέρω πρόοδο στη διαχείριση των εγκεφαλικών επεισοδίων</w:t>
      </w:r>
      <w:r w:rsidR="00B554B3" w:rsidRPr="00A831E7">
        <w:rPr>
          <w:rFonts w:eastAsia="Calibri"/>
        </w:rPr>
        <w:t>.</w:t>
      </w:r>
      <w:r w:rsidRPr="00A831E7">
        <w:rPr>
          <w:rFonts w:eastAsia="Calibri"/>
        </w:rPr>
        <w:t xml:space="preserve"> Οι αλγόριθμοι </w:t>
      </w:r>
      <w:r w:rsidR="00B554B3" w:rsidRPr="00A831E7">
        <w:rPr>
          <w:rFonts w:eastAsia="Calibri"/>
        </w:rPr>
        <w:t>μηχανικής μάθησης (ML)</w:t>
      </w:r>
      <w:r w:rsidRPr="00A831E7">
        <w:rPr>
          <w:rFonts w:eastAsia="Calibri"/>
        </w:rPr>
        <w:t xml:space="preserve"> μπορούν να αναλύσουν σύνθετα δεδομένα από απει</w:t>
      </w:r>
      <w:r w:rsidR="00E05210" w:rsidRPr="00A831E7">
        <w:rPr>
          <w:rFonts w:eastAsia="Calibri"/>
        </w:rPr>
        <w:t>κο</w:t>
      </w:r>
      <w:r w:rsidRPr="00A831E7">
        <w:rPr>
          <w:rFonts w:eastAsia="Calibri"/>
        </w:rPr>
        <w:t xml:space="preserve">νιστικές εξετάσεις, βιοδείκτες και EVs για να εντοπίσουν </w:t>
      </w:r>
      <w:r w:rsidR="00A8520C" w:rsidRPr="00A831E7">
        <w:rPr>
          <w:rFonts w:eastAsia="Calibri"/>
        </w:rPr>
        <w:t>μοτίβα</w:t>
      </w:r>
      <w:r w:rsidRPr="00A831E7">
        <w:rPr>
          <w:rFonts w:eastAsia="Calibri"/>
        </w:rPr>
        <w:t xml:space="preserve"> που υποδεικνύουν εγκεφαλικό επεισόδιο, παρέχοντας γρήγορα, αξιόπιστα και ακριβή διαγνωστικά αποτελέσματα</w:t>
      </w:r>
      <w:r w:rsidR="00B554B3" w:rsidRPr="00A831E7">
        <w:rPr>
          <w:rFonts w:eastAsia="Calibri"/>
        </w:rPr>
        <w:t xml:space="preserve"> </w:t>
      </w:r>
      <w:r w:rsidR="00B554B3" w:rsidRPr="00A831E7">
        <w:rPr>
          <w:rFonts w:eastAsia="Calibri"/>
        </w:rPr>
        <w:fldChar w:fldCharType="begin"/>
      </w:r>
      <w:r w:rsidR="00B554B3" w:rsidRPr="00A831E7">
        <w:rPr>
          <w:rFonts w:eastAsia="Calibri"/>
        </w:rPr>
        <w:instrText xml:space="preserve"> ADDIN ZOTERO_ITEM CSL_CITATION {"citationID":"tQZqCDxs","properties":{"formattedCitation":"[21], [22]","plainCitation":"[21], [22]","noteIndex":0},"citationItems":[{"id":294,"uris":["http://zotero.org/users/local/mfHf28QG/items/YA2XYRNF"],"itemData":{"id":294,"type":"article-journal","abstract":"OBJECTIVES: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label":"page","suppress-author":true},{"id":704,"uris":["http://zotero.org/users/local/mfHf28QG/items/X8K2RFR5"],"itemData":{"id":704,"type":"article-journal","abstract":"Large-vessel occlusion (LVO) stroke is a promising field for the use of AI, especially machine learning (ML) because optimal results are highly dependent on timely diagnosis, communication, and treatment. In order to better understand the current state of artificial intelligence (AI) in relation to LVO strokes, its efficacy, and potential future applications, we searched relevant literature to perform a comprehensive evaluation of the topic. The databases PubMed, Embase, and Scopus were extensively searched for this review. Studies were then screened using title and abstract criteria and duplicate studies were excluded. By using pre-established inclusion and exclusion criteria, it was decided whether or not to include full-text papers in the final analysis. The studies were analyzed, and the relevant information was retrieved. In recognizing LVO on computed tomography, ML approaches were very accurate. There is a shortage of AI applications for thrombectomy patient selection, despite the fact that certain research accurately evaluates individual patient eligibility for endovascular therapy. Machine learning algorithms may reasonably predict clinical and angiographic outcomes as well as associated factors. AI has shown promise in the diagnosis and treatment of people who have just suffered a stroke. However, the usefulness of AI in management and forecasting remains restricted, necessitating more studies into machine learning applications that can guide decision making in the future.","container-title":"World Neurosurgery: X","DOI":"10.1016/j.wnsx.2024.100303","ISSN":"2590-1397","journalAbbreviation":"World Neurosurgery: X","page":"100303","source":"ScienceDirect","title":"Emerging artificial intelligence-aided diagnosis and management methods for ischemic strokes and vascular occlusions: A comprehensive review","title-short":"Emerging artificial intelligence-aided diagnosis and management methods for ischemic strokes and vascular occlusions","volume":"22","author":[{"family":"Parvathy","given":"G. A. U. R. I."},{"family":"Kamaraj","given":"B. A. L. A. K. R. I. S. H. N. A. N."},{"family":"Sah","given":"B. I. K. I. K. U. M. A. R."},{"family":"Maheshwari","given":"A. A. K. A. N. S. H. R. A. H. U. L."},{"family":"Alexander","given":"A. I. S. W. A. R. I. Y. A. A. N. N. A."},{"family":"Dixit","given":"V. I. N. D. H. E. S. H."},{"family":"Mumtaz","given":"H. A. S. S. A. N."},{"family":"Saqib","given":"M. U. H. A. M. M. A. D."}],"issued":{"date-parts":[["2024",4,1]]}},"label":"page","suppress-author":true}],"schema":"https://github.com/citation-style-language/schema/raw/master/csl-citation.json"} </w:instrText>
      </w:r>
      <w:r w:rsidR="00B554B3" w:rsidRPr="00A831E7">
        <w:rPr>
          <w:rFonts w:eastAsia="Calibri"/>
        </w:rPr>
        <w:fldChar w:fldCharType="separate"/>
      </w:r>
      <w:r w:rsidR="00B554B3" w:rsidRPr="00A831E7">
        <w:rPr>
          <w:rFonts w:eastAsia="Calibri"/>
        </w:rPr>
        <w:t>[21], [22]</w:t>
      </w:r>
      <w:r w:rsidR="00B554B3" w:rsidRPr="00A831E7">
        <w:rPr>
          <w:rFonts w:eastAsia="Calibri"/>
        </w:rPr>
        <w:fldChar w:fldCharType="end"/>
      </w:r>
      <w:r w:rsidRPr="00A831E7">
        <w:rPr>
          <w:rFonts w:eastAsia="Calibri"/>
        </w:rPr>
        <w:t>.</w:t>
      </w:r>
      <w:bookmarkEnd w:id="41"/>
    </w:p>
    <w:p w14:paraId="6B4766A5" w14:textId="77777777" w:rsidR="00C7272A" w:rsidRPr="00A831E7" w:rsidRDefault="00C7272A" w:rsidP="00F32EEE">
      <w:pPr>
        <w:spacing w:line="360" w:lineRule="auto"/>
        <w:jc w:val="both"/>
        <w:rPr>
          <w:rFonts w:eastAsia="Calibri"/>
        </w:rPr>
      </w:pPr>
    </w:p>
    <w:p w14:paraId="2C886F15" w14:textId="41EE0BCE" w:rsidR="003B38C1" w:rsidRPr="00A831E7" w:rsidRDefault="005E141C" w:rsidP="0057069D">
      <w:pPr>
        <w:pStyle w:val="2"/>
        <w:spacing w:line="360" w:lineRule="auto"/>
        <w:rPr>
          <w:rFonts w:ascii="Times New Roman" w:hAnsi="Times New Roman" w:cs="Times New Roman"/>
          <w:b/>
          <w:bCs/>
          <w:i/>
          <w:iCs/>
          <w:color w:val="auto"/>
          <w:sz w:val="28"/>
          <w:szCs w:val="28"/>
        </w:rPr>
      </w:pPr>
      <w:bookmarkStart w:id="42" w:name="_Toc199787385"/>
      <w:bookmarkStart w:id="43" w:name="_Toc199946454"/>
      <w:r w:rsidRPr="00A831E7">
        <w:rPr>
          <w:rFonts w:ascii="Times New Roman" w:hAnsi="Times New Roman" w:cs="Times New Roman"/>
          <w:b/>
          <w:bCs/>
          <w:i/>
          <w:iCs/>
          <w:color w:val="auto"/>
          <w:sz w:val="28"/>
          <w:szCs w:val="28"/>
        </w:rPr>
        <w:t>1.</w:t>
      </w:r>
      <w:r w:rsidR="003F2DCA" w:rsidRPr="00A831E7">
        <w:rPr>
          <w:rFonts w:ascii="Times New Roman" w:hAnsi="Times New Roman" w:cs="Times New Roman"/>
          <w:b/>
          <w:bCs/>
          <w:i/>
          <w:iCs/>
          <w:color w:val="auto"/>
          <w:sz w:val="28"/>
          <w:szCs w:val="28"/>
        </w:rPr>
        <w:t>5</w:t>
      </w:r>
      <w:r w:rsidRPr="00A831E7">
        <w:rPr>
          <w:rFonts w:ascii="Times New Roman" w:hAnsi="Times New Roman" w:cs="Times New Roman"/>
          <w:b/>
          <w:bCs/>
          <w:i/>
          <w:iCs/>
          <w:color w:val="auto"/>
          <w:sz w:val="28"/>
          <w:szCs w:val="28"/>
        </w:rPr>
        <w:t xml:space="preserve"> Αξιοποίηση Τεχνικών Μηχανικής </w:t>
      </w:r>
      <w:r w:rsidR="003B38C1" w:rsidRPr="00A831E7">
        <w:rPr>
          <w:rFonts w:ascii="Times New Roman" w:hAnsi="Times New Roman" w:cs="Times New Roman"/>
          <w:b/>
          <w:bCs/>
          <w:i/>
          <w:iCs/>
          <w:color w:val="auto"/>
          <w:sz w:val="28"/>
          <w:szCs w:val="28"/>
        </w:rPr>
        <w:t>Μ</w:t>
      </w:r>
      <w:r w:rsidRPr="00A831E7">
        <w:rPr>
          <w:rFonts w:ascii="Times New Roman" w:hAnsi="Times New Roman" w:cs="Times New Roman"/>
          <w:b/>
          <w:bCs/>
          <w:i/>
          <w:iCs/>
          <w:color w:val="auto"/>
          <w:sz w:val="28"/>
          <w:szCs w:val="28"/>
        </w:rPr>
        <w:t>άθησης</w:t>
      </w:r>
      <w:r w:rsidR="00E05210" w:rsidRPr="00A831E7">
        <w:rPr>
          <w:rFonts w:ascii="Times New Roman" w:hAnsi="Times New Roman" w:cs="Times New Roman"/>
          <w:b/>
          <w:bCs/>
          <w:i/>
          <w:iCs/>
          <w:color w:val="auto"/>
          <w:sz w:val="28"/>
          <w:szCs w:val="28"/>
        </w:rPr>
        <w:t xml:space="preserve"> </w:t>
      </w:r>
      <w:r w:rsidRPr="00A831E7">
        <w:rPr>
          <w:rFonts w:ascii="Times New Roman" w:hAnsi="Times New Roman" w:cs="Times New Roman"/>
          <w:b/>
          <w:bCs/>
          <w:i/>
          <w:iCs/>
          <w:color w:val="auto"/>
          <w:sz w:val="28"/>
          <w:szCs w:val="28"/>
        </w:rPr>
        <w:t>(ML)</w:t>
      </w:r>
      <w:bookmarkEnd w:id="42"/>
      <w:bookmarkEnd w:id="43"/>
    </w:p>
    <w:p w14:paraId="19715619" w14:textId="059B3850" w:rsidR="006338E3" w:rsidRDefault="003B38C1" w:rsidP="0057069D">
      <w:pPr>
        <w:spacing w:line="360" w:lineRule="auto"/>
        <w:ind w:firstLine="720"/>
        <w:jc w:val="both"/>
        <w:rPr>
          <w:rFonts w:eastAsia="Calibri"/>
        </w:rPr>
      </w:pPr>
      <w:r w:rsidRPr="00A831E7">
        <w:rPr>
          <w:rFonts w:eastAsia="Calibri"/>
        </w:rPr>
        <w:t xml:space="preserve">Η τεχνητή νοημοσύνη (AI) είναι ένας κλάδος της επιστήμης των υπολογιστών  που στοχεύει στην εξομοίωση των ανθρώπινων γνωστικών διαδικασιών </w:t>
      </w:r>
      <w:r w:rsidRPr="00A831E7">
        <w:rPr>
          <w:rFonts w:eastAsia="Calibri"/>
        </w:rPr>
        <w:fldChar w:fldCharType="begin"/>
      </w:r>
      <w:r w:rsidRPr="00A831E7">
        <w:rPr>
          <w:rFonts w:eastAsia="Calibri"/>
        </w:rPr>
        <w:instrText xml:space="preserve"> ADDIN ZOTERO_ITEM CSL_CITATION {"citationID":"sspp0wmP","properties":{"formattedCitation":"[23]","plainCitation":"[23]","noteIndex":0},"citationItems":[{"id":1255,"uris":["http://zotero.org/users/local/mfHf28QG/items/XZV2JGTF"],"itemData":{"id":1255,"type":"article-journal","abstract":"&lt;p&gt;Many clinical applications based on deep learning and pertaining to radiology have been proposed and studied in radiology for classification, risk assessment, segmentation tasks, diagnosis, prognosis, and even prediction of therapy responses. There are many other innovative applications of AI in various technical aspects of medical imaging, particularly applied to the acquisition of images, ranging from removing image artifacts, normalizing/harmonizing images, improving image quality, lowering radiation and contrast dose, and shortening the duration of imaging studies. This article will address this topic and will seek to present an overview of deep learning applied to neuroimaging techniques.&lt;/p&gt;","container-title":"Frontiers in Neurology","DOI":"10.3389/fneur.2019.00869","ISSN":"1664-2295","journalAbbreviation":"Front. Neurol.","language":"English","note":"publisher: Frontiers","source":"Frontiers","title":"Applications of Deep Learning to Neuro-Imaging Techniques","URL":"https://www.frontiersin.org/journals/neurology/articles/10.3389/fneur.2019.00869/full","volume":"10","author":[{"family":"Zhu","given":"Guangming"},{"family":"Jiang","given":"Bin"},{"family":"Tong","given":"Liz"},{"family":"Xie","given":"Yuan"},{"family":"Zaharchuk","given":"Greg"},{"family":"Wintermark","given":"Max"}],"accessed":{"date-parts":[["2025",2,5]]},"issued":{"date-parts":[["2019",8,14]]}},"suppress-author":true}],"schema":"https://github.com/citation-style-language/schema/raw/master/csl-citation.json"} </w:instrText>
      </w:r>
      <w:r w:rsidRPr="00A831E7">
        <w:rPr>
          <w:rFonts w:eastAsia="Calibri"/>
        </w:rPr>
        <w:fldChar w:fldCharType="separate"/>
      </w:r>
      <w:r w:rsidRPr="00A831E7">
        <w:rPr>
          <w:rFonts w:eastAsia="Calibri"/>
        </w:rPr>
        <w:t>[23]</w:t>
      </w:r>
      <w:r w:rsidRPr="00A831E7">
        <w:rPr>
          <w:rFonts w:eastAsia="Calibri"/>
        </w:rPr>
        <w:fldChar w:fldCharType="end"/>
      </w:r>
      <w:r w:rsidRPr="00A831E7">
        <w:rPr>
          <w:rFonts w:eastAsia="Calibri"/>
        </w:rPr>
        <w:t>. Ωστόσο, αποτελεί γενικό όρο που περιλαμβάνει μια σειρά τεχνικών ποικίλης πολυπλοκότητας που μπορούν να χρησιμοποιηθούν για την επίλυση διαφορετικών προβλημάτων. Ένα αξιοσημείωτο υποπεδίο της τεχνητής νοημοσύνης</w:t>
      </w:r>
      <w:r w:rsidR="00DD6A2E">
        <w:rPr>
          <w:rFonts w:eastAsia="Calibri"/>
        </w:rPr>
        <w:t>,</w:t>
      </w:r>
      <w:r w:rsidRPr="00A831E7">
        <w:rPr>
          <w:rFonts w:eastAsia="Calibri"/>
        </w:rPr>
        <w:t xml:space="preserve"> που έχει αποκτήσει σημαντικό ενδιαφέρον πρόσφατα</w:t>
      </w:r>
      <w:r w:rsidR="00DD6A2E">
        <w:rPr>
          <w:rFonts w:eastAsia="Calibri"/>
        </w:rPr>
        <w:t>,</w:t>
      </w:r>
      <w:r w:rsidRPr="00A831E7">
        <w:rPr>
          <w:rFonts w:eastAsia="Calibri"/>
        </w:rPr>
        <w:t xml:space="preserve"> είναι η μηχανική μάθηση (ML), συμπεριλαμβανομένων προηγμένων μεθόδων βαθιάς μάθησης (Deep Learning</w:t>
      </w:r>
      <w:r w:rsidR="00483326" w:rsidRPr="00A831E7">
        <w:rPr>
          <w:rFonts w:eastAsia="Calibri"/>
        </w:rPr>
        <w:t>,</w:t>
      </w:r>
      <w:r w:rsidRPr="00A831E7">
        <w:rPr>
          <w:rFonts w:eastAsia="Calibri"/>
        </w:rPr>
        <w:t xml:space="preserve"> DL)</w:t>
      </w:r>
      <w:r w:rsidR="00463617" w:rsidRPr="00A831E7">
        <w:rPr>
          <w:rFonts w:eastAsia="Calibri"/>
        </w:rPr>
        <w:t xml:space="preserve"> </w:t>
      </w:r>
      <w:r w:rsidR="00463617" w:rsidRPr="00A831E7">
        <w:rPr>
          <w:rFonts w:eastAsia="Calibri"/>
        </w:rPr>
        <w:fldChar w:fldCharType="begin"/>
      </w:r>
      <w:r w:rsidR="00463617" w:rsidRPr="00A831E7">
        <w:rPr>
          <w:rFonts w:eastAsia="Calibri"/>
        </w:rPr>
        <w:instrText xml:space="preserve"> ADDIN ZOTERO_ITEM CSL_CITATION {"citationID":"BHFqZjjM","properties":{"formattedCitation":"[24]","plainCitation":"[24]","noteIndex":0},"citationItems":[{"id":1257,"uris":["http://zotero.org/users/local/mfHf28QG/items/GDF65J35"],"itemData":{"id":1257,"type":"webpage","title":"Deep Learning in Neuroradiology | American Journal of Neuroradiology","URL":"https://www.ajnr.org/content/39/10/1776","accessed":{"date-parts":[["2025",2,5]]}},"suppress-author":true}],"schema":"https://github.com/citation-style-language/schema/raw/master/csl-citation.json"} </w:instrText>
      </w:r>
      <w:r w:rsidR="00463617" w:rsidRPr="00A831E7">
        <w:rPr>
          <w:rFonts w:eastAsia="Calibri"/>
        </w:rPr>
        <w:fldChar w:fldCharType="separate"/>
      </w:r>
      <w:r w:rsidR="00463617" w:rsidRPr="00A831E7">
        <w:rPr>
          <w:rFonts w:eastAsia="Calibri"/>
        </w:rPr>
        <w:t>[24]</w:t>
      </w:r>
      <w:r w:rsidR="00463617" w:rsidRPr="00A831E7">
        <w:rPr>
          <w:rFonts w:eastAsia="Calibri"/>
        </w:rPr>
        <w:fldChar w:fldCharType="end"/>
      </w:r>
      <w:r w:rsidRPr="00A831E7">
        <w:rPr>
          <w:rFonts w:eastAsia="Calibri"/>
        </w:rPr>
        <w:t>. Η μηχανική μάθηση</w:t>
      </w:r>
      <w:r w:rsidR="00830357" w:rsidRPr="00A831E7">
        <w:rPr>
          <w:rFonts w:eastAsia="Calibri"/>
        </w:rPr>
        <w:t xml:space="preserve"> </w:t>
      </w:r>
      <w:r w:rsidRPr="00A831E7">
        <w:rPr>
          <w:rFonts w:eastAsia="Calibri"/>
        </w:rPr>
        <w:t xml:space="preserve">στοχεύει στον αυτόματο εντοπισμό πολύπλοκων </w:t>
      </w:r>
      <w:r w:rsidR="00463617" w:rsidRPr="00A831E7">
        <w:rPr>
          <w:rFonts w:eastAsia="Calibri"/>
        </w:rPr>
        <w:t>μοτίβων</w:t>
      </w:r>
      <w:r w:rsidRPr="00A831E7">
        <w:rPr>
          <w:rFonts w:eastAsia="Calibri"/>
        </w:rPr>
        <w:t xml:space="preserve"> υψηλών διαστάσεων σε υπάρχοντ</w:t>
      </w:r>
      <w:r w:rsidR="00463617" w:rsidRPr="00A831E7">
        <w:rPr>
          <w:rFonts w:eastAsia="Calibri"/>
        </w:rPr>
        <w:t>α</w:t>
      </w:r>
      <w:r w:rsidRPr="00A831E7">
        <w:rPr>
          <w:rFonts w:eastAsia="Calibri"/>
        </w:rPr>
        <w:t xml:space="preserve"> σύνολα δεδομένων, τα οποία μπορούν στη συνέχεια να χρησιμοποιηθούν για </w:t>
      </w:r>
      <w:r w:rsidR="00463617" w:rsidRPr="00A831E7">
        <w:rPr>
          <w:rFonts w:eastAsia="Calibri"/>
        </w:rPr>
        <w:t>προβλέψεις</w:t>
      </w:r>
      <w:r w:rsidRPr="00A831E7">
        <w:rPr>
          <w:rFonts w:eastAsia="Calibri"/>
        </w:rPr>
        <w:t xml:space="preserve"> ή ταξινομήσ</w:t>
      </w:r>
      <w:r w:rsidR="00463617" w:rsidRPr="00A831E7">
        <w:rPr>
          <w:rFonts w:eastAsia="Calibri"/>
        </w:rPr>
        <w:t>εις</w:t>
      </w:r>
      <w:r w:rsidRPr="00A831E7">
        <w:rPr>
          <w:rFonts w:eastAsia="Calibri"/>
        </w:rPr>
        <w:t xml:space="preserve"> με βάση νέα </w:t>
      </w:r>
      <w:r w:rsidR="00463617" w:rsidRPr="00A831E7">
        <w:rPr>
          <w:rFonts w:eastAsia="Calibri"/>
        </w:rPr>
        <w:t>«</w:t>
      </w:r>
      <w:r w:rsidRPr="00A831E7">
        <w:rPr>
          <w:rFonts w:eastAsia="Calibri"/>
        </w:rPr>
        <w:t>αόρατα</w:t>
      </w:r>
      <w:r w:rsidR="00463617" w:rsidRPr="00A831E7">
        <w:rPr>
          <w:rFonts w:eastAsia="Calibri"/>
        </w:rPr>
        <w:t>»</w:t>
      </w:r>
      <w:r w:rsidRPr="00A831E7">
        <w:rPr>
          <w:rFonts w:eastAsia="Calibri"/>
        </w:rPr>
        <w:t xml:space="preserve"> σύνολα δεδομένων</w:t>
      </w:r>
      <w:r w:rsidR="00463617" w:rsidRPr="00A831E7">
        <w:rPr>
          <w:rFonts w:eastAsia="Calibri"/>
        </w:rPr>
        <w:t xml:space="preserve"> που προκύπτουν</w:t>
      </w:r>
      <w:r w:rsidRPr="00A831E7">
        <w:rPr>
          <w:rFonts w:eastAsia="Calibri"/>
        </w:rPr>
        <w:t>.</w:t>
      </w:r>
      <w:r w:rsidR="00463617" w:rsidRPr="00A831E7">
        <w:rPr>
          <w:rFonts w:eastAsia="Calibri"/>
        </w:rPr>
        <w:t xml:space="preserve"> </w:t>
      </w:r>
    </w:p>
    <w:p w14:paraId="63429562" w14:textId="77777777" w:rsidR="00EE0F79" w:rsidRPr="00A831E7" w:rsidRDefault="00EE0F79" w:rsidP="0057069D">
      <w:pPr>
        <w:spacing w:line="360" w:lineRule="auto"/>
        <w:ind w:firstLine="720"/>
        <w:jc w:val="both"/>
        <w:rPr>
          <w:rFonts w:eastAsia="Calibri"/>
        </w:rPr>
      </w:pPr>
    </w:p>
    <w:p w14:paraId="150CE7E7" w14:textId="2D5E90DB" w:rsidR="0057069D" w:rsidRPr="008F5904" w:rsidRDefault="006338E3" w:rsidP="008F5904">
      <w:pPr>
        <w:pStyle w:val="3"/>
      </w:pPr>
      <w:bookmarkStart w:id="44" w:name="_Toc199787386"/>
      <w:bookmarkStart w:id="45" w:name="_Toc199946455"/>
      <w:r w:rsidRPr="008F5904">
        <w:lastRenderedPageBreak/>
        <w:t>1.5.1 Κατηγορίες Μηχανικής Μάθησης</w:t>
      </w:r>
      <w:bookmarkEnd w:id="44"/>
      <w:bookmarkEnd w:id="45"/>
    </w:p>
    <w:p w14:paraId="75CF2B52" w14:textId="16945F7F" w:rsidR="006338E3" w:rsidRPr="00A831E7" w:rsidRDefault="006338E3" w:rsidP="0057069D">
      <w:pPr>
        <w:spacing w:line="360" w:lineRule="auto"/>
        <w:ind w:firstLine="720"/>
        <w:rPr>
          <w:rFonts w:eastAsia="Calibri"/>
          <w:b/>
          <w:bCs/>
          <w:i/>
          <w:iCs/>
        </w:rPr>
      </w:pPr>
      <w:r w:rsidRPr="00A831E7">
        <w:t xml:space="preserve">Η μηχανική μάθηση μπορεί να υποδιαιρεθεί περαιτέρω σε </w:t>
      </w:r>
      <w:bookmarkStart w:id="46" w:name="_Hlk199842512"/>
      <w:r w:rsidR="001C4B0E">
        <w:t>επιβλεπόμενη</w:t>
      </w:r>
      <w:bookmarkEnd w:id="46"/>
      <w:r w:rsidRPr="00A831E7">
        <w:t>, μη επ</w:t>
      </w:r>
      <w:r w:rsidR="001C4B0E">
        <w:t>ιβλεπόμενη</w:t>
      </w:r>
      <w:r w:rsidRPr="00A831E7">
        <w:t>, ημι-επ</w:t>
      </w:r>
      <w:r w:rsidR="001C4B0E">
        <w:t>ιβλεπόμενη</w:t>
      </w:r>
      <w:r w:rsidRPr="00A831E7">
        <w:t xml:space="preserve"> καθώς και ενισχυτική μηχανική μάθηση. </w:t>
      </w:r>
    </w:p>
    <w:p w14:paraId="6BC7CC51" w14:textId="77777777" w:rsidR="006338E3" w:rsidRPr="00A831E7" w:rsidRDefault="006338E3" w:rsidP="0057069D">
      <w:pPr>
        <w:spacing w:line="360" w:lineRule="auto"/>
        <w:rPr>
          <w:rFonts w:eastAsia="Calibri"/>
        </w:rPr>
      </w:pPr>
    </w:p>
    <w:p w14:paraId="1BFFA883" w14:textId="3AADE6DF" w:rsidR="005E7624" w:rsidRPr="00A831E7" w:rsidRDefault="00B634AD" w:rsidP="0057069D">
      <w:pPr>
        <w:pStyle w:val="4"/>
        <w:spacing w:line="360" w:lineRule="auto"/>
        <w:rPr>
          <w:rFonts w:eastAsia="Calibri"/>
          <w:b w:val="0"/>
          <w:bCs/>
        </w:rPr>
      </w:pPr>
      <w:r w:rsidRPr="00A831E7">
        <w:rPr>
          <w:rFonts w:eastAsia="Calibri"/>
          <w:bCs/>
        </w:rPr>
        <w:t>Επ</w:t>
      </w:r>
      <w:r w:rsidR="001C4B0E">
        <w:rPr>
          <w:rFonts w:eastAsia="Calibri"/>
          <w:bCs/>
        </w:rPr>
        <w:t>ιβλεπόμενη</w:t>
      </w:r>
      <w:r w:rsidRPr="00A831E7">
        <w:rPr>
          <w:rFonts w:eastAsia="Calibri"/>
          <w:bCs/>
        </w:rPr>
        <w:t xml:space="preserve"> Μηχανική Μάθηση</w:t>
      </w:r>
    </w:p>
    <w:p w14:paraId="415C9F84" w14:textId="0CBF008A" w:rsidR="005E7624" w:rsidRPr="00A831E7" w:rsidRDefault="00830357" w:rsidP="0057069D">
      <w:pPr>
        <w:spacing w:line="360" w:lineRule="auto"/>
        <w:ind w:firstLine="720"/>
        <w:jc w:val="both"/>
        <w:rPr>
          <w:rFonts w:eastAsia="Calibri"/>
        </w:rPr>
      </w:pPr>
      <w:r w:rsidRPr="00A831E7">
        <w:rPr>
          <w:rFonts w:eastAsia="Calibri"/>
        </w:rPr>
        <w:t xml:space="preserve">Η </w:t>
      </w:r>
      <w:r w:rsidR="001C4B0E">
        <w:t>επιβλεπόμενη</w:t>
      </w:r>
      <w:r w:rsidR="00B634AD" w:rsidRPr="00A831E7">
        <w:rPr>
          <w:rFonts w:eastAsia="Calibri"/>
        </w:rPr>
        <w:t xml:space="preserve"> </w:t>
      </w:r>
      <w:r w:rsidR="005E7624" w:rsidRPr="00A831E7">
        <w:rPr>
          <w:rFonts w:eastAsia="Calibri"/>
        </w:rPr>
        <w:t>μ</w:t>
      </w:r>
      <w:r w:rsidR="00B634AD" w:rsidRPr="00A831E7">
        <w:rPr>
          <w:rFonts w:eastAsia="Calibri"/>
        </w:rPr>
        <w:t>ηχανική</w:t>
      </w:r>
      <w:r w:rsidRPr="00A831E7">
        <w:rPr>
          <w:rFonts w:eastAsia="Calibri"/>
        </w:rPr>
        <w:t xml:space="preserve"> </w:t>
      </w:r>
      <w:r w:rsidR="005E7624" w:rsidRPr="00A831E7">
        <w:rPr>
          <w:rFonts w:eastAsia="Calibri"/>
        </w:rPr>
        <w:t>μ</w:t>
      </w:r>
      <w:r w:rsidRPr="00A831E7">
        <w:rPr>
          <w:rFonts w:eastAsia="Calibri"/>
        </w:rPr>
        <w:t xml:space="preserve">άθηση χρησιμοποιεί μοτίβα </w:t>
      </w:r>
      <w:r w:rsidR="00B634AD" w:rsidRPr="00A831E7">
        <w:rPr>
          <w:rFonts w:eastAsia="Calibri"/>
        </w:rPr>
        <w:t>τα οποία δημιουργεί αξιοποιώντας ένα</w:t>
      </w:r>
      <w:r w:rsidRPr="00A831E7">
        <w:rPr>
          <w:rFonts w:eastAsia="Calibri"/>
        </w:rPr>
        <w:t xml:space="preserve"> σετ δεδομένων εκπαίδευσης</w:t>
      </w:r>
      <w:r w:rsidR="00B634AD" w:rsidRPr="00A831E7">
        <w:rPr>
          <w:rFonts w:eastAsia="Calibri"/>
        </w:rPr>
        <w:t>. Έπειτα</w:t>
      </w:r>
      <w:r w:rsidRPr="00A831E7">
        <w:rPr>
          <w:rFonts w:eastAsia="Calibri"/>
        </w:rPr>
        <w:t xml:space="preserve"> </w:t>
      </w:r>
      <w:r w:rsidR="00B634AD" w:rsidRPr="00A831E7">
        <w:rPr>
          <w:rFonts w:eastAsia="Calibri"/>
        </w:rPr>
        <w:t xml:space="preserve">τα αποδίδει σε χαρακτηριστικά </w:t>
      </w:r>
      <w:r w:rsidRPr="00A831E7">
        <w:rPr>
          <w:rFonts w:eastAsia="Calibri"/>
        </w:rPr>
        <w:t xml:space="preserve"> </w:t>
      </w:r>
      <w:r w:rsidR="00B634AD" w:rsidRPr="00A831E7">
        <w:rPr>
          <w:rFonts w:eastAsia="Calibri"/>
        </w:rPr>
        <w:t>του</w:t>
      </w:r>
      <w:r w:rsidRPr="00A831E7">
        <w:rPr>
          <w:rFonts w:eastAsia="Calibri"/>
        </w:rPr>
        <w:t xml:space="preserve"> στόχο</w:t>
      </w:r>
      <w:r w:rsidR="00B634AD" w:rsidRPr="00A831E7">
        <w:rPr>
          <w:rFonts w:eastAsia="Calibri"/>
        </w:rPr>
        <w:t>υ που έχουμε θέσει ώστε</w:t>
      </w:r>
      <w:r w:rsidRPr="00A831E7">
        <w:rPr>
          <w:rFonts w:eastAsia="Calibri"/>
        </w:rPr>
        <w:t xml:space="preserve"> ένας αλγόριθμος να μπορεί να κάνει προβλέψεις σε μελλοντικά σ</w:t>
      </w:r>
      <w:r w:rsidR="00B634AD" w:rsidRPr="00A831E7">
        <w:rPr>
          <w:rFonts w:eastAsia="Calibri"/>
        </w:rPr>
        <w:t>ετ</w:t>
      </w:r>
      <w:r w:rsidRPr="00A831E7">
        <w:rPr>
          <w:rFonts w:eastAsia="Calibri"/>
        </w:rPr>
        <w:t xml:space="preserve"> δεδομένων</w:t>
      </w:r>
      <w:r w:rsidR="00B634AD" w:rsidRPr="00A831E7">
        <w:rPr>
          <w:rFonts w:eastAsia="Calibri"/>
        </w:rPr>
        <w:t xml:space="preserve"> </w:t>
      </w:r>
      <w:r w:rsidR="00B634AD" w:rsidRPr="00A831E7">
        <w:rPr>
          <w:rFonts w:eastAsia="Calibri"/>
        </w:rPr>
        <w:fldChar w:fldCharType="begin"/>
      </w:r>
      <w:r w:rsidR="00B634AD" w:rsidRPr="00A831E7">
        <w:rPr>
          <w:rFonts w:eastAsia="Calibri"/>
        </w:rPr>
        <w:instrText xml:space="preserve"> ADDIN ZOTERO_ITEM CSL_CITATION {"citationID":"Js3d50ml","properties":{"formattedCitation":"[25]","plainCitation":"[25]","noteIndex":0},"citationItems":[{"id":1582,"uris":["http://zotero.org/users/local/mfHf28QG/items/IYYJNVYE"],"itemData":{"id":1582,"type":"article-journal","abstract":"Purpose\nTo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B634AD" w:rsidRPr="00A831E7">
        <w:rPr>
          <w:rFonts w:eastAsia="Calibri"/>
        </w:rPr>
        <w:fldChar w:fldCharType="separate"/>
      </w:r>
      <w:r w:rsidR="00B634AD" w:rsidRPr="00A831E7">
        <w:rPr>
          <w:rFonts w:eastAsia="Calibri"/>
        </w:rPr>
        <w:t>[25]</w:t>
      </w:r>
      <w:r w:rsidR="00B634AD" w:rsidRPr="00A831E7">
        <w:rPr>
          <w:rFonts w:eastAsia="Calibri"/>
        </w:rPr>
        <w:fldChar w:fldCharType="end"/>
      </w:r>
      <w:r w:rsidRPr="00A831E7">
        <w:rPr>
          <w:rFonts w:eastAsia="Calibri"/>
        </w:rPr>
        <w:t>.</w:t>
      </w:r>
      <w:r w:rsidR="00B634AD" w:rsidRPr="00A831E7">
        <w:rPr>
          <w:rFonts w:eastAsia="Calibri"/>
        </w:rPr>
        <w:t xml:space="preserve"> Ονομάζεται </w:t>
      </w:r>
      <w:r w:rsidR="001C4B0E">
        <w:t>επιβλεπόμενη</w:t>
      </w:r>
      <w:r w:rsidR="00B634AD" w:rsidRPr="00A831E7">
        <w:rPr>
          <w:rFonts w:eastAsia="Calibri"/>
        </w:rPr>
        <w:t xml:space="preserve"> επειδή</w:t>
      </w:r>
      <w:r w:rsidRPr="00A831E7">
        <w:rPr>
          <w:rFonts w:eastAsia="Calibri"/>
        </w:rPr>
        <w:t xml:space="preserve"> το μοντέλο συνάγει έναν αλγόριθμο από ζεύγη χαρακτηριστικών-στόχων και ενημερώνεται</w:t>
      </w:r>
      <w:r w:rsidR="00D85493" w:rsidRPr="00A831E7">
        <w:rPr>
          <w:rFonts w:eastAsia="Calibri"/>
        </w:rPr>
        <w:t xml:space="preserve"> </w:t>
      </w:r>
      <w:r w:rsidRPr="00A831E7">
        <w:rPr>
          <w:rFonts w:eastAsia="Calibri"/>
        </w:rPr>
        <w:t>από τον στόχο</w:t>
      </w:r>
      <w:r w:rsidR="00D85493" w:rsidRPr="00A831E7">
        <w:rPr>
          <w:rFonts w:eastAsia="Calibri"/>
        </w:rPr>
        <w:t>,</w:t>
      </w:r>
      <w:r w:rsidRPr="00A831E7">
        <w:rPr>
          <w:rFonts w:eastAsia="Calibri"/>
        </w:rPr>
        <w:t xml:space="preserve"> εάν έχει προβλέψει σωστά</w:t>
      </w:r>
      <w:r w:rsidR="00B634AD" w:rsidRPr="00A831E7">
        <w:rPr>
          <w:rFonts w:eastAsia="Calibri"/>
        </w:rPr>
        <w:t xml:space="preserve"> </w:t>
      </w:r>
      <w:r w:rsidR="00B634AD" w:rsidRPr="00A831E7">
        <w:rPr>
          <w:rFonts w:eastAsia="Calibri"/>
        </w:rPr>
        <w:fldChar w:fldCharType="begin"/>
      </w:r>
      <w:r w:rsidR="00B634AD" w:rsidRPr="00A831E7">
        <w:rPr>
          <w:rFonts w:eastAsia="Calibri"/>
        </w:rPr>
        <w:instrText xml:space="preserve"> ADDIN ZOTERO_ITEM CSL_CITATION {"citationID":"FcLyHoTj","properties":{"formattedCitation":"[25]","plainCitation":"[25]","noteIndex":0},"citationItems":[{"id":1582,"uris":["http://zotero.org/users/local/mfHf28QG/items/IYYJNVYE"],"itemData":{"id":1582,"type":"article-journal","abstract":"Purpose\nTo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B634AD" w:rsidRPr="00A831E7">
        <w:rPr>
          <w:rFonts w:eastAsia="Calibri"/>
        </w:rPr>
        <w:fldChar w:fldCharType="separate"/>
      </w:r>
      <w:r w:rsidR="00B634AD" w:rsidRPr="00A831E7">
        <w:rPr>
          <w:rFonts w:eastAsia="Calibri"/>
        </w:rPr>
        <w:t>[25]</w:t>
      </w:r>
      <w:r w:rsidR="00B634AD" w:rsidRPr="00A831E7">
        <w:rPr>
          <w:rFonts w:eastAsia="Calibri"/>
        </w:rPr>
        <w:fldChar w:fldCharType="end"/>
      </w:r>
      <w:r w:rsidRPr="00A831E7">
        <w:rPr>
          <w:rFonts w:eastAsia="Calibri"/>
        </w:rPr>
        <w:t>. Η απόδοση του αλγορίθμου αξιολογείται στο σ</w:t>
      </w:r>
      <w:r w:rsidR="00B634AD" w:rsidRPr="00A831E7">
        <w:rPr>
          <w:rFonts w:eastAsia="Calibri"/>
        </w:rPr>
        <w:t>ετ</w:t>
      </w:r>
      <w:r w:rsidRPr="00A831E7">
        <w:rPr>
          <w:rFonts w:eastAsia="Calibri"/>
        </w:rPr>
        <w:t xml:space="preserve"> δεδομένων </w:t>
      </w:r>
      <w:r w:rsidR="00B634AD" w:rsidRPr="00A831E7">
        <w:rPr>
          <w:rFonts w:eastAsia="Calibri"/>
        </w:rPr>
        <w:t xml:space="preserve"> δοκιμής</w:t>
      </w:r>
      <w:r w:rsidRPr="00A831E7">
        <w:rPr>
          <w:rFonts w:eastAsia="Calibri"/>
        </w:rPr>
        <w:t>, δεδομένα που ο αλγόριθμος δεν έχει δει ποτέ πριν</w:t>
      </w:r>
      <w:r w:rsidR="00B634AD" w:rsidRPr="00A831E7">
        <w:rPr>
          <w:rFonts w:eastAsia="Calibri"/>
        </w:rPr>
        <w:t xml:space="preserve"> </w:t>
      </w:r>
      <w:r w:rsidR="00B634AD" w:rsidRPr="00A831E7">
        <w:rPr>
          <w:rFonts w:eastAsia="Calibri"/>
        </w:rPr>
        <w:fldChar w:fldCharType="begin"/>
      </w:r>
      <w:r w:rsidR="00B634AD" w:rsidRPr="00A831E7">
        <w:rPr>
          <w:rFonts w:eastAsia="Calibri"/>
        </w:rPr>
        <w:instrText xml:space="preserve"> ADDIN ZOTERO_ITEM CSL_CITATION {"citationID":"VoV0jgBh","properties":{"formattedCitation":"[25]","plainCitation":"[25]","noteIndex":0},"citationItems":[{"id":1582,"uris":["http://zotero.org/users/local/mfHf28QG/items/IYYJNVYE"],"itemData":{"id":1582,"type":"article-journal","abstract":"Purpose\nTo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B634AD" w:rsidRPr="00A831E7">
        <w:rPr>
          <w:rFonts w:eastAsia="Calibri"/>
        </w:rPr>
        <w:fldChar w:fldCharType="separate"/>
      </w:r>
      <w:r w:rsidR="00B634AD" w:rsidRPr="00A831E7">
        <w:rPr>
          <w:rFonts w:eastAsia="Calibri"/>
        </w:rPr>
        <w:t>[25]</w:t>
      </w:r>
      <w:r w:rsidR="00B634AD" w:rsidRPr="00A831E7">
        <w:rPr>
          <w:rFonts w:eastAsia="Calibri"/>
        </w:rPr>
        <w:fldChar w:fldCharType="end"/>
      </w:r>
      <w:r w:rsidRPr="00A831E7">
        <w:rPr>
          <w:rFonts w:eastAsia="Calibri"/>
        </w:rPr>
        <w:t xml:space="preserve">. </w:t>
      </w:r>
    </w:p>
    <w:p w14:paraId="6A7F8663" w14:textId="072F8887" w:rsidR="005E7624" w:rsidRPr="00A831E7" w:rsidRDefault="00830357" w:rsidP="0057069D">
      <w:pPr>
        <w:spacing w:line="360" w:lineRule="auto"/>
        <w:ind w:firstLine="720"/>
        <w:jc w:val="both"/>
        <w:rPr>
          <w:rFonts w:eastAsia="Calibri"/>
        </w:rPr>
      </w:pPr>
      <w:r w:rsidRPr="00A831E7">
        <w:rPr>
          <w:rFonts w:eastAsia="Calibri"/>
        </w:rPr>
        <w:t xml:space="preserve">Τα βασικά βήματα </w:t>
      </w:r>
      <w:r w:rsidR="005E7624" w:rsidRPr="00A831E7">
        <w:rPr>
          <w:rFonts w:eastAsia="Calibri"/>
        </w:rPr>
        <w:t>σε εφαρμογές</w:t>
      </w:r>
      <w:r w:rsidRPr="00A831E7">
        <w:rPr>
          <w:rFonts w:eastAsia="Calibri"/>
        </w:rPr>
        <w:t xml:space="preserve"> </w:t>
      </w:r>
      <w:r w:rsidR="001C4B0E">
        <w:t>επιβλεπόμενης</w:t>
      </w:r>
      <w:r w:rsidRPr="00A831E7">
        <w:rPr>
          <w:rFonts w:eastAsia="Calibri"/>
        </w:rPr>
        <w:t xml:space="preserve"> </w:t>
      </w:r>
      <w:r w:rsidR="005E7624" w:rsidRPr="00A831E7">
        <w:rPr>
          <w:rFonts w:eastAsia="Calibri"/>
        </w:rPr>
        <w:t>μ</w:t>
      </w:r>
      <w:r w:rsidRPr="00A831E7">
        <w:rPr>
          <w:rFonts w:eastAsia="Calibri"/>
        </w:rPr>
        <w:t xml:space="preserve">ηχανικής </w:t>
      </w:r>
      <w:r w:rsidR="005E7624" w:rsidRPr="00A831E7">
        <w:rPr>
          <w:rFonts w:eastAsia="Calibri"/>
        </w:rPr>
        <w:t>μ</w:t>
      </w:r>
      <w:r w:rsidRPr="00A831E7">
        <w:rPr>
          <w:rFonts w:eastAsia="Calibri"/>
        </w:rPr>
        <w:t xml:space="preserve">άθησης είναι </w:t>
      </w:r>
      <w:r w:rsidR="005E7624" w:rsidRPr="00A831E7">
        <w:rPr>
          <w:rFonts w:eastAsia="Calibri"/>
        </w:rPr>
        <w:t>:</w:t>
      </w:r>
    </w:p>
    <w:p w14:paraId="4C08431F" w14:textId="45AEAE2F" w:rsidR="005E7624" w:rsidRPr="00A831E7" w:rsidRDefault="005E7624" w:rsidP="0057069D">
      <w:pPr>
        <w:pStyle w:val="a6"/>
        <w:numPr>
          <w:ilvl w:val="0"/>
          <w:numId w:val="9"/>
        </w:numPr>
        <w:tabs>
          <w:tab w:val="left" w:pos="450"/>
        </w:tabs>
        <w:spacing w:line="360" w:lineRule="auto"/>
        <w:ind w:left="450" w:hanging="450"/>
        <w:jc w:val="both"/>
        <w:rPr>
          <w:rFonts w:eastAsia="Calibri"/>
        </w:rPr>
      </w:pPr>
      <w:r w:rsidRPr="00A831E7">
        <w:rPr>
          <w:rFonts w:eastAsia="Calibri"/>
        </w:rPr>
        <w:t xml:space="preserve">Εύρεση </w:t>
      </w:r>
      <w:r w:rsidR="00830357" w:rsidRPr="00A831E7">
        <w:rPr>
          <w:rFonts w:eastAsia="Calibri"/>
        </w:rPr>
        <w:t xml:space="preserve">ενός συνόλου δεδομένων και διαίρεσή </w:t>
      </w:r>
      <w:r w:rsidRPr="00A831E7">
        <w:rPr>
          <w:rFonts w:eastAsia="Calibri"/>
        </w:rPr>
        <w:t>αυτού</w:t>
      </w:r>
      <w:r w:rsidR="00830357" w:rsidRPr="00A831E7">
        <w:rPr>
          <w:rFonts w:eastAsia="Calibri"/>
        </w:rPr>
        <w:t xml:space="preserve"> σε </w:t>
      </w:r>
      <w:r w:rsidRPr="00A831E7">
        <w:rPr>
          <w:rFonts w:eastAsia="Calibri"/>
        </w:rPr>
        <w:t xml:space="preserve">τρία σετ. Σετ </w:t>
      </w:r>
      <w:r w:rsidR="00830357" w:rsidRPr="00A831E7">
        <w:rPr>
          <w:rFonts w:eastAsia="Calibri"/>
        </w:rPr>
        <w:t xml:space="preserve">δεδομένων εκπαίδευσης, επικύρωσης και δοκιμής. </w:t>
      </w:r>
    </w:p>
    <w:p w14:paraId="4DDCCF49" w14:textId="0A42F49C" w:rsidR="005E7624" w:rsidRPr="00A831E7" w:rsidRDefault="005E7624" w:rsidP="0057069D">
      <w:pPr>
        <w:pStyle w:val="a6"/>
        <w:numPr>
          <w:ilvl w:val="0"/>
          <w:numId w:val="9"/>
        </w:numPr>
        <w:tabs>
          <w:tab w:val="left" w:pos="450"/>
        </w:tabs>
        <w:spacing w:line="360" w:lineRule="auto"/>
        <w:ind w:left="450" w:hanging="450"/>
        <w:jc w:val="both"/>
        <w:rPr>
          <w:rFonts w:eastAsia="Calibri"/>
        </w:rPr>
      </w:pPr>
      <w:r w:rsidRPr="00A831E7">
        <w:rPr>
          <w:rFonts w:eastAsia="Calibri"/>
        </w:rPr>
        <w:t>Ε</w:t>
      </w:r>
      <w:r w:rsidR="00830357" w:rsidRPr="00A831E7">
        <w:rPr>
          <w:rFonts w:eastAsia="Calibri"/>
        </w:rPr>
        <w:t>νημ</w:t>
      </w:r>
      <w:r w:rsidRPr="00A831E7">
        <w:rPr>
          <w:rFonts w:eastAsia="Calibri"/>
        </w:rPr>
        <w:t>έρωση και εκπαίδευση</w:t>
      </w:r>
      <w:r w:rsidR="00830357" w:rsidRPr="00A831E7">
        <w:rPr>
          <w:rFonts w:eastAsia="Calibri"/>
        </w:rPr>
        <w:t xml:space="preserve"> </w:t>
      </w:r>
      <w:r w:rsidRPr="00A831E7">
        <w:rPr>
          <w:rFonts w:eastAsia="Calibri"/>
        </w:rPr>
        <w:t>ε</w:t>
      </w:r>
      <w:r w:rsidR="00830357" w:rsidRPr="00A831E7">
        <w:rPr>
          <w:rFonts w:eastAsia="Calibri"/>
        </w:rPr>
        <w:t>ν</w:t>
      </w:r>
      <w:r w:rsidRPr="00A831E7">
        <w:rPr>
          <w:rFonts w:eastAsia="Calibri"/>
        </w:rPr>
        <w:t>ός</w:t>
      </w:r>
      <w:r w:rsidR="00830357" w:rsidRPr="00A831E7">
        <w:rPr>
          <w:rFonts w:eastAsia="Calibri"/>
        </w:rPr>
        <w:t xml:space="preserve"> μοντέλο</w:t>
      </w:r>
      <w:r w:rsidRPr="00A831E7">
        <w:rPr>
          <w:rFonts w:eastAsia="Calibri"/>
        </w:rPr>
        <w:t>υ</w:t>
      </w:r>
      <w:r w:rsidR="00830357" w:rsidRPr="00A831E7">
        <w:rPr>
          <w:rFonts w:eastAsia="Calibri"/>
        </w:rPr>
        <w:t xml:space="preserve"> </w:t>
      </w:r>
      <w:r w:rsidRPr="00A831E7">
        <w:rPr>
          <w:rFonts w:eastAsia="Calibri"/>
        </w:rPr>
        <w:t xml:space="preserve">ώστε να αναγνωρίζει τη </w:t>
      </w:r>
      <w:r w:rsidR="00830357" w:rsidRPr="00A831E7">
        <w:rPr>
          <w:rFonts w:eastAsia="Calibri"/>
        </w:rPr>
        <w:t>σχέση μεταξύ χαρακτηριστικών και στόχου</w:t>
      </w:r>
      <w:r w:rsidRPr="00A831E7">
        <w:rPr>
          <w:rFonts w:eastAsia="Calibri"/>
        </w:rPr>
        <w:t xml:space="preserve"> με τη χρήση των σετ δεδομένων εκπαίδευσης και επικύρωση</w:t>
      </w:r>
      <w:r w:rsidR="002E4784">
        <w:rPr>
          <w:rFonts w:eastAsia="Calibri"/>
        </w:rPr>
        <w:t>ς</w:t>
      </w:r>
      <w:r w:rsidRPr="00A831E7">
        <w:rPr>
          <w:rFonts w:eastAsia="Calibri"/>
        </w:rPr>
        <w:t>.</w:t>
      </w:r>
      <w:r w:rsidR="00830357" w:rsidRPr="00A831E7">
        <w:rPr>
          <w:rFonts w:eastAsia="Calibri"/>
        </w:rPr>
        <w:t xml:space="preserve"> </w:t>
      </w:r>
    </w:p>
    <w:p w14:paraId="6D82E87E" w14:textId="767CC6A4" w:rsidR="005E7624" w:rsidRPr="00A831E7" w:rsidRDefault="00830357" w:rsidP="0057069D">
      <w:pPr>
        <w:pStyle w:val="a6"/>
        <w:numPr>
          <w:ilvl w:val="0"/>
          <w:numId w:val="9"/>
        </w:numPr>
        <w:tabs>
          <w:tab w:val="left" w:pos="360"/>
        </w:tabs>
        <w:spacing w:line="360" w:lineRule="auto"/>
        <w:ind w:left="450" w:hanging="450"/>
        <w:jc w:val="both"/>
        <w:rPr>
          <w:rFonts w:eastAsia="Calibri"/>
        </w:rPr>
      </w:pPr>
      <w:r w:rsidRPr="00A831E7">
        <w:rPr>
          <w:rFonts w:eastAsia="Calibri"/>
        </w:rPr>
        <w:t xml:space="preserve"> </w:t>
      </w:r>
      <w:r w:rsidR="005E7624" w:rsidRPr="00A831E7">
        <w:rPr>
          <w:rFonts w:eastAsia="Calibri"/>
        </w:rPr>
        <w:t>Αξιολόγηση</w:t>
      </w:r>
      <w:r w:rsidRPr="00A831E7">
        <w:rPr>
          <w:rFonts w:eastAsia="Calibri"/>
        </w:rPr>
        <w:t xml:space="preserve"> το</w:t>
      </w:r>
      <w:r w:rsidR="005E7624" w:rsidRPr="00A831E7">
        <w:rPr>
          <w:rFonts w:eastAsia="Calibri"/>
        </w:rPr>
        <w:t>υ</w:t>
      </w:r>
      <w:r w:rsidRPr="00A831E7">
        <w:rPr>
          <w:rFonts w:eastAsia="Calibri"/>
        </w:rPr>
        <w:t xml:space="preserve"> μοντέλο</w:t>
      </w:r>
      <w:r w:rsidR="005E7624" w:rsidRPr="00A831E7">
        <w:rPr>
          <w:rFonts w:eastAsia="Calibri"/>
        </w:rPr>
        <w:t>υ</w:t>
      </w:r>
      <w:r w:rsidRPr="00A831E7">
        <w:rPr>
          <w:rFonts w:eastAsia="Calibri"/>
        </w:rPr>
        <w:t xml:space="preserve"> </w:t>
      </w:r>
      <w:r w:rsidR="005E7624" w:rsidRPr="00A831E7">
        <w:rPr>
          <w:rFonts w:eastAsia="Calibri"/>
        </w:rPr>
        <w:t xml:space="preserve">με χρήση του σετ δεδομένων </w:t>
      </w:r>
      <w:r w:rsidRPr="00A831E7">
        <w:rPr>
          <w:rFonts w:eastAsia="Calibri"/>
        </w:rPr>
        <w:t xml:space="preserve">δοκιμής </w:t>
      </w:r>
      <w:r w:rsidR="005E7624" w:rsidRPr="00A831E7">
        <w:rPr>
          <w:rFonts w:eastAsia="Calibri"/>
        </w:rPr>
        <w:t xml:space="preserve">ώστε να </w:t>
      </w:r>
      <w:r w:rsidRPr="00A831E7">
        <w:rPr>
          <w:rFonts w:eastAsia="Calibri"/>
        </w:rPr>
        <w:t>προσδιορ</w:t>
      </w:r>
      <w:r w:rsidR="005E7624" w:rsidRPr="00A831E7">
        <w:rPr>
          <w:rFonts w:eastAsia="Calibri"/>
        </w:rPr>
        <w:t>ι</w:t>
      </w:r>
      <w:r w:rsidRPr="00A831E7">
        <w:rPr>
          <w:rFonts w:eastAsia="Calibri"/>
        </w:rPr>
        <w:t>στε</w:t>
      </w:r>
      <w:r w:rsidR="005E7624" w:rsidRPr="00A831E7">
        <w:rPr>
          <w:rFonts w:eastAsia="Calibri"/>
        </w:rPr>
        <w:t>ί</w:t>
      </w:r>
      <w:r w:rsidRPr="00A831E7">
        <w:rPr>
          <w:rFonts w:eastAsia="Calibri"/>
        </w:rPr>
        <w:t xml:space="preserve"> </w:t>
      </w:r>
      <w:r w:rsidR="00E05210" w:rsidRPr="00A831E7">
        <w:rPr>
          <w:rFonts w:eastAsia="Calibri"/>
        </w:rPr>
        <w:t>η</w:t>
      </w:r>
      <w:r w:rsidR="005E7624" w:rsidRPr="00A831E7">
        <w:rPr>
          <w:rFonts w:eastAsia="Calibri"/>
        </w:rPr>
        <w:t xml:space="preserve"> ικανότητα πρόβλεψης του αλγορίθμου </w:t>
      </w:r>
      <w:r w:rsidR="005E7624" w:rsidRPr="00A831E7">
        <w:rPr>
          <w:rFonts w:eastAsia="Calibri"/>
        </w:rPr>
        <w:fldChar w:fldCharType="begin"/>
      </w:r>
      <w:r w:rsidR="005E7624" w:rsidRPr="00A831E7">
        <w:rPr>
          <w:rFonts w:eastAsia="Calibri"/>
        </w:rPr>
        <w:instrText xml:space="preserve"> ADDIN ZOTERO_ITEM CSL_CITATION {"citationID":"xlF8FwIM","properties":{"formattedCitation":"[25]","plainCitation":"[25]","noteIndex":0},"citationItems":[{"id":1582,"uris":["http://zotero.org/users/local/mfHf28QG/items/IYYJNVYE"],"itemData":{"id":1582,"type":"article-journal","abstract":"Purpose\nTo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5E7624" w:rsidRPr="00A831E7">
        <w:rPr>
          <w:rFonts w:eastAsia="Calibri"/>
        </w:rPr>
        <w:fldChar w:fldCharType="separate"/>
      </w:r>
      <w:r w:rsidR="005E7624" w:rsidRPr="00A831E7">
        <w:rPr>
          <w:rFonts w:eastAsia="Calibri"/>
        </w:rPr>
        <w:t>[25]</w:t>
      </w:r>
      <w:r w:rsidR="005E7624" w:rsidRPr="00A831E7">
        <w:rPr>
          <w:rFonts w:eastAsia="Calibri"/>
        </w:rPr>
        <w:fldChar w:fldCharType="end"/>
      </w:r>
      <w:r w:rsidRPr="00A831E7">
        <w:rPr>
          <w:rFonts w:eastAsia="Calibri"/>
        </w:rPr>
        <w:t>.</w:t>
      </w:r>
      <w:r w:rsidR="005E7624" w:rsidRPr="00A831E7">
        <w:rPr>
          <w:rFonts w:eastAsia="Calibri"/>
        </w:rPr>
        <w:t xml:space="preserve"> </w:t>
      </w:r>
      <w:r w:rsidRPr="00A831E7">
        <w:rPr>
          <w:rFonts w:eastAsia="Calibri"/>
        </w:rPr>
        <w:t xml:space="preserve"> </w:t>
      </w:r>
    </w:p>
    <w:p w14:paraId="6E54591F" w14:textId="6CBAC0AE" w:rsidR="00673F94" w:rsidRPr="00A831E7" w:rsidRDefault="00830357" w:rsidP="0057069D">
      <w:pPr>
        <w:tabs>
          <w:tab w:val="left" w:pos="360"/>
        </w:tabs>
        <w:spacing w:line="360" w:lineRule="auto"/>
        <w:jc w:val="both"/>
        <w:rPr>
          <w:rFonts w:eastAsia="Calibri"/>
        </w:rPr>
      </w:pPr>
      <w:r w:rsidRPr="00A831E7">
        <w:rPr>
          <w:rFonts w:eastAsia="Calibri"/>
        </w:rPr>
        <w:t xml:space="preserve">Σε κάθε επανάληψη, η απόδοση του αλγορίθμου </w:t>
      </w:r>
      <w:r w:rsidR="00673F94" w:rsidRPr="00A831E7">
        <w:rPr>
          <w:rFonts w:eastAsia="Calibri"/>
        </w:rPr>
        <w:t>με το σετ</w:t>
      </w:r>
      <w:r w:rsidRPr="00A831E7">
        <w:rPr>
          <w:rFonts w:eastAsia="Calibri"/>
        </w:rPr>
        <w:t xml:space="preserve"> δεδομέν</w:t>
      </w:r>
      <w:r w:rsidR="00673F94" w:rsidRPr="00A831E7">
        <w:rPr>
          <w:rFonts w:eastAsia="Calibri"/>
        </w:rPr>
        <w:t>ων</w:t>
      </w:r>
      <w:r w:rsidRPr="00A831E7">
        <w:rPr>
          <w:rFonts w:eastAsia="Calibri"/>
        </w:rPr>
        <w:t xml:space="preserve"> εκπαίδευσης συγκρίνεται με την απόδοση στο σ</w:t>
      </w:r>
      <w:r w:rsidR="00673F94" w:rsidRPr="00A831E7">
        <w:rPr>
          <w:rFonts w:eastAsia="Calibri"/>
        </w:rPr>
        <w:t xml:space="preserve">ετ των </w:t>
      </w:r>
      <w:r w:rsidRPr="00A831E7">
        <w:rPr>
          <w:rFonts w:eastAsia="Calibri"/>
        </w:rPr>
        <w:t>δεδομένων επικύρωσης</w:t>
      </w:r>
      <w:r w:rsidR="00673F94" w:rsidRPr="00A831E7">
        <w:rPr>
          <w:rFonts w:eastAsia="Calibri"/>
        </w:rPr>
        <w:t xml:space="preserve"> </w:t>
      </w:r>
      <w:r w:rsidR="00673F94" w:rsidRPr="00A831E7">
        <w:rPr>
          <w:rFonts w:eastAsia="Calibri"/>
        </w:rPr>
        <w:fldChar w:fldCharType="begin"/>
      </w:r>
      <w:r w:rsidR="00673F94" w:rsidRPr="00A831E7">
        <w:rPr>
          <w:rFonts w:eastAsia="Calibri"/>
        </w:rPr>
        <w:instrText xml:space="preserve"> ADDIN ZOTERO_ITEM CSL_CITATION {"citationID":"PR810oJm","properties":{"formattedCitation":"[25]","plainCitation":"[25]","noteIndex":0},"citationItems":[{"id":1582,"uris":["http://zotero.org/users/local/mfHf28QG/items/IYYJNVYE"],"itemData":{"id":1582,"type":"article-journal","abstract":"Purpose\nTo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673F94" w:rsidRPr="00A831E7">
        <w:rPr>
          <w:rFonts w:eastAsia="Calibri"/>
        </w:rPr>
        <w:fldChar w:fldCharType="separate"/>
      </w:r>
      <w:r w:rsidR="00673F94" w:rsidRPr="00A831E7">
        <w:rPr>
          <w:rFonts w:eastAsia="Calibri"/>
        </w:rPr>
        <w:t>[25]</w:t>
      </w:r>
      <w:r w:rsidR="00673F94" w:rsidRPr="00A831E7">
        <w:rPr>
          <w:rFonts w:eastAsia="Calibri"/>
        </w:rPr>
        <w:fldChar w:fldCharType="end"/>
      </w:r>
      <w:r w:rsidRPr="00A831E7">
        <w:rPr>
          <w:rFonts w:eastAsia="Calibri"/>
        </w:rPr>
        <w:t>. Με αυτόν τον τρόπο, ο αλγόριθμος συντονίζεται από το σ</w:t>
      </w:r>
      <w:r w:rsidR="00673F94" w:rsidRPr="00A831E7">
        <w:rPr>
          <w:rFonts w:eastAsia="Calibri"/>
        </w:rPr>
        <w:t>ετ δεδομένων</w:t>
      </w:r>
      <w:r w:rsidRPr="00A831E7">
        <w:rPr>
          <w:rFonts w:eastAsia="Calibri"/>
        </w:rPr>
        <w:t xml:space="preserve"> επικύρωσης</w:t>
      </w:r>
      <w:r w:rsidR="00673F94" w:rsidRPr="00A831E7">
        <w:rPr>
          <w:rFonts w:eastAsia="Calibri"/>
        </w:rPr>
        <w:t xml:space="preserve"> </w:t>
      </w:r>
      <w:r w:rsidR="00673F94" w:rsidRPr="00A831E7">
        <w:rPr>
          <w:rFonts w:eastAsia="Calibri"/>
        </w:rPr>
        <w:fldChar w:fldCharType="begin"/>
      </w:r>
      <w:r w:rsidR="00673F94" w:rsidRPr="00A831E7">
        <w:rPr>
          <w:rFonts w:eastAsia="Calibri"/>
        </w:rPr>
        <w:instrText xml:space="preserve"> ADDIN ZOTERO_ITEM CSL_CITATION {"citationID":"fRyzJY6E","properties":{"formattedCitation":"[25]","plainCitation":"[25]","noteIndex":0},"citationItems":[{"id":1582,"uris":["http://zotero.org/users/local/mfHf28QG/items/IYYJNVYE"],"itemData":{"id":1582,"type":"article-journal","abstract":"Purpose\nTo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673F94" w:rsidRPr="00A831E7">
        <w:rPr>
          <w:rFonts w:eastAsia="Calibri"/>
        </w:rPr>
        <w:fldChar w:fldCharType="separate"/>
      </w:r>
      <w:r w:rsidR="00673F94" w:rsidRPr="00A831E7">
        <w:rPr>
          <w:rFonts w:eastAsia="Calibri"/>
        </w:rPr>
        <w:t>[25]</w:t>
      </w:r>
      <w:r w:rsidR="00673F94" w:rsidRPr="00A831E7">
        <w:rPr>
          <w:rFonts w:eastAsia="Calibri"/>
        </w:rPr>
        <w:fldChar w:fldCharType="end"/>
      </w:r>
      <w:r w:rsidRPr="00A831E7">
        <w:rPr>
          <w:rFonts w:eastAsia="Calibri"/>
        </w:rPr>
        <w:t>.</w:t>
      </w:r>
      <w:r w:rsidR="00023E78" w:rsidRPr="00A831E7">
        <w:rPr>
          <w:rFonts w:eastAsia="Calibri"/>
        </w:rPr>
        <w:t xml:space="preserve"> </w:t>
      </w:r>
    </w:p>
    <w:p w14:paraId="6A6DBB9E" w14:textId="48E56BCF" w:rsidR="006748F5" w:rsidRPr="00A831E7" w:rsidRDefault="006565D7" w:rsidP="0057069D">
      <w:pPr>
        <w:tabs>
          <w:tab w:val="left" w:pos="360"/>
        </w:tabs>
        <w:spacing w:line="360" w:lineRule="auto"/>
        <w:jc w:val="both"/>
        <w:rPr>
          <w:rFonts w:eastAsia="Calibri"/>
        </w:rPr>
      </w:pPr>
      <w:r w:rsidRPr="00A831E7">
        <w:rPr>
          <w:rFonts w:eastAsia="Calibri"/>
        </w:rPr>
        <w:tab/>
        <w:t xml:space="preserve">Ενώ και οι τέσσερις τύποι μηχανικής μάθησης μπορούν να είναι χρήσιμοι για συγκεκριμένες ιατρικές εφαρμογές, η </w:t>
      </w:r>
      <w:r w:rsidR="001C4B0E">
        <w:t>επιβλεπόμενη</w:t>
      </w:r>
      <w:r w:rsidRPr="00A831E7">
        <w:rPr>
          <w:rFonts w:eastAsia="Calibri"/>
        </w:rPr>
        <w:t xml:space="preserve"> μηχανική μάθηση είναι αναμφισβήτητα ο πιο σχετικός τύπος μηχανικής μάθησης στον τομέα της ιατρικής, ειδικά όσον αφορά εφαρμογές που απαιτούν υψηλή ακρίβεια </w:t>
      </w:r>
      <w:r w:rsidRPr="00A831E7">
        <w:rPr>
          <w:rFonts w:eastAsia="Calibri"/>
        </w:rPr>
        <w:fldChar w:fldCharType="begin"/>
      </w:r>
      <w:r w:rsidRPr="00A831E7">
        <w:rPr>
          <w:rFonts w:eastAsia="Calibri"/>
        </w:rPr>
        <w:instrText xml:space="preserve"> ADDIN ZOTERO_ITEM CSL_CITATION {"citationID":"gjimN3gj","properties":{"formattedCitation":"[26]","plainCitation":"[26]","noteIndex":0},"citationItems":[{"id":1211,"uris":["http://zotero.org/users/local/mfHf28QG/items/9FUW65EX"],"itemData":{"id":1211,"type":"article-journal","abstract":"Artificial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Pr="00A831E7">
        <w:rPr>
          <w:rFonts w:eastAsia="Calibri"/>
        </w:rPr>
        <w:fldChar w:fldCharType="separate"/>
      </w:r>
      <w:r w:rsidRPr="00A831E7">
        <w:rPr>
          <w:rFonts w:eastAsia="Calibri"/>
        </w:rPr>
        <w:t>[26]</w:t>
      </w:r>
      <w:r w:rsidRPr="00A831E7">
        <w:rPr>
          <w:rFonts w:eastAsia="Calibri"/>
        </w:rPr>
        <w:fldChar w:fldCharType="end"/>
      </w:r>
      <w:r w:rsidRPr="00A831E7">
        <w:rPr>
          <w:rFonts w:eastAsia="Calibri"/>
        </w:rPr>
        <w:t xml:space="preserve">. Οι πιο συχνές τεχνικές </w:t>
      </w:r>
      <w:r w:rsidR="001C4B0E">
        <w:t>επιβλεπόμενης</w:t>
      </w:r>
      <w:r w:rsidRPr="00A831E7">
        <w:rPr>
          <w:rFonts w:eastAsia="Calibri"/>
        </w:rPr>
        <w:t xml:space="preserve"> μηχανικής μάθησης είναι η παλινδρόμηση (regression) και η ταξινόμηση (classification).</w:t>
      </w:r>
    </w:p>
    <w:p w14:paraId="06EDA1B9" w14:textId="77777777" w:rsidR="006565D7" w:rsidRPr="00A831E7" w:rsidRDefault="006565D7" w:rsidP="0057069D">
      <w:pPr>
        <w:tabs>
          <w:tab w:val="left" w:pos="360"/>
        </w:tabs>
        <w:spacing w:line="360" w:lineRule="auto"/>
        <w:jc w:val="both"/>
        <w:rPr>
          <w:rFonts w:eastAsia="Calibri"/>
        </w:rPr>
      </w:pPr>
    </w:p>
    <w:p w14:paraId="4D2930C3" w14:textId="1CE68C7F" w:rsidR="00830357" w:rsidRPr="00A831E7" w:rsidRDefault="00673F94" w:rsidP="0057069D">
      <w:pPr>
        <w:pStyle w:val="4"/>
        <w:spacing w:line="360" w:lineRule="auto"/>
        <w:rPr>
          <w:rFonts w:eastAsia="Calibri"/>
          <w:b w:val="0"/>
          <w:bCs/>
        </w:rPr>
      </w:pPr>
      <w:r w:rsidRPr="00A831E7">
        <w:rPr>
          <w:rFonts w:eastAsia="Calibri"/>
          <w:bCs/>
        </w:rPr>
        <w:t>Μη</w:t>
      </w:r>
      <w:r w:rsidR="006748F5" w:rsidRPr="00A831E7">
        <w:rPr>
          <w:rFonts w:eastAsia="Calibri"/>
          <w:bCs/>
        </w:rPr>
        <w:t xml:space="preserve"> </w:t>
      </w:r>
      <w:r w:rsidR="00EE2267">
        <w:rPr>
          <w:rFonts w:eastAsia="Calibri"/>
          <w:bCs/>
        </w:rPr>
        <w:t>επιβλεπόμενη</w:t>
      </w:r>
      <w:r w:rsidRPr="00A831E7">
        <w:rPr>
          <w:rFonts w:eastAsia="Calibri"/>
          <w:bCs/>
        </w:rPr>
        <w:t xml:space="preserve"> Μηχανική Μάθηση</w:t>
      </w:r>
    </w:p>
    <w:p w14:paraId="12FED99C" w14:textId="401C2A4F" w:rsidR="00673F94" w:rsidRPr="00A831E7" w:rsidRDefault="00673F94" w:rsidP="0057069D">
      <w:pPr>
        <w:spacing w:line="360" w:lineRule="auto"/>
        <w:jc w:val="both"/>
        <w:rPr>
          <w:rFonts w:eastAsia="Calibri"/>
        </w:rPr>
      </w:pPr>
      <w:r w:rsidRPr="00A831E7">
        <w:rPr>
          <w:rFonts w:eastAsia="Calibri"/>
        </w:rPr>
        <w:tab/>
        <w:t xml:space="preserve">Η μη </w:t>
      </w:r>
      <w:r w:rsidR="001C4B0E">
        <w:t>επιβλεπόμενη</w:t>
      </w:r>
      <w:r w:rsidRPr="00A831E7">
        <w:rPr>
          <w:rFonts w:eastAsia="Calibri"/>
        </w:rPr>
        <w:t xml:space="preserve"> μάθηση εστιάζει στην ανίχνευση μοτίβων μέσα στα σετ δεδομένων, χωρίς να βασίζεται σε προκαθορισμένους στόχους για την εκπαίδευση του </w:t>
      </w:r>
      <w:r w:rsidRPr="00A831E7">
        <w:rPr>
          <w:rFonts w:eastAsia="Calibri"/>
        </w:rPr>
        <w:lastRenderedPageBreak/>
        <w:t xml:space="preserve">αλγορίθμου. Οι μέθοδοι αυτής της προσέγγισης επιτρέπουν την αυτόματη οργάνωση των δεδομένων σε ομάδες με βάση τα κοινά χαρακτηριστικά τους, τη διερεύνηση σχέσεων μεταξύ τους και την ανίχνευση ανωμαλιών </w:t>
      </w:r>
      <w:r w:rsidRPr="00A831E7">
        <w:rPr>
          <w:rFonts w:eastAsia="Calibri"/>
        </w:rPr>
        <w:fldChar w:fldCharType="begin"/>
      </w:r>
      <w:r w:rsidRPr="00A831E7">
        <w:rPr>
          <w:rFonts w:eastAsia="Calibri"/>
        </w:rPr>
        <w:instrText xml:space="preserve"> ADDIN ZOTERO_ITEM CSL_CITATION {"citationID":"1A6RNHWV","properties":{"formattedCitation":"[25]","plainCitation":"[25]","noteIndex":0},"citationItems":[{"id":1582,"uris":["http://zotero.org/users/local/mfHf28QG/items/IYYJNVYE"],"itemData":{"id":1582,"type":"article-journal","abstract":"Purpose\nTo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Pr="00A831E7">
        <w:rPr>
          <w:rFonts w:eastAsia="Calibri"/>
        </w:rPr>
        <w:fldChar w:fldCharType="separate"/>
      </w:r>
      <w:r w:rsidRPr="00A831E7">
        <w:rPr>
          <w:rFonts w:eastAsia="Calibri"/>
        </w:rPr>
        <w:t>[25]</w:t>
      </w:r>
      <w:r w:rsidRPr="00A831E7">
        <w:rPr>
          <w:rFonts w:eastAsia="Calibri"/>
        </w:rPr>
        <w:fldChar w:fldCharType="end"/>
      </w:r>
      <w:r w:rsidRPr="00A831E7">
        <w:rPr>
          <w:rFonts w:eastAsia="Calibri"/>
        </w:rPr>
        <w:t xml:space="preserve">. </w:t>
      </w:r>
    </w:p>
    <w:p w14:paraId="7F8146F4" w14:textId="77777777" w:rsidR="006748F5" w:rsidRPr="00A831E7" w:rsidRDefault="006748F5" w:rsidP="0057069D">
      <w:pPr>
        <w:spacing w:line="360" w:lineRule="auto"/>
        <w:jc w:val="both"/>
        <w:rPr>
          <w:rFonts w:eastAsia="Calibri"/>
        </w:rPr>
      </w:pPr>
    </w:p>
    <w:p w14:paraId="611ACE86" w14:textId="12D9F0C5" w:rsidR="00673F94" w:rsidRPr="00A831E7" w:rsidRDefault="00673F94" w:rsidP="0057069D">
      <w:pPr>
        <w:pStyle w:val="4"/>
        <w:spacing w:line="360" w:lineRule="auto"/>
        <w:rPr>
          <w:rFonts w:eastAsia="Calibri"/>
          <w:b w:val="0"/>
          <w:bCs/>
        </w:rPr>
      </w:pPr>
      <w:r w:rsidRPr="00A831E7">
        <w:rPr>
          <w:rFonts w:eastAsia="Calibri"/>
          <w:bCs/>
        </w:rPr>
        <w:t xml:space="preserve"> Ημι-</w:t>
      </w:r>
      <w:r w:rsidR="001C4B0E" w:rsidRPr="001C4B0E">
        <w:rPr>
          <w:rFonts w:eastAsia="Calibri"/>
          <w:bCs/>
        </w:rPr>
        <w:t>επιβλεπόμενη</w:t>
      </w:r>
      <w:r w:rsidRPr="00A831E7">
        <w:rPr>
          <w:rFonts w:eastAsia="Calibri"/>
          <w:bCs/>
        </w:rPr>
        <w:t xml:space="preserve"> Μηχανική Μάθηση</w:t>
      </w:r>
    </w:p>
    <w:p w14:paraId="4BE8AC27" w14:textId="17F89DDE" w:rsidR="00673F94" w:rsidRPr="00A831E7" w:rsidRDefault="00673F94" w:rsidP="0057069D">
      <w:pPr>
        <w:spacing w:line="360" w:lineRule="auto"/>
        <w:ind w:firstLine="720"/>
        <w:jc w:val="both"/>
        <w:rPr>
          <w:rFonts w:eastAsia="Calibri"/>
        </w:rPr>
      </w:pPr>
      <w:r w:rsidRPr="00A831E7">
        <w:rPr>
          <w:rFonts w:eastAsia="Calibri"/>
        </w:rPr>
        <w:t>Η ημι-</w:t>
      </w:r>
      <w:r w:rsidR="001C4B0E">
        <w:t>επιβλεπόμενη</w:t>
      </w:r>
      <w:r w:rsidRPr="00A831E7">
        <w:rPr>
          <w:rFonts w:eastAsia="Calibri"/>
        </w:rPr>
        <w:t xml:space="preserve"> μάθηση</w:t>
      </w:r>
      <w:r w:rsidR="006748F5" w:rsidRPr="00A831E7">
        <w:rPr>
          <w:rFonts w:eastAsia="Calibri"/>
        </w:rPr>
        <w:t xml:space="preserve"> έχει εφαρμογές σε σύνολα δεδομένων που περιέχουν είτε επισημασμένα</w:t>
      </w:r>
      <w:r w:rsidR="00915513" w:rsidRPr="00915513">
        <w:rPr>
          <w:rFonts w:eastAsia="Calibri"/>
        </w:rPr>
        <w:t xml:space="preserve"> </w:t>
      </w:r>
      <w:r w:rsidR="00E05210" w:rsidRPr="00A831E7">
        <w:rPr>
          <w:rFonts w:eastAsia="Calibri"/>
        </w:rPr>
        <w:t>,</w:t>
      </w:r>
      <w:r w:rsidR="006748F5" w:rsidRPr="00A831E7">
        <w:rPr>
          <w:rFonts w:eastAsia="Calibri"/>
        </w:rPr>
        <w:t xml:space="preserve"> είτε μη επισημασμένα δεδομένα </w:t>
      </w:r>
      <w:r w:rsidR="006748F5" w:rsidRPr="00A831E7">
        <w:rPr>
          <w:rFonts w:eastAsia="Calibri"/>
        </w:rPr>
        <w:fldChar w:fldCharType="begin"/>
      </w:r>
      <w:r w:rsidR="006748F5" w:rsidRPr="00A831E7">
        <w:rPr>
          <w:rFonts w:eastAsia="Calibri"/>
        </w:rPr>
        <w:instrText xml:space="preserve"> ADDIN ZOTERO_ITEM CSL_CITATION {"citationID":"r1Ze1YgX","properties":{"formattedCitation":"[25]","plainCitation":"[25]","noteIndex":0},"citationItems":[{"id":1582,"uris":["http://zotero.org/users/local/mfHf28QG/items/IYYJNVYE"],"itemData":{"id":1582,"type":"article-journal","abstract":"Purpose\nTo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6748F5" w:rsidRPr="00A831E7">
        <w:rPr>
          <w:rFonts w:eastAsia="Calibri"/>
        </w:rPr>
        <w:fldChar w:fldCharType="separate"/>
      </w:r>
      <w:r w:rsidR="006748F5" w:rsidRPr="00A831E7">
        <w:rPr>
          <w:rFonts w:eastAsia="Calibri"/>
        </w:rPr>
        <w:t>[25]</w:t>
      </w:r>
      <w:r w:rsidR="006748F5" w:rsidRPr="00A831E7">
        <w:rPr>
          <w:rFonts w:eastAsia="Calibri"/>
        </w:rPr>
        <w:fldChar w:fldCharType="end"/>
      </w:r>
      <w:r w:rsidRPr="00A831E7">
        <w:rPr>
          <w:rFonts w:eastAsia="Calibri"/>
        </w:rPr>
        <w:t>. Αυτό συμβαίνει συχνά σε εφαρμογές όπου η επισήμανση των δεδομένων είναι χρονοβόρα ή κοστοβόρα, όπως η ανάλυση ιατρικών εικόνων. Μια συνήθης προσέγγιση σε αυτούς τους τομείς είναι η μερική επισήμανση ενός μικρού υποσυνόλου δεδομένων από έναν ειδικό, που στη συνέχεια χρησιμοποιείται για την εκπαίδευση ενός αλγορίθμου. Ο αλγόριθμος εφαρμόζει τα μοτίβα που έχει μάθει ώστε να κατηγοριοποιήσει τα υπόλοιπα δεδομένα, δημιουργώντας ένα εκτεταμένο σύνολο</w:t>
      </w:r>
      <w:r w:rsidR="006748F5" w:rsidRPr="00A831E7">
        <w:rPr>
          <w:rFonts w:eastAsia="Calibri"/>
        </w:rPr>
        <w:t xml:space="preserve"> επισημασμένων</w:t>
      </w:r>
      <w:r w:rsidRPr="00A831E7">
        <w:rPr>
          <w:rFonts w:eastAsia="Calibri"/>
        </w:rPr>
        <w:t xml:space="preserve"> δεδομένων, το οποίο αξιοποιείται για την εκπαίδευση ενός πλήρους μοντέλου</w:t>
      </w:r>
      <w:r w:rsidR="006748F5" w:rsidRPr="00A831E7">
        <w:rPr>
          <w:rFonts w:eastAsia="Calibri"/>
        </w:rPr>
        <w:t xml:space="preserve"> </w:t>
      </w:r>
      <w:r w:rsidR="006748F5" w:rsidRPr="00A831E7">
        <w:rPr>
          <w:rFonts w:eastAsia="Calibri"/>
        </w:rPr>
        <w:fldChar w:fldCharType="begin"/>
      </w:r>
      <w:r w:rsidR="006748F5" w:rsidRPr="00A831E7">
        <w:rPr>
          <w:rFonts w:eastAsia="Calibri"/>
        </w:rPr>
        <w:instrText xml:space="preserve"> ADDIN ZOTERO_ITEM CSL_CITATION {"citationID":"fI55CrrA","properties":{"formattedCitation":"[25]","plainCitation":"[25]","noteIndex":0},"citationItems":[{"id":1582,"uris":["http://zotero.org/users/local/mfHf28QG/items/IYYJNVYE"],"itemData":{"id":1582,"type":"article-journal","abstract":"Purpose\nTo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6748F5" w:rsidRPr="00A831E7">
        <w:rPr>
          <w:rFonts w:eastAsia="Calibri"/>
        </w:rPr>
        <w:fldChar w:fldCharType="separate"/>
      </w:r>
      <w:r w:rsidR="006748F5" w:rsidRPr="00A831E7">
        <w:rPr>
          <w:rFonts w:eastAsia="Calibri"/>
        </w:rPr>
        <w:t>[25]</w:t>
      </w:r>
      <w:r w:rsidR="006748F5" w:rsidRPr="00A831E7">
        <w:rPr>
          <w:rFonts w:eastAsia="Calibri"/>
        </w:rPr>
        <w:fldChar w:fldCharType="end"/>
      </w:r>
      <w:r w:rsidRPr="00A831E7">
        <w:rPr>
          <w:rFonts w:eastAsia="Calibri"/>
        </w:rPr>
        <w:t xml:space="preserve">. Θεωρητικά, αυτή η διαδικασία μπορεί να οδηγήσει σε βελτιωμένη απόδοση σε σύγκριση με τις καθαρά μη </w:t>
      </w:r>
      <w:r w:rsidR="001C4B0E">
        <w:t>επιβλεπόμενες</w:t>
      </w:r>
      <w:r w:rsidRPr="00A831E7">
        <w:rPr>
          <w:rFonts w:eastAsia="Calibri"/>
        </w:rPr>
        <w:t xml:space="preserve"> προσεγγίσεις.</w:t>
      </w:r>
    </w:p>
    <w:p w14:paraId="1D15E927" w14:textId="77777777" w:rsidR="006748F5" w:rsidRPr="00A831E7" w:rsidRDefault="006748F5" w:rsidP="0057069D">
      <w:pPr>
        <w:spacing w:line="360" w:lineRule="auto"/>
        <w:jc w:val="both"/>
        <w:rPr>
          <w:rFonts w:eastAsia="Calibri"/>
        </w:rPr>
      </w:pPr>
    </w:p>
    <w:p w14:paraId="6E9815BF" w14:textId="18E16810" w:rsidR="00673F94" w:rsidRPr="00A831E7" w:rsidRDefault="006748F5" w:rsidP="0057069D">
      <w:pPr>
        <w:pStyle w:val="4"/>
        <w:spacing w:line="360" w:lineRule="auto"/>
        <w:rPr>
          <w:rFonts w:eastAsia="Calibri"/>
          <w:b w:val="0"/>
          <w:bCs/>
        </w:rPr>
      </w:pPr>
      <w:r w:rsidRPr="00A831E7">
        <w:rPr>
          <w:rFonts w:eastAsia="Calibri"/>
          <w:bCs/>
        </w:rPr>
        <w:t>Ενισχυτική Μηχανική Μάθηση</w:t>
      </w:r>
    </w:p>
    <w:p w14:paraId="0816EBD7" w14:textId="7C6C0630" w:rsidR="006748F5" w:rsidRPr="00A831E7" w:rsidRDefault="006748F5" w:rsidP="0057069D">
      <w:pPr>
        <w:spacing w:line="360" w:lineRule="auto"/>
        <w:ind w:firstLine="720"/>
        <w:jc w:val="both"/>
        <w:rPr>
          <w:rFonts w:eastAsia="Calibri"/>
        </w:rPr>
      </w:pPr>
      <w:r w:rsidRPr="00A831E7">
        <w:rPr>
          <w:rFonts w:eastAsia="Calibri"/>
        </w:rPr>
        <w:t xml:space="preserve">Η ενισχυτική μάθηση είναι η τεχνική εκπαίδευσης ενός αλγορίθμου για μια συγκεκριμένη εργασία όπου καμία μεμονωμένη απάντηση δεν είναι σωστή, αλλά ένα συνολικό αποτέλεσμα είναι επιθυμητό </w:t>
      </w:r>
      <w:r w:rsidRPr="00A831E7">
        <w:rPr>
          <w:rFonts w:eastAsia="Calibri"/>
        </w:rPr>
        <w:fldChar w:fldCharType="begin"/>
      </w:r>
      <w:r w:rsidRPr="00A831E7">
        <w:rPr>
          <w:rFonts w:eastAsia="Calibri"/>
        </w:rPr>
        <w:instrText xml:space="preserve"> ADDIN ZOTERO_ITEM CSL_CITATION {"citationID":"rJivnnRx","properties":{"formattedCitation":"[25]","plainCitation":"[25]","noteIndex":0},"citationItems":[{"id":1582,"uris":["http://zotero.org/users/local/mfHf28QG/items/IYYJNVYE"],"itemData":{"id":1582,"type":"article-journal","abstract":"Purpose\nTo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Pr="00A831E7">
        <w:rPr>
          <w:rFonts w:eastAsia="Calibri"/>
        </w:rPr>
        <w:fldChar w:fldCharType="separate"/>
      </w:r>
      <w:r w:rsidRPr="00A831E7">
        <w:rPr>
          <w:rFonts w:eastAsia="Calibri"/>
        </w:rPr>
        <w:t>[25]</w:t>
      </w:r>
      <w:r w:rsidRPr="00A831E7">
        <w:rPr>
          <w:rFonts w:eastAsia="Calibri"/>
        </w:rPr>
        <w:fldChar w:fldCharType="end"/>
      </w:r>
      <w:r w:rsidRPr="00A831E7">
        <w:rPr>
          <w:rFonts w:eastAsia="Calibri"/>
        </w:rPr>
        <w:t xml:space="preserve">. Είναι αναμφισβήτητα η πλησιέστερη προσπάθεια μοντελοποίησης της ανθρώπινης μαθησιακής εμπειρίας, επειδή μαθαίνει από δοκιμές και λάθη και όχι μόνο από δεδομένα </w:t>
      </w:r>
      <w:r w:rsidRPr="00A831E7">
        <w:rPr>
          <w:rFonts w:eastAsia="Calibri"/>
        </w:rPr>
        <w:fldChar w:fldCharType="begin"/>
      </w:r>
      <w:r w:rsidRPr="00A831E7">
        <w:rPr>
          <w:rFonts w:eastAsia="Calibri"/>
        </w:rPr>
        <w:instrText xml:space="preserve"> ADDIN ZOTERO_ITEM CSL_CITATION {"citationID":"9lqS1yTK","properties":{"formattedCitation":"[25]","plainCitation":"[25]","noteIndex":0},"citationItems":[{"id":1582,"uris":["http://zotero.org/users/local/mfHf28QG/items/IYYJNVYE"],"itemData":{"id":1582,"type":"article-journal","abstract":"Purpose\nTo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Pr="00A831E7">
        <w:rPr>
          <w:rFonts w:eastAsia="Calibri"/>
        </w:rPr>
        <w:fldChar w:fldCharType="separate"/>
      </w:r>
      <w:r w:rsidRPr="00A831E7">
        <w:rPr>
          <w:rFonts w:eastAsia="Calibri"/>
        </w:rPr>
        <w:t>[25]</w:t>
      </w:r>
      <w:r w:rsidRPr="00A831E7">
        <w:rPr>
          <w:rFonts w:eastAsia="Calibri"/>
        </w:rPr>
        <w:fldChar w:fldCharType="end"/>
      </w:r>
      <w:r w:rsidRPr="00A831E7">
        <w:rPr>
          <w:rFonts w:eastAsia="Calibri"/>
        </w:rPr>
        <w:t>. Αν και η ενισχυτική μάθηση είναι μια ισχυρή τεχνική, έχει περιορισμένη εφαρμογή στην ιατρική.</w:t>
      </w:r>
    </w:p>
    <w:p w14:paraId="0C2298AF" w14:textId="77777777" w:rsidR="006748F5" w:rsidRPr="00A831E7" w:rsidRDefault="006748F5" w:rsidP="0057069D">
      <w:pPr>
        <w:spacing w:line="360" w:lineRule="auto"/>
        <w:jc w:val="both"/>
        <w:rPr>
          <w:rFonts w:eastAsia="Calibri"/>
        </w:rPr>
      </w:pPr>
    </w:p>
    <w:p w14:paraId="19B245B5" w14:textId="1FE7FED9" w:rsidR="0057069D" w:rsidRPr="008F5904" w:rsidRDefault="00937A01" w:rsidP="008F5904">
      <w:pPr>
        <w:pStyle w:val="3"/>
      </w:pPr>
      <w:bookmarkStart w:id="47" w:name="_Toc199787387"/>
      <w:bookmarkStart w:id="48" w:name="_Toc199946456"/>
      <w:r w:rsidRPr="008F5904">
        <w:t xml:space="preserve">1.5.2 </w:t>
      </w:r>
      <w:r w:rsidR="006F679E" w:rsidRPr="008F5904">
        <w:t>Αλγόριθμοι Μηχανικής Μάθησης στην Ιατρική</w:t>
      </w:r>
      <w:bookmarkEnd w:id="47"/>
      <w:bookmarkEnd w:id="48"/>
    </w:p>
    <w:p w14:paraId="2FD81115" w14:textId="2490D3FB" w:rsidR="00A4079D" w:rsidRPr="00A831E7" w:rsidRDefault="00A4079D" w:rsidP="0057069D">
      <w:pPr>
        <w:spacing w:line="360" w:lineRule="auto"/>
        <w:ind w:firstLine="720"/>
        <w:jc w:val="both"/>
        <w:rPr>
          <w:rFonts w:eastAsia="Calibri"/>
        </w:rPr>
      </w:pPr>
      <w:bookmarkStart w:id="49" w:name="_Hlk197357448"/>
      <w:r w:rsidRPr="00A831E7">
        <w:rPr>
          <w:rFonts w:eastAsia="Calibri"/>
        </w:rPr>
        <w:t>Στον τομέα της ιατρικής διάγνωσης οι αλγόριθμοι μηχανικής μάθησης χρησιμοποιούνται αρχικά για την ανάπτυξη μοντέλων αναγνώρισης δεικτών. Συχνά η αξιοποίησή τους γίνεται σε</w:t>
      </w:r>
      <w:bookmarkEnd w:id="49"/>
      <w:r w:rsidRPr="00A831E7">
        <w:rPr>
          <w:rFonts w:eastAsia="Calibri"/>
        </w:rPr>
        <w:t xml:space="preserve"> αιματολογικά δείγματα ή άλλα δείγματα υγρών από ασθενείς καθώς και σε απεικονιστικά αποτελέσματα. Ωστόσο πολλές από αυτές τις μεθόδους μπορούν να χρησιμοποιηθούν για την επίλυση προβλημάτων περαιτέρω ταξινόμησης (classification) καθώς και παλινδρόμησης (regression) για την ανάπτυξη  </w:t>
      </w:r>
      <w:r w:rsidRPr="00A831E7">
        <w:rPr>
          <w:rFonts w:eastAsia="Calibri"/>
        </w:rPr>
        <w:lastRenderedPageBreak/>
        <w:t xml:space="preserve">διαγνωστικών μοντέλων. Στην περίπτωση των εγκεφαλικών επεισοδίων, τα μοντέλα αυτά περιλαμβάνουν και συνδυάζουν πλήθος βιοδεικτών και σχετικών στοιχείων προσφέροντας υψηλότερη διαγνωστική ακρίβεια. </w:t>
      </w:r>
    </w:p>
    <w:p w14:paraId="589D0C63" w14:textId="7B506DDE" w:rsidR="006F679E" w:rsidRPr="00A831E7" w:rsidRDefault="00937A01" w:rsidP="0057069D">
      <w:pPr>
        <w:spacing w:line="360" w:lineRule="auto"/>
        <w:ind w:firstLine="720"/>
        <w:jc w:val="both"/>
        <w:rPr>
          <w:rFonts w:eastAsia="Calibri"/>
        </w:rPr>
      </w:pPr>
      <w:r w:rsidRPr="00A831E7">
        <w:rPr>
          <w:rFonts w:eastAsia="Calibri"/>
        </w:rPr>
        <w:t>Υπάρχουν πολλοί αλγόριθμοι μηχανικής μάθησης που χρησιμοποιούνται στην ιατρική. Π</w:t>
      </w:r>
      <w:r w:rsidR="003B38C1" w:rsidRPr="00A831E7">
        <w:rPr>
          <w:rFonts w:eastAsia="Calibri"/>
        </w:rPr>
        <w:t>αραδείγματα</w:t>
      </w:r>
      <w:r w:rsidRPr="00A831E7">
        <w:rPr>
          <w:rFonts w:eastAsia="Calibri"/>
        </w:rPr>
        <w:t xml:space="preserve"> αυτών</w:t>
      </w:r>
      <w:r w:rsidR="00915513" w:rsidRPr="00915513">
        <w:rPr>
          <w:rFonts w:eastAsia="Calibri"/>
        </w:rPr>
        <w:t xml:space="preserve"> –</w:t>
      </w:r>
      <w:r w:rsidR="003B38C1" w:rsidRPr="00A831E7">
        <w:rPr>
          <w:rFonts w:eastAsia="Calibri"/>
        </w:rPr>
        <w:t xml:space="preserve"> </w:t>
      </w:r>
      <w:r w:rsidRPr="00A831E7">
        <w:rPr>
          <w:rFonts w:eastAsia="Calibri"/>
        </w:rPr>
        <w:t xml:space="preserve">που </w:t>
      </w:r>
      <w:r w:rsidR="005827F4" w:rsidRPr="00A831E7">
        <w:rPr>
          <w:rFonts w:eastAsia="Calibri"/>
        </w:rPr>
        <w:t>θα συναντηθούν</w:t>
      </w:r>
      <w:r w:rsidR="00840064" w:rsidRPr="00A831E7">
        <w:rPr>
          <w:rFonts w:eastAsia="Calibri"/>
        </w:rPr>
        <w:t xml:space="preserve"> και</w:t>
      </w:r>
      <w:r w:rsidR="005827F4" w:rsidRPr="00A831E7">
        <w:rPr>
          <w:rFonts w:eastAsia="Calibri"/>
        </w:rPr>
        <w:t xml:space="preserve"> στα επόμενα κεφάλαια</w:t>
      </w:r>
      <w:r w:rsidR="00157CD6" w:rsidRPr="00A831E7">
        <w:rPr>
          <w:rFonts w:eastAsia="Calibri"/>
          <w:b/>
          <w:bCs/>
          <w:color w:val="FF0000"/>
        </w:rPr>
        <w:t xml:space="preserve"> </w:t>
      </w:r>
      <w:r w:rsidR="00915513" w:rsidRPr="00915513">
        <w:rPr>
          <w:rFonts w:eastAsia="Calibri"/>
          <w:b/>
          <w:bCs/>
        </w:rPr>
        <w:t>–</w:t>
      </w:r>
      <w:r w:rsidR="00915513" w:rsidRPr="00915513">
        <w:rPr>
          <w:rFonts w:eastAsia="Calibri"/>
          <w:b/>
          <w:bCs/>
          <w:color w:val="FF0000"/>
        </w:rPr>
        <w:t xml:space="preserve"> </w:t>
      </w:r>
      <w:r w:rsidR="003B38C1" w:rsidRPr="00A831E7">
        <w:rPr>
          <w:rFonts w:eastAsia="Calibri"/>
        </w:rPr>
        <w:t>περιλαμβάνουν μηχανές διανυσμάτων υποστήριξης (SVMs), δέντρα αποφάσεων</w:t>
      </w:r>
      <w:r w:rsidR="00915513" w:rsidRPr="00915513">
        <w:rPr>
          <w:rFonts w:eastAsia="Calibri"/>
        </w:rPr>
        <w:t xml:space="preserve"> –</w:t>
      </w:r>
      <w:r w:rsidR="00157CD6" w:rsidRPr="00A831E7">
        <w:rPr>
          <w:rFonts w:eastAsia="Calibri"/>
        </w:rPr>
        <w:t xml:space="preserve"> όπως η μέθοδος XGBoost</w:t>
      </w:r>
      <w:r w:rsidR="00915513" w:rsidRPr="00915513">
        <w:rPr>
          <w:rFonts w:eastAsia="Calibri"/>
        </w:rPr>
        <w:t xml:space="preserve"> –</w:t>
      </w:r>
      <w:r w:rsidR="003B38C1" w:rsidRPr="00A831E7">
        <w:rPr>
          <w:rFonts w:eastAsia="Calibri"/>
        </w:rPr>
        <w:t xml:space="preserve"> τυχαία δάση (RFs), k-πλησιέστερους γείτονες,</w:t>
      </w:r>
      <w:r w:rsidR="00157CD6" w:rsidRPr="00A831E7">
        <w:rPr>
          <w:rFonts w:eastAsia="Calibri"/>
        </w:rPr>
        <w:t xml:space="preserve"> μέθοδο LASSO, </w:t>
      </w:r>
      <w:r w:rsidR="003B38C1" w:rsidRPr="00A831E7">
        <w:rPr>
          <w:rFonts w:eastAsia="Calibri"/>
        </w:rPr>
        <w:t>Bayesian μεθόδους</w:t>
      </w:r>
      <w:r w:rsidR="00157CD6" w:rsidRPr="00A831E7">
        <w:rPr>
          <w:rFonts w:eastAsia="Calibri"/>
        </w:rPr>
        <w:t xml:space="preserve"> όπως η GNB</w:t>
      </w:r>
      <w:r w:rsidR="003B38C1" w:rsidRPr="00A831E7">
        <w:rPr>
          <w:rFonts w:eastAsia="Calibri"/>
        </w:rPr>
        <w:t xml:space="preserve"> και γενικευμένα γραμμικά μοντέλα (GLMs).</w:t>
      </w:r>
      <w:r w:rsidR="006F679E" w:rsidRPr="00A831E7">
        <w:rPr>
          <w:rFonts w:eastAsia="Calibri"/>
        </w:rPr>
        <w:br/>
      </w:r>
    </w:p>
    <w:p w14:paraId="728F7EA7" w14:textId="085F0908" w:rsidR="006F679E" w:rsidRPr="00A831E7" w:rsidRDefault="006F679E" w:rsidP="0057069D">
      <w:pPr>
        <w:pStyle w:val="4"/>
        <w:spacing w:line="360" w:lineRule="auto"/>
        <w:rPr>
          <w:rFonts w:eastAsia="Calibri"/>
          <w:b w:val="0"/>
          <w:bCs/>
        </w:rPr>
      </w:pPr>
      <w:r w:rsidRPr="00A831E7">
        <w:rPr>
          <w:rFonts w:eastAsia="Calibri"/>
          <w:bCs/>
        </w:rPr>
        <w:t>Γραμμική Παλινδρόμηση</w:t>
      </w:r>
    </w:p>
    <w:p w14:paraId="05FAB1E6" w14:textId="77777777" w:rsidR="006F679E" w:rsidRPr="00A831E7" w:rsidRDefault="006F679E" w:rsidP="0057069D">
      <w:pPr>
        <w:spacing w:line="360" w:lineRule="auto"/>
        <w:ind w:firstLine="720"/>
        <w:jc w:val="both"/>
        <w:rPr>
          <w:rFonts w:eastAsia="Calibri"/>
        </w:rPr>
      </w:pPr>
      <w:r w:rsidRPr="00A831E7">
        <w:rPr>
          <w:rFonts w:eastAsia="Calibri"/>
        </w:rPr>
        <w:t>Η γραμμική παλινδρόμηση είναι ένας από τους απλούστερους αλγόριθμους μηχανικής μάθησης, που χρησιμοποιείται για τη μοντελοποίηση της σχέσης μεταξύ αριθμητικών χαρακτηριστικών και ενός αριθμητικού στόχου. Προσαρμόζει μια ευθεία γραμμή στα δεδομένα χρησιμοποιώντας την εξίσωση y = ax + b, όπου a είναι η κλίση και b είναι η τεταγμένη της τομής. Στην πολυμεταβλητή περίπτωση, πολλαπλά βάρη καθορίζουν την επιρροή κάθε χαρακτηριστικού στον στόχο. Το μοντέλο βελτιστοποιεί αυτά τα βάρη μέσω μιας διαδικασίας ελαχιστοποίησης σφαλμάτων που ονομάζεται βαθμιαία κατάβαση.</w:t>
      </w:r>
    </w:p>
    <w:p w14:paraId="7D878750" w14:textId="2A31F0C0" w:rsidR="006F679E" w:rsidRPr="00A831E7" w:rsidRDefault="006F679E" w:rsidP="0057069D">
      <w:pPr>
        <w:pStyle w:val="a6"/>
        <w:numPr>
          <w:ilvl w:val="0"/>
          <w:numId w:val="11"/>
        </w:numPr>
        <w:spacing w:line="360" w:lineRule="auto"/>
        <w:ind w:left="360"/>
        <w:jc w:val="both"/>
        <w:rPr>
          <w:rFonts w:eastAsia="Calibri"/>
        </w:rPr>
      </w:pPr>
      <w:r w:rsidRPr="00A831E7">
        <w:rPr>
          <w:rFonts w:eastAsia="Calibri"/>
          <w:b/>
          <w:bCs/>
          <w:i/>
          <w:iCs/>
        </w:rPr>
        <w:t xml:space="preserve">LASSO </w:t>
      </w:r>
      <w:r w:rsidRPr="00A831E7">
        <w:rPr>
          <w:rFonts w:eastAsia="Calibri"/>
          <w:b/>
          <w:bCs/>
        </w:rPr>
        <w:t>:</w:t>
      </w:r>
      <w:r w:rsidRPr="00A831E7">
        <w:rPr>
          <w:rFonts w:eastAsia="Calibri"/>
        </w:rPr>
        <w:t xml:space="preserve"> είναι μια παραλλαγή της γραμμικής παλινδρόμησης που περιλαμβάνει κανονικοποίηση για τη μείωση της πολυπλοκότητας και την αποφυγή υπερ</w:t>
      </w:r>
      <w:r w:rsidR="00840064" w:rsidRPr="00A831E7">
        <w:rPr>
          <w:rFonts w:eastAsia="Calibri"/>
        </w:rPr>
        <w:t>προσαρμογής</w:t>
      </w:r>
      <w:r w:rsidRPr="00A831E7">
        <w:rPr>
          <w:rFonts w:eastAsia="Calibri"/>
        </w:rPr>
        <w:t>.</w:t>
      </w:r>
    </w:p>
    <w:p w14:paraId="782D8A79" w14:textId="7A0E8507" w:rsidR="00840064" w:rsidRPr="00A831E7" w:rsidRDefault="006F679E" w:rsidP="0057069D">
      <w:pPr>
        <w:pStyle w:val="a6"/>
        <w:numPr>
          <w:ilvl w:val="0"/>
          <w:numId w:val="11"/>
        </w:numPr>
        <w:spacing w:line="360" w:lineRule="auto"/>
        <w:ind w:left="360"/>
        <w:jc w:val="both"/>
        <w:rPr>
          <w:rFonts w:eastAsia="Calibri"/>
        </w:rPr>
      </w:pPr>
      <w:r w:rsidRPr="00A831E7">
        <w:rPr>
          <w:rFonts w:eastAsia="Calibri"/>
          <w:b/>
          <w:bCs/>
          <w:i/>
          <w:iCs/>
        </w:rPr>
        <w:t>Γενικευμένα Γραμμικά Μοντέλα (GLM):</w:t>
      </w:r>
      <w:r w:rsidRPr="00A831E7">
        <w:rPr>
          <w:rFonts w:eastAsia="Calibri"/>
        </w:rPr>
        <w:t xml:space="preserve"> επεκτείνουν τη γραμμική παλινδρόμηση ώστε να μπορούν να χειριστούν κατηγορικές και δυαδικές μεταβλητές.</w:t>
      </w:r>
    </w:p>
    <w:p w14:paraId="7E143DE5" w14:textId="77777777" w:rsidR="00B93F11" w:rsidRPr="00A831E7" w:rsidRDefault="00B93F11" w:rsidP="0057069D">
      <w:pPr>
        <w:spacing w:line="360" w:lineRule="auto"/>
        <w:jc w:val="both"/>
        <w:rPr>
          <w:rFonts w:eastAsia="Calibri"/>
        </w:rPr>
      </w:pPr>
    </w:p>
    <w:p w14:paraId="38A69E56" w14:textId="77777777" w:rsidR="00840064" w:rsidRPr="00A831E7" w:rsidRDefault="00840064" w:rsidP="0057069D">
      <w:pPr>
        <w:pStyle w:val="4"/>
        <w:spacing w:line="360" w:lineRule="auto"/>
        <w:rPr>
          <w:rFonts w:eastAsia="Calibri"/>
          <w:b w:val="0"/>
          <w:bCs/>
        </w:rPr>
      </w:pPr>
      <w:r w:rsidRPr="00A831E7">
        <w:rPr>
          <w:rFonts w:eastAsia="Calibri"/>
          <w:bCs/>
        </w:rPr>
        <w:t>Λογιστική Παλινδρόμηση</w:t>
      </w:r>
    </w:p>
    <w:p w14:paraId="0EC7299A" w14:textId="3E2FED56" w:rsidR="00840064" w:rsidRPr="00A831E7" w:rsidRDefault="00840064" w:rsidP="0057069D">
      <w:pPr>
        <w:spacing w:line="360" w:lineRule="auto"/>
        <w:ind w:firstLine="720"/>
        <w:jc w:val="both"/>
        <w:rPr>
          <w:rFonts w:eastAsia="Calibri"/>
        </w:rPr>
      </w:pPr>
      <w:r w:rsidRPr="00A831E7">
        <w:rPr>
          <w:rFonts w:eastAsia="Calibri"/>
        </w:rPr>
        <w:t xml:space="preserve">Η λογιστική παλινδρόμηση είναι ένας αλγόριθμος ταξινόμησης που στοχεύει στην εύρεση μιας σχέσης μεταξύ των χαρακτηριστικών και της πιθανότητας ενός συγκεκριμένου αποτελέσματος. Αντί να χρησιμοποιεί την </w:t>
      </w:r>
      <w:r w:rsidR="00E05210" w:rsidRPr="00A831E7">
        <w:rPr>
          <w:rFonts w:eastAsia="Calibri"/>
        </w:rPr>
        <w:t>«</w:t>
      </w:r>
      <w:r w:rsidRPr="00A831E7">
        <w:rPr>
          <w:rFonts w:eastAsia="Calibri"/>
        </w:rPr>
        <w:t>ευθεία γραμμή</w:t>
      </w:r>
      <w:r w:rsidR="00E05210" w:rsidRPr="00A831E7">
        <w:rPr>
          <w:rFonts w:eastAsia="Calibri"/>
        </w:rPr>
        <w:t>»</w:t>
      </w:r>
      <w:r w:rsidRPr="00A831E7">
        <w:rPr>
          <w:rFonts w:eastAsia="Calibri"/>
        </w:rPr>
        <w:t xml:space="preserve"> της γραμμικής παλινδρόμησης, εφαρμόζει μια σιγμοειδή συνάρτηση που μετατρέπει αριθμητικές τιμές σε πιθανότητες μεταξύ 0 και 1.</w:t>
      </w:r>
    </w:p>
    <w:p w14:paraId="06F0F870" w14:textId="24365A30" w:rsidR="006F679E" w:rsidRPr="00A831E7" w:rsidRDefault="00840064" w:rsidP="0057069D">
      <w:pPr>
        <w:pStyle w:val="a6"/>
        <w:numPr>
          <w:ilvl w:val="0"/>
          <w:numId w:val="13"/>
        </w:numPr>
        <w:tabs>
          <w:tab w:val="left" w:pos="360"/>
        </w:tabs>
        <w:spacing w:line="360" w:lineRule="auto"/>
        <w:ind w:left="360"/>
        <w:jc w:val="both"/>
        <w:rPr>
          <w:rFonts w:eastAsia="Calibri"/>
        </w:rPr>
      </w:pPr>
      <w:r w:rsidRPr="00A831E7">
        <w:rPr>
          <w:rFonts w:eastAsia="Calibri"/>
          <w:b/>
          <w:bCs/>
          <w:i/>
          <w:iCs/>
        </w:rPr>
        <w:t>Μηχανές Διανυσμάτων Υποστήριξης (SVMs):</w:t>
      </w:r>
      <w:r w:rsidR="006F679E" w:rsidRPr="00A831E7">
        <w:rPr>
          <w:rFonts w:eastAsia="Calibri"/>
        </w:rPr>
        <w:t xml:space="preserve"> προσδιορίζουν ένα βέλτιστο όριο</w:t>
      </w:r>
      <w:r w:rsidRPr="00A831E7">
        <w:rPr>
          <w:rFonts w:eastAsia="Calibri"/>
        </w:rPr>
        <w:t xml:space="preserve"> </w:t>
      </w:r>
      <w:r w:rsidR="006F679E" w:rsidRPr="00A831E7">
        <w:rPr>
          <w:rFonts w:eastAsia="Calibri"/>
        </w:rPr>
        <w:t>απόφασης (υπερεπίπεδο) μεταξύ διαφορετικών κατηγοριών.</w:t>
      </w:r>
    </w:p>
    <w:p w14:paraId="1B2A2D7E" w14:textId="67C97C51" w:rsidR="00840064" w:rsidRPr="00A831E7" w:rsidRDefault="006F679E" w:rsidP="0057069D">
      <w:pPr>
        <w:pStyle w:val="a6"/>
        <w:numPr>
          <w:ilvl w:val="0"/>
          <w:numId w:val="13"/>
        </w:numPr>
        <w:tabs>
          <w:tab w:val="left" w:pos="360"/>
        </w:tabs>
        <w:spacing w:line="360" w:lineRule="auto"/>
        <w:ind w:left="360"/>
        <w:jc w:val="both"/>
        <w:rPr>
          <w:rFonts w:eastAsia="Calibri"/>
        </w:rPr>
      </w:pPr>
      <w:r w:rsidRPr="00A831E7">
        <w:rPr>
          <w:rFonts w:eastAsia="Calibri"/>
          <w:b/>
          <w:bCs/>
          <w:i/>
          <w:iCs/>
        </w:rPr>
        <w:lastRenderedPageBreak/>
        <w:t>Γκαουσιανή Ναΐβ Μπέιζ (GNB)</w:t>
      </w:r>
      <w:r w:rsidR="00840064" w:rsidRPr="00A831E7">
        <w:rPr>
          <w:rFonts w:eastAsia="Calibri"/>
          <w:b/>
          <w:bCs/>
          <w:i/>
          <w:iCs/>
        </w:rPr>
        <w:t>:</w:t>
      </w:r>
      <w:r w:rsidRPr="00A831E7">
        <w:rPr>
          <w:rFonts w:eastAsia="Calibri"/>
        </w:rPr>
        <w:t xml:space="preserve"> αξιοποιεί πιθανοτικές κατανομές για την ταξινόμηση δεδομένων βάσει της θεωρίας του Bayes.</w:t>
      </w:r>
    </w:p>
    <w:p w14:paraId="0B53E414" w14:textId="77777777" w:rsidR="00B93F11" w:rsidRPr="00A831E7" w:rsidRDefault="00B93F11" w:rsidP="0057069D">
      <w:pPr>
        <w:tabs>
          <w:tab w:val="left" w:pos="360"/>
        </w:tabs>
        <w:spacing w:line="360" w:lineRule="auto"/>
        <w:jc w:val="both"/>
        <w:rPr>
          <w:rFonts w:eastAsia="Calibri"/>
        </w:rPr>
      </w:pPr>
    </w:p>
    <w:p w14:paraId="3A13E30E" w14:textId="443EF727" w:rsidR="006F679E" w:rsidRPr="00A831E7" w:rsidRDefault="00840064" w:rsidP="0057069D">
      <w:pPr>
        <w:pStyle w:val="4"/>
        <w:spacing w:line="360" w:lineRule="auto"/>
        <w:rPr>
          <w:rFonts w:eastAsia="Calibri"/>
          <w:b w:val="0"/>
          <w:bCs/>
        </w:rPr>
      </w:pPr>
      <w:r w:rsidRPr="00A831E7">
        <w:rPr>
          <w:rFonts w:eastAsia="Calibri"/>
          <w:bCs/>
        </w:rPr>
        <w:t>Δέντρα Απόφασης και Τυχαία Δάση</w:t>
      </w:r>
    </w:p>
    <w:p w14:paraId="7764D266" w14:textId="77777777" w:rsidR="00A4079D" w:rsidRPr="00A831E7" w:rsidRDefault="006F679E" w:rsidP="0057069D">
      <w:pPr>
        <w:spacing w:line="360" w:lineRule="auto"/>
        <w:ind w:firstLine="720"/>
        <w:jc w:val="both"/>
        <w:rPr>
          <w:rFonts w:eastAsia="Calibri"/>
        </w:rPr>
      </w:pPr>
      <w:r w:rsidRPr="00A831E7">
        <w:rPr>
          <w:rFonts w:eastAsia="Calibri"/>
        </w:rPr>
        <w:t>Ένα δέντρο απόφασης ταξινομεί δεδομένα μέσω επαναλαμβανόμενης διαίρεσης χαρακτηριστικών σε διακριτές ομάδες με προκαθορισμένα κριτήρια. Κάθε διαίρεση οδηγεί είτε σε ένα νέο κόμβο απόφασης είτε σε ένα τελικό ταξινομημένο αποτέλεσμα</w:t>
      </w:r>
      <w:r w:rsidR="00A4079D" w:rsidRPr="00A831E7">
        <w:rPr>
          <w:rFonts w:eastAsia="Calibri"/>
        </w:rPr>
        <w:t xml:space="preserve"> </w:t>
      </w:r>
      <w:r w:rsidR="00A4079D" w:rsidRPr="00A831E7">
        <w:rPr>
          <w:rFonts w:eastAsia="Calibri"/>
        </w:rPr>
        <w:fldChar w:fldCharType="begin"/>
      </w:r>
      <w:r w:rsidR="00A4079D" w:rsidRPr="00A831E7">
        <w:rPr>
          <w:rFonts w:eastAsia="Calibri"/>
        </w:rPr>
        <w:instrText xml:space="preserve"> ADDIN ZOTERO_ITEM CSL_CITATION {"citationID":"3HED39Cq","properties":{"formattedCitation":"[25]","plainCitation":"[25]","noteIndex":0},"citationItems":[{"id":1582,"uris":["http://zotero.org/users/local/mfHf28QG/items/IYYJNVYE"],"itemData":{"id":1582,"type":"article-journal","abstract":"Purpose\nTo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00A4079D" w:rsidRPr="00A831E7">
        <w:rPr>
          <w:rFonts w:eastAsia="Calibri"/>
        </w:rPr>
        <w:fldChar w:fldCharType="separate"/>
      </w:r>
      <w:r w:rsidR="00A4079D" w:rsidRPr="00A831E7">
        <w:rPr>
          <w:rFonts w:eastAsia="Calibri"/>
        </w:rPr>
        <w:t>[25]</w:t>
      </w:r>
      <w:r w:rsidR="00A4079D" w:rsidRPr="00A831E7">
        <w:rPr>
          <w:rFonts w:eastAsia="Calibri"/>
        </w:rPr>
        <w:fldChar w:fldCharType="end"/>
      </w:r>
      <w:r w:rsidRPr="00A831E7">
        <w:rPr>
          <w:rFonts w:eastAsia="Calibri"/>
        </w:rPr>
        <w:t xml:space="preserve">. </w:t>
      </w:r>
    </w:p>
    <w:p w14:paraId="27FA7098" w14:textId="36C6F20B" w:rsidR="006F679E" w:rsidRPr="00A831E7" w:rsidRDefault="00A4079D" w:rsidP="0057069D">
      <w:pPr>
        <w:pStyle w:val="a6"/>
        <w:numPr>
          <w:ilvl w:val="0"/>
          <w:numId w:val="14"/>
        </w:numPr>
        <w:tabs>
          <w:tab w:val="left" w:pos="360"/>
        </w:tabs>
        <w:spacing w:line="360" w:lineRule="auto"/>
        <w:ind w:left="360"/>
        <w:jc w:val="both"/>
        <w:rPr>
          <w:rFonts w:eastAsia="Calibri"/>
        </w:rPr>
      </w:pPr>
      <w:r w:rsidRPr="00A831E7">
        <w:rPr>
          <w:rFonts w:eastAsia="Calibri"/>
          <w:b/>
          <w:bCs/>
          <w:i/>
          <w:iCs/>
        </w:rPr>
        <w:t>Αλγόριθμοι</w:t>
      </w:r>
      <w:r w:rsidR="006F679E" w:rsidRPr="00A831E7">
        <w:rPr>
          <w:rFonts w:eastAsia="Calibri"/>
          <w:b/>
          <w:bCs/>
          <w:i/>
          <w:iCs/>
        </w:rPr>
        <w:t xml:space="preserve"> τυχαί</w:t>
      </w:r>
      <w:r w:rsidRPr="00A831E7">
        <w:rPr>
          <w:rFonts w:eastAsia="Calibri"/>
          <w:b/>
          <w:bCs/>
          <w:i/>
          <w:iCs/>
        </w:rPr>
        <w:t>ων</w:t>
      </w:r>
      <w:r w:rsidR="006F679E" w:rsidRPr="00A831E7">
        <w:rPr>
          <w:rFonts w:eastAsia="Calibri"/>
          <w:b/>
          <w:bCs/>
          <w:i/>
          <w:iCs/>
        </w:rPr>
        <w:t xml:space="preserve"> </w:t>
      </w:r>
      <w:r w:rsidRPr="00A831E7">
        <w:rPr>
          <w:rFonts w:eastAsia="Calibri"/>
          <w:b/>
          <w:bCs/>
          <w:i/>
          <w:iCs/>
        </w:rPr>
        <w:t>δασών</w:t>
      </w:r>
      <w:r w:rsidR="006F679E" w:rsidRPr="00A831E7">
        <w:rPr>
          <w:rFonts w:eastAsia="Calibri"/>
          <w:b/>
          <w:bCs/>
          <w:i/>
          <w:iCs/>
        </w:rPr>
        <w:t xml:space="preserve"> </w:t>
      </w:r>
      <w:r w:rsidRPr="00A831E7">
        <w:rPr>
          <w:rFonts w:eastAsia="Calibri"/>
          <w:b/>
          <w:bCs/>
          <w:i/>
          <w:iCs/>
        </w:rPr>
        <w:t xml:space="preserve">(Random Forest </w:t>
      </w:r>
      <w:r w:rsidR="00154055" w:rsidRPr="00A831E7">
        <w:rPr>
          <w:rFonts w:eastAsia="Calibri"/>
          <w:b/>
          <w:bCs/>
          <w:i/>
          <w:iCs/>
        </w:rPr>
        <w:t>-</w:t>
      </w:r>
      <w:r w:rsidRPr="00A831E7">
        <w:rPr>
          <w:rFonts w:eastAsia="Calibri"/>
          <w:b/>
          <w:bCs/>
          <w:i/>
          <w:iCs/>
        </w:rPr>
        <w:t xml:space="preserve"> RF):</w:t>
      </w:r>
      <w:r w:rsidRPr="00A831E7">
        <w:rPr>
          <w:rFonts w:eastAsia="Calibri"/>
        </w:rPr>
        <w:t xml:space="preserve"> </w:t>
      </w:r>
      <w:r w:rsidR="006F679E" w:rsidRPr="00A831E7">
        <w:rPr>
          <w:rFonts w:eastAsia="Calibri"/>
        </w:rPr>
        <w:t>επεκτείνουν αυτήν την προσέγγιση, δημιουργώντας πολλαπλά δέντρα απόφασης που χρησιμοποιούν διαφορετικά υποσύνολα χαρακτηριστικών και συνδυάζουν τις προβλέψεις τους για βελτιωμένη ακρίβεια.</w:t>
      </w:r>
    </w:p>
    <w:p w14:paraId="65E17182" w14:textId="313B7CE9" w:rsidR="00B93F11" w:rsidRPr="00A831E7" w:rsidRDefault="006F679E" w:rsidP="0057069D">
      <w:pPr>
        <w:pStyle w:val="a6"/>
        <w:numPr>
          <w:ilvl w:val="0"/>
          <w:numId w:val="14"/>
        </w:numPr>
        <w:tabs>
          <w:tab w:val="left" w:pos="360"/>
        </w:tabs>
        <w:spacing w:line="360" w:lineRule="auto"/>
        <w:ind w:left="360"/>
        <w:jc w:val="both"/>
        <w:rPr>
          <w:rFonts w:eastAsia="Calibri"/>
        </w:rPr>
      </w:pPr>
      <w:r w:rsidRPr="00A831E7">
        <w:rPr>
          <w:rFonts w:eastAsia="Calibri"/>
          <w:b/>
          <w:bCs/>
        </w:rPr>
        <w:t xml:space="preserve"> </w:t>
      </w:r>
      <w:r w:rsidRPr="00A831E7">
        <w:rPr>
          <w:rFonts w:eastAsia="Calibri"/>
          <w:b/>
          <w:bCs/>
          <w:i/>
          <w:iCs/>
        </w:rPr>
        <w:t>XGBoost</w:t>
      </w:r>
      <w:r w:rsidR="00A4079D" w:rsidRPr="00A831E7">
        <w:rPr>
          <w:rFonts w:eastAsia="Calibri"/>
          <w:b/>
          <w:bCs/>
          <w:i/>
          <w:iCs/>
        </w:rPr>
        <w:t>:</w:t>
      </w:r>
      <w:r w:rsidRPr="00A831E7">
        <w:rPr>
          <w:rFonts w:eastAsia="Calibri"/>
          <w:b/>
          <w:bCs/>
        </w:rPr>
        <w:t xml:space="preserve"> </w:t>
      </w:r>
      <w:r w:rsidRPr="00A831E7">
        <w:rPr>
          <w:rFonts w:eastAsia="Calibri"/>
        </w:rPr>
        <w:t>είναι μια ισχυρή μέθοδος ενίσχυσης βαθμίδων που βελτιώνει την ακρίβεια προβλέψεων μέσω επαναληπτικής βελτίωσης αδύναμων μοντέλων.</w:t>
      </w:r>
    </w:p>
    <w:p w14:paraId="562487E3" w14:textId="2FBCE2CF" w:rsidR="00A4079D" w:rsidRPr="00A831E7" w:rsidRDefault="00A4079D" w:rsidP="0057069D">
      <w:pPr>
        <w:pStyle w:val="4"/>
        <w:spacing w:line="360" w:lineRule="auto"/>
        <w:rPr>
          <w:rFonts w:eastAsia="Calibri"/>
          <w:b w:val="0"/>
          <w:bCs/>
        </w:rPr>
      </w:pPr>
      <w:r w:rsidRPr="00A831E7">
        <w:rPr>
          <w:rFonts w:eastAsia="Calibri"/>
          <w:bCs/>
        </w:rPr>
        <w:t>Νευρωνικά Δίκτυα και Βαθιά Μάθηση</w:t>
      </w:r>
    </w:p>
    <w:p w14:paraId="62DA8D1F" w14:textId="0C67AD60" w:rsidR="00C7272A" w:rsidRDefault="00A4079D" w:rsidP="00C7272A">
      <w:pPr>
        <w:spacing w:line="360" w:lineRule="auto"/>
        <w:ind w:firstLine="720"/>
        <w:jc w:val="both"/>
        <w:rPr>
          <w:rFonts w:eastAsia="Calibri"/>
        </w:rPr>
      </w:pPr>
      <w:r w:rsidRPr="00A831E7">
        <w:rPr>
          <w:rFonts w:eastAsia="Calibri"/>
        </w:rPr>
        <w:t xml:space="preserve">Τον τελευταίο καιρό, οι μέθοδοι </w:t>
      </w:r>
      <w:r w:rsidRPr="00A831E7">
        <w:rPr>
          <w:rFonts w:eastAsia="Calibri"/>
          <w:b/>
          <w:bCs/>
        </w:rPr>
        <w:t>βαθιάς μάθησης (DL)</w:t>
      </w:r>
      <w:r w:rsidRPr="00A831E7">
        <w:rPr>
          <w:rFonts w:eastAsia="Calibri"/>
        </w:rPr>
        <w:t xml:space="preserve"> έχουν αποκτήσει αυξανόμενο ενδιαφέρον λόγω της καλύτερης απόδοσης που επιτυγχάνεται σε πολλές εφαρμογές </w:t>
      </w:r>
      <w:r w:rsidR="003F6BC2" w:rsidRPr="00A831E7">
        <w:rPr>
          <w:rFonts w:eastAsia="Calibri"/>
        </w:rPr>
        <w:t>–</w:t>
      </w:r>
      <w:r w:rsidRPr="00A831E7">
        <w:rPr>
          <w:rFonts w:eastAsia="Calibri"/>
        </w:rPr>
        <w:t xml:space="preserve"> συμπεριλαμβανομένης της ιατρικής </w:t>
      </w:r>
      <w:r w:rsidR="003F6BC2" w:rsidRPr="00A831E7">
        <w:rPr>
          <w:rFonts w:eastAsia="Calibri"/>
        </w:rPr>
        <w:t>–</w:t>
      </w:r>
      <w:r w:rsidRPr="00A831E7">
        <w:rPr>
          <w:rFonts w:eastAsia="Calibri"/>
        </w:rPr>
        <w:t xml:space="preserve"> σε σύγκριση με άλλες πιο παραδοσιακές μεθόδους μηχανικής μάθησης </w:t>
      </w:r>
      <w:r w:rsidRPr="00A831E7">
        <w:rPr>
          <w:rFonts w:eastAsia="Calibri"/>
        </w:rPr>
        <w:fldChar w:fldCharType="begin"/>
      </w:r>
      <w:r w:rsidRPr="00A831E7">
        <w:rPr>
          <w:rFonts w:eastAsia="Calibri"/>
        </w:rPr>
        <w:instrText xml:space="preserve"> ADDIN ZOTERO_ITEM CSL_CITATION {"citationID":"0xWkjs0r","properties":{"formattedCitation":"[26]","plainCitation":"[26]","noteIndex":0},"citationItems":[{"id":1211,"uris":["http://zotero.org/users/local/mfHf28QG/items/9FUW65EX"],"itemData":{"id":1211,"type":"article-journal","abstract":"Artificial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Pr="00A831E7">
        <w:rPr>
          <w:rFonts w:eastAsia="Calibri"/>
        </w:rPr>
        <w:fldChar w:fldCharType="separate"/>
      </w:r>
      <w:r w:rsidRPr="00A831E7">
        <w:rPr>
          <w:rFonts w:eastAsia="Calibri"/>
        </w:rPr>
        <w:t>[26]</w:t>
      </w:r>
      <w:r w:rsidRPr="00A831E7">
        <w:rPr>
          <w:rFonts w:eastAsia="Calibri"/>
        </w:rPr>
        <w:fldChar w:fldCharType="end"/>
      </w:r>
      <w:r w:rsidRPr="00A831E7">
        <w:rPr>
          <w:rFonts w:eastAsia="Calibri"/>
        </w:rPr>
        <w:t>. Η βαθιά μάθηση χρησιμοποιεί έναν συγκεκριμένο τύπο αρχιτεκτονικής μηχανικής μάθησης, τα νευρωνικά δίκτυα</w:t>
      </w:r>
      <w:r w:rsidR="0057069D" w:rsidRPr="00A831E7">
        <w:rPr>
          <w:rFonts w:eastAsia="Calibri"/>
        </w:rPr>
        <w:t xml:space="preserve"> </w:t>
      </w:r>
      <w:r w:rsidRPr="00A831E7">
        <w:rPr>
          <w:rFonts w:eastAsia="Calibri"/>
        </w:rPr>
        <w:t>(Artificial Neural Networks</w:t>
      </w:r>
      <w:r w:rsidR="00D85493" w:rsidRPr="00A831E7">
        <w:rPr>
          <w:rFonts w:eastAsia="Calibri"/>
        </w:rPr>
        <w:t>,</w:t>
      </w:r>
      <w:r w:rsidRPr="00A831E7">
        <w:rPr>
          <w:rFonts w:eastAsia="Calibri"/>
        </w:rPr>
        <w:t xml:space="preserve"> </w:t>
      </w:r>
      <w:r w:rsidRPr="00A831E7">
        <w:rPr>
          <w:rFonts w:eastAsia="Calibri"/>
          <w:b/>
          <w:bCs/>
        </w:rPr>
        <w:t>ANN</w:t>
      </w:r>
      <w:r w:rsidRPr="00A831E7">
        <w:rPr>
          <w:rFonts w:eastAsia="Calibri"/>
        </w:rPr>
        <w:t xml:space="preserve">), τα οποία μιμούνται τον τρόπο λειτουργίας του ανθρώπινου εγκεφάλου </w:t>
      </w:r>
      <w:r w:rsidRPr="00A831E7">
        <w:rPr>
          <w:rFonts w:eastAsia="Calibri"/>
        </w:rPr>
        <w:fldChar w:fldCharType="begin"/>
      </w:r>
      <w:r w:rsidRPr="00A831E7">
        <w:rPr>
          <w:rFonts w:eastAsia="Calibri"/>
        </w:rPr>
        <w:instrText xml:space="preserve"> ADDIN ZOTERO_ITEM CSL_CITATION {"citationID":"b9fbYowc","properties":{"formattedCitation":"[26]","plainCitation":"[26]","noteIndex":0},"citationItems":[{"id":1211,"uris":["http://zotero.org/users/local/mfHf28QG/items/9FUW65EX"],"itemData":{"id":1211,"type":"article-journal","abstract":"Artificial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rPr>
        <w:fldChar w:fldCharType="separate"/>
      </w:r>
      <w:r w:rsidRPr="00A831E7">
        <w:rPr>
          <w:rFonts w:eastAsia="Calibri"/>
        </w:rPr>
        <w:t>[26]</w:t>
      </w:r>
      <w:r w:rsidRPr="00A831E7">
        <w:rPr>
          <w:rFonts w:eastAsia="Calibri"/>
        </w:rPr>
        <w:fldChar w:fldCharType="end"/>
      </w:r>
      <w:r w:rsidRPr="00A831E7">
        <w:rPr>
          <w:rFonts w:eastAsia="Calibri"/>
        </w:rPr>
        <w:t xml:space="preserve">. Προσομοιώνουν τη δομή των βιολογικών νευρικών συστημάτων, χρησιμοποιώντας διασυνδεδεμένους κόμβους που επεξεργάζονται πληροφορίες και προσαρμόζουν δυναμικά τα βάρη των συνδέσεων τους </w:t>
      </w:r>
      <w:r w:rsidRPr="00A831E7">
        <w:rPr>
          <w:rFonts w:eastAsia="Calibri"/>
        </w:rPr>
        <w:fldChar w:fldCharType="begin"/>
      </w:r>
      <w:r w:rsidRPr="00A831E7">
        <w:rPr>
          <w:rFonts w:eastAsia="Calibri"/>
        </w:rPr>
        <w:instrText xml:space="preserve"> ADDIN ZOTERO_ITEM CSL_CITATION {"citationID":"kgPSqdfg","properties":{"formattedCitation":"[25]","plainCitation":"[25]","noteIndex":0},"citationItems":[{"id":1582,"uris":["http://zotero.org/users/local/mfHf28QG/items/IYYJNVYE"],"itemData":{"id":1582,"type":"article-journal","abstract":"Purpose\nTo present an overview of current machine learning methods and their use in medical research, focusing on select machine learning techniques, best practices, and deep learning.\n\nMethods\nA systematic literature search in PubMed was performed for articles pertinent to the topic of artificial intelligence methods used in medicine with an emphasis on ophthalmology.\n\nResults\nA review of machine learning and deep learning methodology for the audience without an extensive technical computer programming background.\n\nConclusions\nArtificial intelligence has a promising future in medicine; however, many challenges remain.\n\nTranslational Relevance\nThe aim of this review article is to provide the nontechnical readers a layman's explanation of the machine learning methods being used in medicine today. The goal is to provide the reader a better understanding of the potential and challenges of artificial intelligence within the field of medicine.","container-title":"Translational Vision Science &amp; Technology","DOI":"10.1167/tvst.9.2.14","ISSN":"2164-2591","issue":"2","journalAbbreviation":"Transl Vis Sci Technol","note":"PMID: 32704420\nPMCID: PMC7347027","page":"14","source":"PubMed Central","title":"Introduction to Machine Learning, Neural Networks, and Deep Learning","volume":"9","author":[{"family":"Choi","given":"Rene Y."},{"family":"Coyner","given":"Aaron S."},{"family":"Kalpathy-Cramer","given":"Jayashree"},{"family":"Chiang","given":"Michael F."},{"family":"Campbell","given":"J. Peter"}]},"suppress-author":true}],"schema":"https://github.com/citation-style-language/schema/raw/master/csl-citation.json"} </w:instrText>
      </w:r>
      <w:r w:rsidRPr="00A831E7">
        <w:rPr>
          <w:rFonts w:eastAsia="Calibri"/>
        </w:rPr>
        <w:fldChar w:fldCharType="separate"/>
      </w:r>
      <w:r w:rsidRPr="00A831E7">
        <w:rPr>
          <w:rFonts w:eastAsia="Calibri"/>
        </w:rPr>
        <w:t>[25]</w:t>
      </w:r>
      <w:r w:rsidRPr="00A831E7">
        <w:rPr>
          <w:rFonts w:eastAsia="Calibri"/>
        </w:rPr>
        <w:fldChar w:fldCharType="end"/>
      </w:r>
      <w:r w:rsidRPr="00A831E7">
        <w:rPr>
          <w:rFonts w:eastAsia="Calibri"/>
        </w:rPr>
        <w:t xml:space="preserve">. Η μάθηση πραγματοποιείται μέσω επαναλαμβανόμενης προσαρμογής, επιτρέποντας στο μοντέλο να αναγνωρίζει σύνθετα μοτίβα στα δεδομένα. </w:t>
      </w:r>
      <w:r w:rsidR="00C7272A">
        <w:rPr>
          <w:rFonts w:eastAsia="Calibri"/>
        </w:rPr>
        <w:br w:type="page"/>
      </w:r>
    </w:p>
    <w:p w14:paraId="5D637409" w14:textId="0CC828FF" w:rsidR="0066323E" w:rsidRPr="00A831E7" w:rsidRDefault="00D04787" w:rsidP="000D69B0">
      <w:pPr>
        <w:pStyle w:val="1"/>
        <w:spacing w:line="360" w:lineRule="auto"/>
        <w:rPr>
          <w:rFonts w:ascii="Times New Roman" w:eastAsia="Calibri" w:hAnsi="Times New Roman" w:cs="Times New Roman"/>
          <w:b/>
          <w:bCs/>
        </w:rPr>
      </w:pPr>
      <w:bookmarkStart w:id="50" w:name="_Toc103619728"/>
      <w:bookmarkStart w:id="51" w:name="_Toc154923810"/>
      <w:bookmarkStart w:id="52" w:name="_Toc199787388"/>
      <w:bookmarkStart w:id="53" w:name="_Toc199946457"/>
      <w:bookmarkStart w:id="54" w:name="_Toc184664767"/>
      <w:r w:rsidRPr="00A831E7">
        <w:rPr>
          <w:rFonts w:ascii="Times New Roman" w:hAnsi="Times New Roman" w:cs="Times New Roman"/>
          <w:b/>
          <w:bCs/>
          <w:color w:val="auto"/>
          <w:sz w:val="32"/>
          <w:szCs w:val="32"/>
        </w:rPr>
        <w:lastRenderedPageBreak/>
        <w:t>Κεφάλαιο 2: Μεθοδολογία Έρευνας</w:t>
      </w:r>
      <w:bookmarkEnd w:id="50"/>
      <w:bookmarkEnd w:id="51"/>
      <w:bookmarkEnd w:id="52"/>
      <w:bookmarkEnd w:id="53"/>
      <w:r w:rsidRPr="00A831E7">
        <w:rPr>
          <w:rFonts w:ascii="Times New Roman" w:hAnsi="Times New Roman" w:cs="Times New Roman"/>
          <w:b/>
          <w:bCs/>
          <w:color w:val="auto"/>
          <w:sz w:val="32"/>
          <w:szCs w:val="32"/>
        </w:rPr>
        <w:t xml:space="preserve"> </w:t>
      </w:r>
      <w:r w:rsidR="0066323E" w:rsidRPr="00A831E7">
        <w:rPr>
          <w:rFonts w:ascii="Times New Roman" w:eastAsia="Calibri" w:hAnsi="Times New Roman" w:cs="Times New Roman"/>
          <w:b/>
          <w:bCs/>
        </w:rPr>
        <w:tab/>
      </w:r>
      <w:r w:rsidR="0066323E" w:rsidRPr="00A831E7">
        <w:rPr>
          <w:rFonts w:ascii="Times New Roman" w:eastAsia="Calibri" w:hAnsi="Times New Roman" w:cs="Times New Roman"/>
          <w:b/>
          <w:bCs/>
        </w:rPr>
        <w:tab/>
      </w:r>
    </w:p>
    <w:p w14:paraId="28AD165A" w14:textId="37490204" w:rsidR="0066323E" w:rsidRPr="00A831E7" w:rsidRDefault="00D04787" w:rsidP="00F32EEE">
      <w:pPr>
        <w:pStyle w:val="2"/>
        <w:spacing w:line="360" w:lineRule="auto"/>
        <w:rPr>
          <w:rFonts w:ascii="Times New Roman" w:hAnsi="Times New Roman" w:cs="Times New Roman"/>
          <w:b/>
          <w:bCs/>
          <w:i/>
          <w:iCs/>
          <w:color w:val="auto"/>
          <w:sz w:val="28"/>
          <w:szCs w:val="28"/>
        </w:rPr>
      </w:pPr>
      <w:bookmarkStart w:id="55" w:name="_Toc199787389"/>
      <w:bookmarkStart w:id="56" w:name="_Toc199946458"/>
      <w:r w:rsidRPr="00A831E7">
        <w:rPr>
          <w:rFonts w:ascii="Times New Roman" w:hAnsi="Times New Roman" w:cs="Times New Roman"/>
          <w:b/>
          <w:bCs/>
          <w:i/>
          <w:iCs/>
          <w:color w:val="auto"/>
          <w:sz w:val="28"/>
          <w:szCs w:val="28"/>
        </w:rPr>
        <w:t xml:space="preserve">2.1 Στόχος της </w:t>
      </w:r>
      <w:r w:rsidR="000D69B0" w:rsidRPr="00A831E7">
        <w:rPr>
          <w:rFonts w:ascii="Times New Roman" w:hAnsi="Times New Roman" w:cs="Times New Roman"/>
          <w:b/>
          <w:bCs/>
          <w:i/>
          <w:iCs/>
          <w:color w:val="auto"/>
          <w:sz w:val="28"/>
          <w:szCs w:val="28"/>
        </w:rPr>
        <w:t>Β</w:t>
      </w:r>
      <w:r w:rsidRPr="00A831E7">
        <w:rPr>
          <w:rFonts w:ascii="Times New Roman" w:hAnsi="Times New Roman" w:cs="Times New Roman"/>
          <w:b/>
          <w:bCs/>
          <w:i/>
          <w:iCs/>
          <w:color w:val="auto"/>
          <w:sz w:val="28"/>
          <w:szCs w:val="28"/>
        </w:rPr>
        <w:t>ιβλ</w:t>
      </w:r>
      <w:r w:rsidR="000D69B0" w:rsidRPr="00A831E7">
        <w:rPr>
          <w:rFonts w:ascii="Times New Roman" w:hAnsi="Times New Roman" w:cs="Times New Roman"/>
          <w:b/>
          <w:bCs/>
          <w:i/>
          <w:iCs/>
          <w:color w:val="auto"/>
          <w:sz w:val="28"/>
          <w:szCs w:val="28"/>
        </w:rPr>
        <w:t>ιογραφικής</w:t>
      </w:r>
      <w:r w:rsidRPr="00A831E7">
        <w:rPr>
          <w:rFonts w:ascii="Times New Roman" w:hAnsi="Times New Roman" w:cs="Times New Roman"/>
          <w:b/>
          <w:bCs/>
          <w:i/>
          <w:iCs/>
          <w:color w:val="auto"/>
          <w:sz w:val="28"/>
          <w:szCs w:val="28"/>
        </w:rPr>
        <w:t xml:space="preserve"> Ανασκόπησης</w:t>
      </w:r>
      <w:bookmarkStart w:id="57" w:name="_Toc184664768"/>
      <w:bookmarkEnd w:id="54"/>
      <w:bookmarkEnd w:id="55"/>
      <w:bookmarkEnd w:id="56"/>
    </w:p>
    <w:p w14:paraId="463D81BF" w14:textId="698928C4" w:rsidR="000C1BEC" w:rsidRPr="00A831E7" w:rsidRDefault="0066323E" w:rsidP="00B100B6">
      <w:pPr>
        <w:spacing w:line="360" w:lineRule="auto"/>
        <w:jc w:val="both"/>
        <w:rPr>
          <w:rFonts w:eastAsia="Calibri"/>
          <w:color w:val="18191B"/>
        </w:rPr>
      </w:pPr>
      <w:r w:rsidRPr="00A831E7">
        <w:rPr>
          <w:rFonts w:eastAsia="Calibri"/>
        </w:rPr>
        <w:tab/>
      </w:r>
      <w:r w:rsidR="000D69B0" w:rsidRPr="00A831E7">
        <w:rPr>
          <w:rFonts w:eastAsia="Calibri"/>
          <w:color w:val="18191B"/>
        </w:rPr>
        <w:t xml:space="preserve">Η παρούσα βιβλιογραφική </w:t>
      </w:r>
      <w:r w:rsidR="00194345" w:rsidRPr="00A831E7">
        <w:rPr>
          <w:rFonts w:eastAsia="Calibri"/>
          <w:color w:val="18191B"/>
        </w:rPr>
        <w:t>ανασκόπηση</w:t>
      </w:r>
      <w:r w:rsidR="000D69B0" w:rsidRPr="00A831E7">
        <w:rPr>
          <w:rFonts w:eastAsia="Calibri"/>
          <w:color w:val="18191B"/>
        </w:rPr>
        <w:t xml:space="preserve"> έχει ως</w:t>
      </w:r>
      <w:r w:rsidR="00194345" w:rsidRPr="00A831E7">
        <w:rPr>
          <w:rFonts w:eastAsia="Calibri"/>
          <w:color w:val="18191B"/>
        </w:rPr>
        <w:t xml:space="preserve"> ερευνητικό</w:t>
      </w:r>
      <w:r w:rsidR="000D69B0" w:rsidRPr="00A831E7">
        <w:rPr>
          <w:rFonts w:eastAsia="Calibri"/>
          <w:color w:val="18191B"/>
        </w:rPr>
        <w:t xml:space="preserve"> στόχο την </w:t>
      </w:r>
      <w:r w:rsidR="00194345" w:rsidRPr="00A831E7">
        <w:rPr>
          <w:rFonts w:eastAsia="Calibri"/>
          <w:color w:val="18191B"/>
        </w:rPr>
        <w:t>διερεύνηση της συμβολής της μηχανικής μάθησης (ML) αλλά και των εφαρμογών point-of-care (PoC) στη διάγνωση του εγκεφαλικού επεισοδίου. Παράλληλα επιδιώκεται να καλυφθούν τόσο παραδοσιακές όσο και σύγχρονες προσεγγίσεις στον τομέα της διάγνωσης. Με την ανασκόπηση της σχετικής βιβλιογραφίας ο στόχος είναι να αποτυπωθεί η τρέχουσα κατάσταση με σκοπό την κατανόηση τ</w:t>
      </w:r>
      <w:r w:rsidR="00B100B6" w:rsidRPr="00A831E7">
        <w:rPr>
          <w:rFonts w:eastAsia="Calibri"/>
          <w:color w:val="18191B"/>
        </w:rPr>
        <w:t>η</w:t>
      </w:r>
      <w:r w:rsidR="00194345" w:rsidRPr="00A831E7">
        <w:rPr>
          <w:rFonts w:eastAsia="Calibri"/>
          <w:color w:val="18191B"/>
        </w:rPr>
        <w:t>ς σε αυτό τον τομέα. Η ανασκόπηση επιδιώκει</w:t>
      </w:r>
      <w:r w:rsidR="00B100B6" w:rsidRPr="00A831E7">
        <w:rPr>
          <w:rFonts w:eastAsia="Calibri"/>
          <w:color w:val="18191B"/>
        </w:rPr>
        <w:t xml:space="preserve"> να επισημάνει την ανάγκη για πρώιμη και ακριβή διάγνωση του εγκεφαλικού επεισοδίου, δεδομένου ότι η έγκαιρη θεραπεία μειώνει τη νευρολογική βλάβη. Στοχεύει</w:t>
      </w:r>
      <w:r w:rsidR="00194345" w:rsidRPr="00A831E7">
        <w:rPr>
          <w:rFonts w:eastAsia="Calibri"/>
          <w:color w:val="18191B"/>
        </w:rPr>
        <w:t xml:space="preserve"> </w:t>
      </w:r>
      <w:r w:rsidR="00B100B6" w:rsidRPr="00A831E7">
        <w:rPr>
          <w:rFonts w:eastAsia="Calibri"/>
          <w:color w:val="18191B"/>
        </w:rPr>
        <w:t>στην</w:t>
      </w:r>
      <w:r w:rsidR="00194345" w:rsidRPr="00A831E7">
        <w:rPr>
          <w:rFonts w:eastAsia="Calibri"/>
          <w:color w:val="18191B"/>
        </w:rPr>
        <w:t xml:space="preserve"> καταγρ</w:t>
      </w:r>
      <w:r w:rsidR="00B100B6" w:rsidRPr="00A831E7">
        <w:rPr>
          <w:rFonts w:eastAsia="Calibri"/>
          <w:color w:val="18191B"/>
        </w:rPr>
        <w:t>αφή</w:t>
      </w:r>
      <w:r w:rsidR="00194345" w:rsidRPr="00A831E7">
        <w:rPr>
          <w:rFonts w:eastAsia="Calibri"/>
          <w:color w:val="18191B"/>
        </w:rPr>
        <w:t xml:space="preserve"> τ</w:t>
      </w:r>
      <w:r w:rsidR="00B100B6" w:rsidRPr="00A831E7">
        <w:rPr>
          <w:rFonts w:eastAsia="Calibri"/>
          <w:color w:val="18191B"/>
        </w:rPr>
        <w:t>ων</w:t>
      </w:r>
      <w:r w:rsidR="00194345" w:rsidRPr="00A831E7">
        <w:rPr>
          <w:rFonts w:eastAsia="Calibri"/>
          <w:color w:val="18191B"/>
        </w:rPr>
        <w:t xml:space="preserve"> </w:t>
      </w:r>
      <w:r w:rsidR="00E3586E">
        <w:rPr>
          <w:rFonts w:eastAsia="Calibri"/>
          <w:color w:val="18191B"/>
        </w:rPr>
        <w:t>καθιερωμένων</w:t>
      </w:r>
      <w:r w:rsidR="00194345" w:rsidRPr="00A831E7">
        <w:rPr>
          <w:rFonts w:eastAsia="Calibri"/>
          <w:color w:val="18191B"/>
        </w:rPr>
        <w:t xml:space="preserve"> μεθόδ</w:t>
      </w:r>
      <w:r w:rsidR="00B100B6" w:rsidRPr="00A831E7">
        <w:rPr>
          <w:rFonts w:eastAsia="Calibri"/>
          <w:color w:val="18191B"/>
        </w:rPr>
        <w:t>ων</w:t>
      </w:r>
      <w:r w:rsidR="00194345" w:rsidRPr="00A831E7">
        <w:rPr>
          <w:rFonts w:eastAsia="Calibri"/>
          <w:color w:val="18191B"/>
        </w:rPr>
        <w:t xml:space="preserve"> διάγνωσης</w:t>
      </w:r>
      <w:r w:rsidR="00B100B6" w:rsidRPr="00A831E7">
        <w:rPr>
          <w:rFonts w:eastAsia="Calibri"/>
          <w:color w:val="18191B"/>
        </w:rPr>
        <w:t xml:space="preserve"> αλλά και στο να</w:t>
      </w:r>
      <w:r w:rsidR="00194345" w:rsidRPr="00A831E7">
        <w:rPr>
          <w:rFonts w:eastAsia="Calibri"/>
          <w:color w:val="18191B"/>
        </w:rPr>
        <w:t xml:space="preserve"> εντοπ</w:t>
      </w:r>
      <w:r w:rsidR="00B100B6" w:rsidRPr="00A831E7">
        <w:rPr>
          <w:rFonts w:eastAsia="Calibri"/>
          <w:color w:val="18191B"/>
        </w:rPr>
        <w:t xml:space="preserve">ίσει </w:t>
      </w:r>
      <w:r w:rsidR="00194345" w:rsidRPr="00A831E7">
        <w:rPr>
          <w:rFonts w:eastAsia="Calibri"/>
          <w:color w:val="18191B"/>
        </w:rPr>
        <w:t>και να επισημάνει καινοτομίες στις εφαρμογές point-of-care</w:t>
      </w:r>
      <w:r w:rsidR="00B100B6" w:rsidRPr="00A831E7">
        <w:rPr>
          <w:rFonts w:eastAsia="Calibri"/>
          <w:color w:val="18191B"/>
        </w:rPr>
        <w:t xml:space="preserve">, </w:t>
      </w:r>
      <w:r w:rsidR="00194345" w:rsidRPr="00A831E7">
        <w:rPr>
          <w:rFonts w:eastAsia="Calibri"/>
          <w:color w:val="18191B"/>
        </w:rPr>
        <w:t>συνοψί</w:t>
      </w:r>
      <w:r w:rsidR="00B100B6" w:rsidRPr="00A831E7">
        <w:rPr>
          <w:rFonts w:eastAsia="Calibri"/>
          <w:color w:val="18191B"/>
        </w:rPr>
        <w:t>ζοντας παράλληλα</w:t>
      </w:r>
      <w:r w:rsidR="00194345" w:rsidRPr="00A831E7">
        <w:rPr>
          <w:rFonts w:eastAsia="Calibri"/>
          <w:color w:val="18191B"/>
        </w:rPr>
        <w:t xml:space="preserve"> νέους τρόπους διάγνωσης μέσω βιοδεικτών και εξωκυτταρικών κυστιδίων</w:t>
      </w:r>
      <w:r w:rsidR="00E3586E">
        <w:rPr>
          <w:rFonts w:eastAsia="Calibri"/>
          <w:color w:val="18191B"/>
        </w:rPr>
        <w:t xml:space="preserve"> </w:t>
      </w:r>
      <w:r w:rsidR="00E3586E">
        <w:rPr>
          <w:rFonts w:eastAsia="Calibri"/>
          <w:color w:val="18191B"/>
          <w:lang w:val="en-US"/>
        </w:rPr>
        <w:t>(EVs)</w:t>
      </w:r>
      <w:r w:rsidR="00194345" w:rsidRPr="00A831E7">
        <w:rPr>
          <w:rFonts w:eastAsia="Calibri"/>
          <w:color w:val="18191B"/>
        </w:rPr>
        <w:t>. Αυτό περιλαμβάνει τη σύνοψη ευρημάτων από διάφορες μελέτες</w:t>
      </w:r>
      <w:r w:rsidR="00915513" w:rsidRPr="00915513">
        <w:rPr>
          <w:rFonts w:eastAsia="Calibri"/>
          <w:color w:val="18191B"/>
        </w:rPr>
        <w:t xml:space="preserve"> –</w:t>
      </w:r>
      <w:r w:rsidR="00194345" w:rsidRPr="00A831E7">
        <w:rPr>
          <w:rFonts w:eastAsia="Calibri"/>
          <w:color w:val="18191B"/>
        </w:rPr>
        <w:t xml:space="preserve"> συμπεριλαμβανομένων</w:t>
      </w:r>
      <w:r w:rsidR="00CB7128" w:rsidRPr="00A831E7">
        <w:rPr>
          <w:rFonts w:eastAsia="Calibri"/>
          <w:color w:val="18191B"/>
        </w:rPr>
        <w:t xml:space="preserve"> μελετών αξιοποίησης και ανάπτυξης διαγνωστικών μοντέλων βασισμένων σε αλγορίθμους μηχανικής μάθησης</w:t>
      </w:r>
      <w:r w:rsidR="00915513" w:rsidRPr="00915513">
        <w:rPr>
          <w:rFonts w:eastAsia="Calibri"/>
          <w:color w:val="18191B"/>
        </w:rPr>
        <w:t xml:space="preserve"> –</w:t>
      </w:r>
      <w:r w:rsidR="00CB7128" w:rsidRPr="00A831E7">
        <w:rPr>
          <w:rFonts w:eastAsia="Calibri"/>
          <w:color w:val="18191B"/>
        </w:rPr>
        <w:t xml:space="preserve"> μελέτες για την ανίχνευση νέων βιοδεικτών,</w:t>
      </w:r>
      <w:r w:rsidR="00194345" w:rsidRPr="00A831E7">
        <w:rPr>
          <w:rFonts w:eastAsia="Calibri"/>
          <w:color w:val="18191B"/>
        </w:rPr>
        <w:t xml:space="preserve">  </w:t>
      </w:r>
      <w:r w:rsidR="00CB7128" w:rsidRPr="00A831E7">
        <w:rPr>
          <w:rFonts w:eastAsia="Calibri"/>
          <w:color w:val="18191B"/>
        </w:rPr>
        <w:t xml:space="preserve">μελέτες ανάπτυξης εφαρμογών point-of-care αλλά και μελέτες που αφορούν νέες τεχνολογίες που θα μπορούσαν να επισπεύσουν τις διαδικασίες που ενδέχεται να περιγράφουν οι αναφερόμενες μελέτες. Αυτές οι διαδικασίες μπορούν να αφορούν διαγνωστικά μοντέλα ή και μεθόδους απομόνωσης, εξαγωγής ή/και καταμέτρησης EVs. Θα αξιολογηθούν επίσης οι μεθοδολογίες που χρησιμοποιούνται σε μελέτες που διερευνούν τα παραπάνω. Αυτό περιλαμβάνει την αξιολόγηση των πλεονεκτημάτων και των περιορισμών διαφορετικών </w:t>
      </w:r>
      <w:r w:rsidR="00E3586E">
        <w:rPr>
          <w:rFonts w:eastAsia="Calibri"/>
          <w:color w:val="18191B"/>
        </w:rPr>
        <w:t>μεθόδων</w:t>
      </w:r>
      <w:r w:rsidR="00CB7128" w:rsidRPr="00A831E7">
        <w:rPr>
          <w:rFonts w:eastAsia="Calibri"/>
          <w:color w:val="18191B"/>
        </w:rPr>
        <w:t>, μεγεθών δειγμάτων και τεχνικών μέτρησης για να διαπιστωθεί η αξιοπιστία και η εγκυρότητα των στοιχείων που παρουσιάζονται στη βιβλιογραφία.</w:t>
      </w:r>
    </w:p>
    <w:p w14:paraId="4E465101" w14:textId="3CE469AC" w:rsidR="00EE0F79" w:rsidRPr="00A831E7" w:rsidRDefault="00CB7128" w:rsidP="00EE0F79">
      <w:pPr>
        <w:autoSpaceDE w:val="0"/>
        <w:autoSpaceDN w:val="0"/>
        <w:adjustRightInd w:val="0"/>
        <w:spacing w:line="360" w:lineRule="auto"/>
        <w:ind w:firstLine="720"/>
        <w:jc w:val="both"/>
        <w:rPr>
          <w:rFonts w:eastAsia="Calibri"/>
          <w:color w:val="18191B"/>
        </w:rPr>
      </w:pPr>
      <w:r w:rsidRPr="00A831E7">
        <w:rPr>
          <w:rFonts w:eastAsia="Calibri"/>
          <w:color w:val="18191B"/>
        </w:rPr>
        <w:t xml:space="preserve">Επιπλέον, </w:t>
      </w:r>
      <w:r w:rsidR="00E3586E">
        <w:rPr>
          <w:rFonts w:eastAsia="Calibri"/>
          <w:color w:val="18191B"/>
        </w:rPr>
        <w:t xml:space="preserve">επιδιώκεται </w:t>
      </w:r>
      <w:r w:rsidRPr="00A831E7">
        <w:rPr>
          <w:rFonts w:eastAsia="Calibri"/>
          <w:color w:val="18191B"/>
        </w:rPr>
        <w:t>ο προσδιορισμός ερευνητικών κενών στους τομείς στους οποίους απαιτείται περαιτέρω έρευνα, εντοπίζοντας κενά ή περιορισμούς στο τρέχον σώμα της βιβλιογραφίας. Αυτό θα μπορούσε να περιλαμβάνει τη σύσταση πρόσθετων μεθοδολογιών</w:t>
      </w:r>
      <w:r w:rsidR="00C712BE" w:rsidRPr="00A831E7">
        <w:rPr>
          <w:rFonts w:eastAsia="Calibri"/>
          <w:color w:val="18191B"/>
        </w:rPr>
        <w:t xml:space="preserve"> και</w:t>
      </w:r>
      <w:r w:rsidRPr="00A831E7">
        <w:rPr>
          <w:rFonts w:eastAsia="Calibri"/>
          <w:color w:val="18191B"/>
        </w:rPr>
        <w:t xml:space="preserve"> την πρόταση νέων οδών έρευνας.</w:t>
      </w:r>
      <w:r w:rsidR="00B100B6" w:rsidRPr="00A831E7">
        <w:rPr>
          <w:rFonts w:eastAsia="Calibri"/>
          <w:color w:val="18191B"/>
        </w:rPr>
        <w:t xml:space="preserve"> </w:t>
      </w:r>
      <w:r w:rsidRPr="00A831E7">
        <w:rPr>
          <w:rFonts w:eastAsia="Calibri"/>
          <w:color w:val="18191B"/>
        </w:rPr>
        <w:t xml:space="preserve"> Η </w:t>
      </w:r>
      <w:r w:rsidR="00B100B6" w:rsidRPr="00A831E7">
        <w:rPr>
          <w:rFonts w:eastAsia="Calibri"/>
          <w:color w:val="18191B"/>
        </w:rPr>
        <w:t>κατανόηση του θεωρητικού αλλά και του πρακτικού</w:t>
      </w:r>
      <w:r w:rsidRPr="00A831E7">
        <w:rPr>
          <w:rFonts w:eastAsia="Calibri"/>
          <w:color w:val="18191B"/>
        </w:rPr>
        <w:t xml:space="preserve"> </w:t>
      </w:r>
      <w:r w:rsidR="00B100B6" w:rsidRPr="00A831E7">
        <w:rPr>
          <w:rFonts w:eastAsia="Calibri"/>
          <w:color w:val="18191B"/>
        </w:rPr>
        <w:t xml:space="preserve">πλαισίου της τρέχουσας κατάστασης </w:t>
      </w:r>
      <w:r w:rsidRPr="00A831E7">
        <w:rPr>
          <w:rFonts w:eastAsia="Calibri"/>
          <w:color w:val="18191B"/>
        </w:rPr>
        <w:t xml:space="preserve">μπορεί να </w:t>
      </w:r>
      <w:r w:rsidR="00B100B6" w:rsidRPr="00A831E7">
        <w:rPr>
          <w:rFonts w:eastAsia="Calibri"/>
          <w:color w:val="18191B"/>
        </w:rPr>
        <w:t>αναδείξει τις προοπτικ</w:t>
      </w:r>
      <w:r w:rsidR="00915513">
        <w:rPr>
          <w:rFonts w:eastAsia="Calibri"/>
          <w:color w:val="18191B"/>
        </w:rPr>
        <w:t>ές</w:t>
      </w:r>
      <w:r w:rsidR="00B100B6" w:rsidRPr="00A831E7">
        <w:rPr>
          <w:rFonts w:eastAsia="Calibri"/>
          <w:color w:val="18191B"/>
        </w:rPr>
        <w:t xml:space="preserve"> χρήσης μηχανικής μάθησης (ML) και point-of-care (PoC) εφαρμογών στην </w:t>
      </w:r>
      <w:r w:rsidR="00B100B6" w:rsidRPr="00A831E7">
        <w:rPr>
          <w:rFonts w:eastAsia="Calibri"/>
          <w:color w:val="18191B"/>
        </w:rPr>
        <w:lastRenderedPageBreak/>
        <w:t xml:space="preserve">κλινική πράξη, αναδεικνύοντας τι απαιτείται για την επιτυχή μετάβαση από τη θεωρία στην πράξη. </w:t>
      </w:r>
    </w:p>
    <w:p w14:paraId="5DC1E0CC" w14:textId="21B6BC56" w:rsidR="000D69B0" w:rsidRDefault="00CB7128" w:rsidP="00EE0F79">
      <w:pPr>
        <w:autoSpaceDE w:val="0"/>
        <w:autoSpaceDN w:val="0"/>
        <w:adjustRightInd w:val="0"/>
        <w:spacing w:line="360" w:lineRule="auto"/>
        <w:ind w:firstLine="720"/>
        <w:jc w:val="both"/>
        <w:rPr>
          <w:szCs w:val="21"/>
        </w:rPr>
      </w:pPr>
      <w:r w:rsidRPr="00A831E7">
        <w:rPr>
          <w:rFonts w:eastAsia="Calibri"/>
          <w:color w:val="18191B"/>
        </w:rPr>
        <w:t xml:space="preserve">Συνοπτικά, ο σκοπός της βιβλιογραφικής ανασκόπησης </w:t>
      </w:r>
      <w:r w:rsidR="005A470E" w:rsidRPr="00A831E7">
        <w:rPr>
          <w:rFonts w:eastAsia="Calibri"/>
          <w:color w:val="18191B"/>
        </w:rPr>
        <w:t>είναι η διερεύνηση των διαγνωστικών μοντέλων μηχανικής μάθησης (ML) και των εφαρμογών point-of-care (PoC) στη διάγνωση εγκεφαλικού επεισοδίου, αξιολογώντας την ακρίβεια, τις κλινικές δυνατότητες και τους περιορισμούς τους σε σύγκριση με τις παραδοσιακές μεθόδους απεικόνισης και βιοδεικτών αναδεικνύοντας τις προοπτικές των εξωκυτταρικών κυστιδίων</w:t>
      </w:r>
      <w:r w:rsidR="00C712BE" w:rsidRPr="00A831E7">
        <w:rPr>
          <w:rFonts w:eastAsia="Calibri"/>
          <w:color w:val="18191B"/>
        </w:rPr>
        <w:t xml:space="preserve"> (EVs)</w:t>
      </w:r>
      <w:r w:rsidR="005A470E" w:rsidRPr="00A831E7">
        <w:rPr>
          <w:rFonts w:eastAsia="Calibri"/>
          <w:color w:val="18191B"/>
        </w:rPr>
        <w:t xml:space="preserve"> στον τομέα της διάγνωσης. Μέσω της συστηματικής ανασκόπησης των διαθέσιμων ερευνών, η μελέτη στοχεύει στην ανάδειξη των προοπτικών και εμποδίων για την ενσωμάτωση αυτών των τεχνολογιών στην κλινική πράξη, συμβάλλοντας στη βελτίωση της πρώιμης και ακριβούς διάγνωσης του εγκεφαλικού επεισοδίου.</w:t>
      </w:r>
    </w:p>
    <w:p w14:paraId="7C3AA3F5" w14:textId="77777777" w:rsidR="00EE0F79" w:rsidRPr="00EE0F79" w:rsidRDefault="00EE0F79" w:rsidP="00EE0F79">
      <w:pPr>
        <w:autoSpaceDE w:val="0"/>
        <w:autoSpaceDN w:val="0"/>
        <w:adjustRightInd w:val="0"/>
        <w:spacing w:line="360" w:lineRule="auto"/>
        <w:ind w:firstLine="720"/>
        <w:jc w:val="both"/>
        <w:rPr>
          <w:szCs w:val="21"/>
        </w:rPr>
      </w:pPr>
    </w:p>
    <w:p w14:paraId="3A6568B9" w14:textId="7F2F5957" w:rsidR="0066323E" w:rsidRPr="00A831E7" w:rsidRDefault="00D04787" w:rsidP="00F32EEE">
      <w:pPr>
        <w:pStyle w:val="2"/>
        <w:spacing w:line="360" w:lineRule="auto"/>
        <w:rPr>
          <w:rFonts w:ascii="Times New Roman" w:hAnsi="Times New Roman" w:cs="Times New Roman"/>
          <w:b/>
          <w:bCs/>
          <w:i/>
          <w:iCs/>
        </w:rPr>
      </w:pPr>
      <w:bookmarkStart w:id="58" w:name="_Toc199787390"/>
      <w:bookmarkStart w:id="59" w:name="_Toc199946459"/>
      <w:r w:rsidRPr="00A831E7">
        <w:rPr>
          <w:rFonts w:ascii="Times New Roman" w:hAnsi="Times New Roman" w:cs="Times New Roman"/>
          <w:b/>
          <w:bCs/>
          <w:i/>
          <w:iCs/>
          <w:color w:val="auto"/>
          <w:sz w:val="28"/>
          <w:szCs w:val="28"/>
        </w:rPr>
        <w:t>2.2 Ερευνητικά Ερωτήματα</w:t>
      </w:r>
      <w:bookmarkStart w:id="60" w:name="_Toc184664769"/>
      <w:bookmarkEnd w:id="57"/>
      <w:bookmarkEnd w:id="58"/>
      <w:bookmarkEnd w:id="59"/>
    </w:p>
    <w:p w14:paraId="6E043D1C" w14:textId="4220CA77" w:rsidR="005A470E" w:rsidRPr="00A831E7" w:rsidRDefault="0066323E" w:rsidP="005A470E">
      <w:pPr>
        <w:spacing w:line="360" w:lineRule="auto"/>
        <w:jc w:val="both"/>
        <w:rPr>
          <w:rFonts w:eastAsia="Calibri"/>
        </w:rPr>
      </w:pPr>
      <w:r w:rsidRPr="00A831E7">
        <w:rPr>
          <w:rFonts w:eastAsia="Calibri"/>
        </w:rPr>
        <w:tab/>
      </w:r>
      <w:r w:rsidR="005A470E" w:rsidRPr="00A831E7">
        <w:rPr>
          <w:rFonts w:eastAsia="Calibri"/>
        </w:rPr>
        <w:t>Η βιβλιογραφική ανασκόπηση επιχειρεί να απαντήσει σε ερωτήματα που αφορούν τη χρησιμότητα και εφαρμοσιμότητα της μηχανικής μάθησης (ML) και των τεχνολογιών point-of-care (PoC) στη διάγνωση του εγκεφαλικού επεισοδίου. Κάποια βασικά ερευνητικά ερωτήματα περιλαμβάνουν:</w:t>
      </w:r>
    </w:p>
    <w:p w14:paraId="33A95010" w14:textId="3ABA8770" w:rsidR="005A470E" w:rsidRPr="00A831E7" w:rsidRDefault="005A470E" w:rsidP="005A470E">
      <w:pPr>
        <w:pStyle w:val="a6"/>
        <w:numPr>
          <w:ilvl w:val="0"/>
          <w:numId w:val="21"/>
        </w:numPr>
        <w:spacing w:line="360" w:lineRule="auto"/>
        <w:ind w:left="284" w:hanging="284"/>
        <w:jc w:val="both"/>
        <w:rPr>
          <w:rFonts w:eastAsia="Calibri"/>
        </w:rPr>
      </w:pPr>
      <w:r w:rsidRPr="00A831E7">
        <w:rPr>
          <w:rFonts w:eastAsia="Calibri"/>
        </w:rPr>
        <w:t xml:space="preserve">Πόσο ακριβής είναι η </w:t>
      </w:r>
      <w:r w:rsidR="00E3586E">
        <w:rPr>
          <w:rFonts w:eastAsia="Calibri"/>
        </w:rPr>
        <w:t>μηχανική μάθηση (</w:t>
      </w:r>
      <w:r w:rsidRPr="00A831E7">
        <w:rPr>
          <w:rFonts w:eastAsia="Calibri"/>
        </w:rPr>
        <w:t>ML</w:t>
      </w:r>
      <w:r w:rsidR="00E3586E">
        <w:rPr>
          <w:rFonts w:eastAsia="Calibri"/>
        </w:rPr>
        <w:t>)</w:t>
      </w:r>
      <w:r w:rsidRPr="00A831E7">
        <w:rPr>
          <w:rFonts w:eastAsia="Calibri"/>
        </w:rPr>
        <w:t xml:space="preserve"> στη διάγνωση του εγκεφαλικού σε σύγκριση με τις παραδοσιακές απεικονιστικές τεχνικές (CT/MRI);</w:t>
      </w:r>
    </w:p>
    <w:p w14:paraId="01713714" w14:textId="4E46974A" w:rsidR="005A470E" w:rsidRPr="00A831E7" w:rsidRDefault="005A470E" w:rsidP="005A470E">
      <w:pPr>
        <w:pStyle w:val="a6"/>
        <w:numPr>
          <w:ilvl w:val="0"/>
          <w:numId w:val="21"/>
        </w:numPr>
        <w:spacing w:line="360" w:lineRule="auto"/>
        <w:ind w:left="284" w:hanging="284"/>
        <w:jc w:val="both"/>
        <w:rPr>
          <w:rFonts w:eastAsia="Calibri"/>
        </w:rPr>
      </w:pPr>
      <w:r w:rsidRPr="00A831E7">
        <w:rPr>
          <w:rFonts w:eastAsia="Calibri"/>
        </w:rPr>
        <w:t>Μπορούν οι PoC τεχνολογίες να μειώσουν τον χρόνο διάγνωσης και να βελτιώσουν τα αποτελέσματα της θεραπείας;</w:t>
      </w:r>
    </w:p>
    <w:p w14:paraId="6F5AB5C2" w14:textId="6A47F45F" w:rsidR="005A470E" w:rsidRPr="00A831E7" w:rsidRDefault="005A470E" w:rsidP="005A470E">
      <w:pPr>
        <w:pStyle w:val="a6"/>
        <w:numPr>
          <w:ilvl w:val="0"/>
          <w:numId w:val="21"/>
        </w:numPr>
        <w:spacing w:line="360" w:lineRule="auto"/>
        <w:ind w:left="284" w:hanging="284"/>
        <w:jc w:val="both"/>
        <w:rPr>
          <w:rFonts w:eastAsia="Calibri"/>
        </w:rPr>
      </w:pPr>
      <w:r w:rsidRPr="00A831E7">
        <w:rPr>
          <w:rFonts w:eastAsia="Calibri"/>
        </w:rPr>
        <w:t>Ποιοι βιοδείκτες είναι οι πιο αξιόπιστοι για την έγκαιρη διάγνωση μέσω μοντέλων</w:t>
      </w:r>
      <w:r w:rsidR="00E3586E">
        <w:rPr>
          <w:rFonts w:eastAsia="Calibri"/>
        </w:rPr>
        <w:t xml:space="preserve"> μηχανικής μάθησης</w:t>
      </w:r>
      <w:r w:rsidR="00E3586E">
        <w:rPr>
          <w:rFonts w:eastAsia="Calibri"/>
          <w:lang w:val="en-US"/>
        </w:rPr>
        <w:t xml:space="preserve"> </w:t>
      </w:r>
      <w:r w:rsidR="00E3586E">
        <w:rPr>
          <w:rFonts w:eastAsia="Calibri"/>
        </w:rPr>
        <w:t>(</w:t>
      </w:r>
      <w:r w:rsidR="00E3586E">
        <w:rPr>
          <w:rFonts w:eastAsia="Calibri"/>
          <w:lang w:val="en-US"/>
        </w:rPr>
        <w:t>ML)</w:t>
      </w:r>
      <w:r w:rsidRPr="00A831E7">
        <w:rPr>
          <w:rFonts w:eastAsia="Calibri"/>
        </w:rPr>
        <w:t>;</w:t>
      </w:r>
    </w:p>
    <w:p w14:paraId="05FBB5DD" w14:textId="29CA646F" w:rsidR="005A470E" w:rsidRPr="00A831E7" w:rsidRDefault="005A470E" w:rsidP="005A470E">
      <w:pPr>
        <w:pStyle w:val="a6"/>
        <w:numPr>
          <w:ilvl w:val="0"/>
          <w:numId w:val="21"/>
        </w:numPr>
        <w:spacing w:line="360" w:lineRule="auto"/>
        <w:ind w:left="284" w:hanging="284"/>
        <w:jc w:val="both"/>
        <w:rPr>
          <w:rFonts w:eastAsia="Calibri"/>
        </w:rPr>
      </w:pPr>
      <w:r w:rsidRPr="00A831E7">
        <w:rPr>
          <w:rFonts w:eastAsia="Calibri"/>
        </w:rPr>
        <w:t xml:space="preserve">Πώς μπορούν τα </w:t>
      </w:r>
      <w:r w:rsidR="006502FB" w:rsidRPr="00A831E7">
        <w:rPr>
          <w:rFonts w:eastAsia="Calibri"/>
        </w:rPr>
        <w:t>εξωκυτταρικά</w:t>
      </w:r>
      <w:r w:rsidRPr="00A831E7">
        <w:rPr>
          <w:rFonts w:eastAsia="Calibri"/>
        </w:rPr>
        <w:t xml:space="preserve"> κυστίδια (EVs) να συμβάλλουν στη διάγνωση, και ποια είναι τα εμπόδια στην κλινική τους εφαρμογή;</w:t>
      </w:r>
    </w:p>
    <w:p w14:paraId="247C8AF8" w14:textId="5A3B983F" w:rsidR="005A470E" w:rsidRPr="00A831E7" w:rsidRDefault="005A470E" w:rsidP="005A470E">
      <w:pPr>
        <w:pStyle w:val="a6"/>
        <w:numPr>
          <w:ilvl w:val="0"/>
          <w:numId w:val="21"/>
        </w:numPr>
        <w:spacing w:line="360" w:lineRule="auto"/>
        <w:ind w:left="284" w:hanging="284"/>
        <w:jc w:val="both"/>
        <w:rPr>
          <w:rFonts w:eastAsia="Calibri"/>
        </w:rPr>
      </w:pPr>
      <w:r w:rsidRPr="00A831E7">
        <w:rPr>
          <w:rFonts w:eastAsia="Calibri"/>
        </w:rPr>
        <w:t>Ποιοι αλγόριθμοι</w:t>
      </w:r>
      <w:r w:rsidR="00E3586E">
        <w:rPr>
          <w:rFonts w:eastAsia="Calibri"/>
          <w:lang w:val="en-US"/>
        </w:rPr>
        <w:t xml:space="preserve"> </w:t>
      </w:r>
      <w:r w:rsidR="00E3586E">
        <w:rPr>
          <w:rFonts w:eastAsia="Calibri"/>
        </w:rPr>
        <w:t>μηχανικής μάθησης</w:t>
      </w:r>
      <w:r w:rsidRPr="00A831E7">
        <w:rPr>
          <w:rFonts w:eastAsia="Calibri"/>
        </w:rPr>
        <w:t xml:space="preserve"> </w:t>
      </w:r>
      <w:r w:rsidR="00E3586E">
        <w:rPr>
          <w:rFonts w:eastAsia="Calibri"/>
          <w:lang w:val="en-US"/>
        </w:rPr>
        <w:t>(</w:t>
      </w:r>
      <w:r w:rsidRPr="00A831E7">
        <w:rPr>
          <w:rFonts w:eastAsia="Calibri"/>
        </w:rPr>
        <w:t>ML</w:t>
      </w:r>
      <w:r w:rsidR="00E3586E">
        <w:rPr>
          <w:rFonts w:eastAsia="Calibri"/>
          <w:lang w:val="en-US"/>
        </w:rPr>
        <w:t>)</w:t>
      </w:r>
      <w:r w:rsidRPr="00A831E7">
        <w:rPr>
          <w:rFonts w:eastAsia="Calibri"/>
        </w:rPr>
        <w:t xml:space="preserve"> αποδίδουν καλύτερα στη διάκριση μεταξύ των διαφορετικών τύπων εγκεφαλικού επεισοδίου;</w:t>
      </w:r>
    </w:p>
    <w:p w14:paraId="58EC21F6" w14:textId="5A15641C" w:rsidR="005A470E" w:rsidRPr="00A831E7" w:rsidRDefault="005A470E" w:rsidP="005A470E">
      <w:pPr>
        <w:pStyle w:val="a6"/>
        <w:numPr>
          <w:ilvl w:val="0"/>
          <w:numId w:val="21"/>
        </w:numPr>
        <w:spacing w:line="360" w:lineRule="auto"/>
        <w:ind w:left="284" w:hanging="284"/>
        <w:jc w:val="both"/>
        <w:rPr>
          <w:rFonts w:eastAsia="Calibri"/>
        </w:rPr>
      </w:pPr>
      <w:r w:rsidRPr="00A831E7">
        <w:rPr>
          <w:rFonts w:eastAsia="Calibri"/>
        </w:rPr>
        <w:t>Υπάρχουν μεθοδολογικοί ή τεχνολογικοί περιορισμοί που δυσχεραίνουν την ευρεία εφαρμογή ML και PoC διαγνωστικών εργαλείων;</w:t>
      </w:r>
    </w:p>
    <w:p w14:paraId="0311F07B" w14:textId="78A7CE90" w:rsidR="0066323E" w:rsidRPr="00C7272A" w:rsidRDefault="005A470E" w:rsidP="00C7272A">
      <w:pPr>
        <w:spacing w:line="360" w:lineRule="auto"/>
        <w:jc w:val="both"/>
        <w:rPr>
          <w:rFonts w:eastAsia="Calibri"/>
        </w:rPr>
      </w:pPr>
      <w:r w:rsidRPr="00A831E7">
        <w:rPr>
          <w:rFonts w:eastAsia="Calibri"/>
        </w:rPr>
        <w:t>Αυτά τα ερωτήματα καθοδηγούν την ανάλυση της υπάρχουσας βιβλιογραφίας, προσφέροντας μια δομημένη σύγκριση των διαθέσιμων τεχνολογιών και αναδεικνύοντας τις μελλοντικές ερευνητικές ανάγκες.</w:t>
      </w:r>
    </w:p>
    <w:p w14:paraId="3BA8C271" w14:textId="05FF7C56" w:rsidR="0066323E" w:rsidRPr="00A831E7" w:rsidRDefault="00D04787" w:rsidP="00F32EEE">
      <w:pPr>
        <w:pStyle w:val="2"/>
        <w:spacing w:line="360" w:lineRule="auto"/>
        <w:rPr>
          <w:rFonts w:ascii="Times New Roman" w:eastAsia="Calibri" w:hAnsi="Times New Roman" w:cs="Times New Roman"/>
          <w:b/>
          <w:bCs/>
          <w:i/>
          <w:iCs/>
        </w:rPr>
      </w:pPr>
      <w:bookmarkStart w:id="61" w:name="_Toc199787391"/>
      <w:bookmarkStart w:id="62" w:name="_Toc199946460"/>
      <w:r w:rsidRPr="00A831E7">
        <w:rPr>
          <w:rFonts w:ascii="Times New Roman" w:hAnsi="Times New Roman" w:cs="Times New Roman"/>
          <w:b/>
          <w:bCs/>
          <w:i/>
          <w:iCs/>
          <w:color w:val="auto"/>
          <w:sz w:val="28"/>
          <w:szCs w:val="28"/>
        </w:rPr>
        <w:lastRenderedPageBreak/>
        <w:t>2.3 Πηγές</w:t>
      </w:r>
      <w:r w:rsidR="00C24EEB" w:rsidRPr="00A831E7">
        <w:rPr>
          <w:rFonts w:ascii="Times New Roman" w:hAnsi="Times New Roman" w:cs="Times New Roman"/>
          <w:b/>
          <w:bCs/>
          <w:i/>
          <w:iCs/>
          <w:color w:val="auto"/>
          <w:sz w:val="28"/>
          <w:szCs w:val="28"/>
        </w:rPr>
        <w:t xml:space="preserve"> και Ανάλυση</w:t>
      </w:r>
      <w:r w:rsidRPr="00A831E7">
        <w:rPr>
          <w:rFonts w:ascii="Times New Roman" w:hAnsi="Times New Roman" w:cs="Times New Roman"/>
          <w:b/>
          <w:bCs/>
          <w:i/>
          <w:iCs/>
          <w:color w:val="auto"/>
          <w:sz w:val="28"/>
          <w:szCs w:val="28"/>
        </w:rPr>
        <w:t xml:space="preserve"> </w:t>
      </w:r>
      <w:r w:rsidR="00C24EEB" w:rsidRPr="00A831E7">
        <w:rPr>
          <w:rFonts w:ascii="Times New Roman" w:hAnsi="Times New Roman" w:cs="Times New Roman"/>
          <w:b/>
          <w:bCs/>
          <w:i/>
          <w:iCs/>
          <w:color w:val="auto"/>
          <w:sz w:val="28"/>
          <w:szCs w:val="28"/>
        </w:rPr>
        <w:t>Δ</w:t>
      </w:r>
      <w:r w:rsidRPr="00A831E7">
        <w:rPr>
          <w:rFonts w:ascii="Times New Roman" w:hAnsi="Times New Roman" w:cs="Times New Roman"/>
          <w:b/>
          <w:bCs/>
          <w:i/>
          <w:iCs/>
          <w:color w:val="auto"/>
          <w:sz w:val="28"/>
          <w:szCs w:val="28"/>
        </w:rPr>
        <w:t>εδομένων</w:t>
      </w:r>
      <w:bookmarkStart w:id="63" w:name="_Toc184664770"/>
      <w:bookmarkEnd w:id="60"/>
      <w:bookmarkEnd w:id="61"/>
      <w:bookmarkEnd w:id="62"/>
      <w:r w:rsidR="0066323E" w:rsidRPr="00A831E7">
        <w:rPr>
          <w:rFonts w:ascii="Times New Roman" w:eastAsia="Calibri" w:hAnsi="Times New Roman" w:cs="Times New Roman"/>
          <w:b/>
          <w:bCs/>
          <w:i/>
          <w:iCs/>
        </w:rPr>
        <w:tab/>
      </w:r>
      <w:r w:rsidR="0066323E" w:rsidRPr="00A831E7">
        <w:rPr>
          <w:rFonts w:ascii="Times New Roman" w:eastAsia="Calibri" w:hAnsi="Times New Roman" w:cs="Times New Roman"/>
          <w:b/>
          <w:bCs/>
          <w:i/>
          <w:iCs/>
        </w:rPr>
        <w:tab/>
      </w:r>
    </w:p>
    <w:p w14:paraId="00844DB3" w14:textId="41BF2F22" w:rsidR="00A75C0D" w:rsidRPr="00A831E7" w:rsidRDefault="00A75C0D" w:rsidP="00CC6B56">
      <w:pPr>
        <w:spacing w:line="360" w:lineRule="auto"/>
        <w:jc w:val="both"/>
      </w:pPr>
      <w:r w:rsidRPr="00A831E7">
        <w:t xml:space="preserve">Τον Ιανουάριο του 2025 διεξήχθη ηλεκτρονική αναζήτηση στις παρακάτω ηλεκτρονικές βάσεις δεδομένων: </w:t>
      </w:r>
    </w:p>
    <w:p w14:paraId="6EA5765C" w14:textId="77777777" w:rsidR="00A75C0D" w:rsidRPr="00730D74" w:rsidRDefault="00A75C0D" w:rsidP="00CC6B56">
      <w:pPr>
        <w:pStyle w:val="a6"/>
        <w:numPr>
          <w:ilvl w:val="0"/>
          <w:numId w:val="27"/>
        </w:numPr>
        <w:spacing w:line="360" w:lineRule="auto"/>
        <w:ind w:left="284" w:hanging="284"/>
        <w:jc w:val="both"/>
        <w:rPr>
          <w:lang w:val="en-US"/>
        </w:rPr>
      </w:pPr>
      <w:r w:rsidRPr="00730D74">
        <w:rPr>
          <w:lang w:val="en-US"/>
        </w:rPr>
        <w:t>PubMed (</w:t>
      </w:r>
      <w:hyperlink r:id="rId18" w:history="1">
        <w:r w:rsidRPr="00730D74">
          <w:rPr>
            <w:rStyle w:val="-"/>
            <w:rFonts w:eastAsiaTheme="majorEastAsia"/>
            <w:lang w:val="en-US"/>
          </w:rPr>
          <w:t>https://www.ncbi.nlm.nih.gov/pubmed/</w:t>
        </w:r>
      </w:hyperlink>
      <w:r w:rsidRPr="00730D74">
        <w:rPr>
          <w:lang w:val="en-US"/>
        </w:rPr>
        <w:t xml:space="preserve">) </w:t>
      </w:r>
    </w:p>
    <w:p w14:paraId="5CBA9950" w14:textId="77777777" w:rsidR="00A75C0D" w:rsidRPr="00730D74" w:rsidRDefault="00A75C0D" w:rsidP="00CC6B56">
      <w:pPr>
        <w:pStyle w:val="a6"/>
        <w:numPr>
          <w:ilvl w:val="0"/>
          <w:numId w:val="27"/>
        </w:numPr>
        <w:spacing w:line="360" w:lineRule="auto"/>
        <w:ind w:left="284" w:hanging="284"/>
        <w:jc w:val="both"/>
        <w:rPr>
          <w:lang w:val="en-US"/>
        </w:rPr>
      </w:pPr>
      <w:r w:rsidRPr="00730D74">
        <w:rPr>
          <w:lang w:val="en-US"/>
        </w:rPr>
        <w:t>Science Direct (</w:t>
      </w:r>
      <w:hyperlink r:id="rId19" w:history="1">
        <w:r w:rsidRPr="00730D74">
          <w:rPr>
            <w:rStyle w:val="-"/>
            <w:rFonts w:eastAsiaTheme="majorEastAsia"/>
            <w:lang w:val="en-US"/>
          </w:rPr>
          <w:t>http://www.sciencedirect.com/</w:t>
        </w:r>
      </w:hyperlink>
      <w:r w:rsidRPr="00730D74">
        <w:rPr>
          <w:lang w:val="en-US"/>
        </w:rPr>
        <w:t xml:space="preserve">) </w:t>
      </w:r>
    </w:p>
    <w:p w14:paraId="7D987B09" w14:textId="77777777" w:rsidR="00A75C0D" w:rsidRPr="00730D74" w:rsidRDefault="00A75C0D" w:rsidP="00CC6B56">
      <w:pPr>
        <w:pStyle w:val="a6"/>
        <w:numPr>
          <w:ilvl w:val="0"/>
          <w:numId w:val="27"/>
        </w:numPr>
        <w:spacing w:line="360" w:lineRule="auto"/>
        <w:ind w:left="284" w:hanging="284"/>
        <w:jc w:val="both"/>
        <w:rPr>
          <w:lang w:val="en-US"/>
        </w:rPr>
      </w:pPr>
      <w:r w:rsidRPr="00730D74">
        <w:rPr>
          <w:lang w:val="en-US"/>
        </w:rPr>
        <w:t>Google Scholar (</w:t>
      </w:r>
      <w:hyperlink r:id="rId20" w:history="1">
        <w:r w:rsidRPr="00730D74">
          <w:rPr>
            <w:rStyle w:val="-"/>
            <w:rFonts w:eastAsiaTheme="majorEastAsia"/>
            <w:lang w:val="en-US"/>
          </w:rPr>
          <w:t>https://scholar.google.gr/</w:t>
        </w:r>
      </w:hyperlink>
      <w:r w:rsidRPr="00730D74">
        <w:rPr>
          <w:lang w:val="en-US"/>
        </w:rPr>
        <w:t xml:space="preserve">) </w:t>
      </w:r>
    </w:p>
    <w:p w14:paraId="5DB4F477" w14:textId="69EE22A3" w:rsidR="00A75C0D" w:rsidRPr="00730D74" w:rsidRDefault="00A36475" w:rsidP="00CC6B56">
      <w:pPr>
        <w:pStyle w:val="a6"/>
        <w:numPr>
          <w:ilvl w:val="0"/>
          <w:numId w:val="27"/>
        </w:numPr>
        <w:spacing w:line="360" w:lineRule="auto"/>
        <w:ind w:left="284" w:hanging="284"/>
        <w:jc w:val="both"/>
        <w:rPr>
          <w:lang w:val="en-US"/>
        </w:rPr>
      </w:pPr>
      <w:r w:rsidRPr="00730D74">
        <w:rPr>
          <w:lang w:val="en-US"/>
        </w:rPr>
        <w:t>I</w:t>
      </w:r>
      <w:r w:rsidR="00A75C0D" w:rsidRPr="00730D74">
        <w:rPr>
          <w:lang w:val="en-US"/>
        </w:rPr>
        <w:t>EEE Explore (</w:t>
      </w:r>
      <w:hyperlink r:id="rId21" w:history="1">
        <w:r w:rsidR="00A75C0D" w:rsidRPr="00730D74">
          <w:rPr>
            <w:rStyle w:val="-"/>
            <w:rFonts w:eastAsiaTheme="majorEastAsia"/>
            <w:lang w:val="en-US"/>
          </w:rPr>
          <w:t>http://ieeexplore.ieee.org/</w:t>
        </w:r>
      </w:hyperlink>
      <w:r w:rsidR="00A75C0D" w:rsidRPr="00730D74">
        <w:rPr>
          <w:lang w:val="en-US"/>
        </w:rPr>
        <w:t xml:space="preserve">) </w:t>
      </w:r>
    </w:p>
    <w:p w14:paraId="3E3C847E" w14:textId="19081018" w:rsidR="00EE0F79" w:rsidRPr="00EC0CCF" w:rsidRDefault="00A36475" w:rsidP="00EC0CCF">
      <w:pPr>
        <w:pStyle w:val="a6"/>
        <w:numPr>
          <w:ilvl w:val="0"/>
          <w:numId w:val="27"/>
        </w:numPr>
        <w:spacing w:line="360" w:lineRule="auto"/>
        <w:ind w:left="284" w:hanging="284"/>
        <w:jc w:val="both"/>
        <w:rPr>
          <w:lang w:val="en-US"/>
        </w:rPr>
      </w:pPr>
      <w:r w:rsidRPr="00730D74">
        <w:rPr>
          <w:lang w:val="en-US"/>
        </w:rPr>
        <w:t>MDPI (</w:t>
      </w:r>
      <w:hyperlink r:id="rId22" w:history="1">
        <w:r w:rsidRPr="00730D74">
          <w:rPr>
            <w:rStyle w:val="-"/>
            <w:lang w:val="en-US"/>
          </w:rPr>
          <w:t>https://www.mdpi.com/</w:t>
        </w:r>
      </w:hyperlink>
      <w:r w:rsidRPr="00730D74">
        <w:rPr>
          <w:lang w:val="en-US"/>
        </w:rPr>
        <w:t>)</w:t>
      </w:r>
    </w:p>
    <w:p w14:paraId="796E9BBD" w14:textId="022ED6E6" w:rsidR="00C712BE" w:rsidRPr="00CE6318" w:rsidRDefault="00D23AF8" w:rsidP="00CE6318">
      <w:pPr>
        <w:spacing w:line="360" w:lineRule="auto"/>
        <w:ind w:firstLine="284"/>
        <w:jc w:val="both"/>
        <w:rPr>
          <w:lang w:val="en-US"/>
        </w:rPr>
      </w:pPr>
      <w:r w:rsidRPr="00A831E7">
        <w:t xml:space="preserve">Κατά τη διαδικασία </w:t>
      </w:r>
      <w:r w:rsidRPr="00A831E7">
        <w:rPr>
          <w:b/>
          <w:bCs/>
        </w:rPr>
        <w:t>αναγνώρισης</w:t>
      </w:r>
      <w:r w:rsidRPr="00A831E7">
        <w:t xml:space="preserve">  εντοπίστηκαν </w:t>
      </w:r>
      <w:r w:rsidRPr="00A831E7">
        <w:rPr>
          <w:b/>
          <w:bCs/>
        </w:rPr>
        <w:t>347 αρχεία</w:t>
      </w:r>
      <w:r w:rsidRPr="00A831E7">
        <w:t xml:space="preserve"> </w:t>
      </w:r>
      <w:r w:rsidR="00A36475" w:rsidRPr="00A831E7">
        <w:t xml:space="preserve">από τις παραπάνω βάσεις. Αυτές οι μελέτες αποτέλεσαν τη βάση για την ανάλυση που ακολούθησε και την ανάδειξη των πιο σημαντικών ευρημάτων και προσεγγίσεων. </w:t>
      </w:r>
      <w:r w:rsidR="00A75C0D" w:rsidRPr="00A831E7">
        <w:t>Χρησιμοποιήθηκαν συγκεκριμένοι όροι και προτάσεις στο πεδίο αναζήτησης της κάθε βάσης όπως</w:t>
      </w:r>
      <w:r w:rsidR="00A36475" w:rsidRPr="00A831E7">
        <w:t>:</w:t>
      </w:r>
    </w:p>
    <w:tbl>
      <w:tblPr>
        <w:tblStyle w:val="af0"/>
        <w:tblW w:w="82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4109"/>
      </w:tblGrid>
      <w:tr w:rsidR="00536734" w:rsidRPr="00A831E7" w14:paraId="77555047" w14:textId="77777777" w:rsidTr="00EC0CCF">
        <w:trPr>
          <w:trHeight w:val="423"/>
        </w:trPr>
        <w:tc>
          <w:tcPr>
            <w:tcW w:w="4103" w:type="dxa"/>
          </w:tcPr>
          <w:p w14:paraId="01666EC2"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“Biomarkers”</w:t>
            </w:r>
          </w:p>
        </w:tc>
        <w:tc>
          <w:tcPr>
            <w:tcW w:w="4109" w:type="dxa"/>
          </w:tcPr>
          <w:p w14:paraId="51B3BC8D" w14:textId="7C6DFA14" w:rsidR="00536734" w:rsidRPr="00A831E7" w:rsidRDefault="00536734" w:rsidP="00536734">
            <w:pPr>
              <w:pStyle w:val="a6"/>
              <w:numPr>
                <w:ilvl w:val="0"/>
                <w:numId w:val="30"/>
              </w:numPr>
              <w:spacing w:line="360" w:lineRule="auto"/>
              <w:ind w:left="307" w:hanging="283"/>
              <w:jc w:val="both"/>
              <w:rPr>
                <w:i/>
                <w:iCs/>
              </w:rPr>
            </w:pPr>
            <w:r w:rsidRPr="00A831E7">
              <w:rPr>
                <w:i/>
                <w:iCs/>
              </w:rPr>
              <w:t>“Machine Learning”,”ML”</w:t>
            </w:r>
          </w:p>
        </w:tc>
      </w:tr>
      <w:tr w:rsidR="00536734" w:rsidRPr="00A831E7" w14:paraId="1A51B0DE" w14:textId="77777777" w:rsidTr="00EC0CCF">
        <w:trPr>
          <w:trHeight w:val="423"/>
        </w:trPr>
        <w:tc>
          <w:tcPr>
            <w:tcW w:w="4103" w:type="dxa"/>
          </w:tcPr>
          <w:p w14:paraId="1EF59E0B"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“Extracellular Vesicles”, “EVs”</w:t>
            </w:r>
          </w:p>
        </w:tc>
        <w:tc>
          <w:tcPr>
            <w:tcW w:w="4109" w:type="dxa"/>
          </w:tcPr>
          <w:p w14:paraId="4FBCD55A"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“Exosomes”</w:t>
            </w:r>
          </w:p>
        </w:tc>
      </w:tr>
      <w:tr w:rsidR="00536734" w:rsidRPr="00A831E7" w14:paraId="3D8BF73B" w14:textId="77777777" w:rsidTr="00EC0CCF">
        <w:trPr>
          <w:trHeight w:val="408"/>
        </w:trPr>
        <w:tc>
          <w:tcPr>
            <w:tcW w:w="4103" w:type="dxa"/>
          </w:tcPr>
          <w:p w14:paraId="4AFAFFF3"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“Stroke”</w:t>
            </w:r>
          </w:p>
        </w:tc>
        <w:tc>
          <w:tcPr>
            <w:tcW w:w="4109" w:type="dxa"/>
          </w:tcPr>
          <w:p w14:paraId="1A39FC2D"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“Diagnosis”</w:t>
            </w:r>
          </w:p>
        </w:tc>
      </w:tr>
      <w:tr w:rsidR="00536734" w:rsidRPr="00A831E7" w14:paraId="5EE376E0" w14:textId="77777777" w:rsidTr="00EC0CCF">
        <w:trPr>
          <w:trHeight w:val="423"/>
        </w:trPr>
        <w:tc>
          <w:tcPr>
            <w:tcW w:w="4103" w:type="dxa"/>
          </w:tcPr>
          <w:p w14:paraId="3D9864B5"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“Classification”</w:t>
            </w:r>
          </w:p>
        </w:tc>
        <w:tc>
          <w:tcPr>
            <w:tcW w:w="4109" w:type="dxa"/>
          </w:tcPr>
          <w:p w14:paraId="1A5C382B" w14:textId="47430779" w:rsidR="00536734" w:rsidRPr="00A831E7" w:rsidRDefault="00536734" w:rsidP="00536734">
            <w:pPr>
              <w:pStyle w:val="a6"/>
              <w:numPr>
                <w:ilvl w:val="0"/>
                <w:numId w:val="30"/>
              </w:numPr>
              <w:spacing w:line="360" w:lineRule="auto"/>
              <w:ind w:left="307" w:hanging="283"/>
              <w:jc w:val="both"/>
              <w:rPr>
                <w:i/>
                <w:iCs/>
              </w:rPr>
            </w:pPr>
            <w:r w:rsidRPr="00A831E7">
              <w:rPr>
                <w:i/>
                <w:iCs/>
              </w:rPr>
              <w:t>“Point of Care”, “PoC”</w:t>
            </w:r>
          </w:p>
        </w:tc>
      </w:tr>
      <w:tr w:rsidR="00536734" w:rsidRPr="00A831E7" w14:paraId="20373443" w14:textId="77777777" w:rsidTr="00EC0CCF">
        <w:trPr>
          <w:trHeight w:val="423"/>
        </w:trPr>
        <w:tc>
          <w:tcPr>
            <w:tcW w:w="4103" w:type="dxa"/>
          </w:tcPr>
          <w:p w14:paraId="5754647D"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“Stroke Subtype”</w:t>
            </w:r>
          </w:p>
        </w:tc>
        <w:tc>
          <w:tcPr>
            <w:tcW w:w="4109" w:type="dxa"/>
          </w:tcPr>
          <w:p w14:paraId="5B9FE594"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“Stroke Mimic”</w:t>
            </w:r>
          </w:p>
        </w:tc>
      </w:tr>
      <w:tr w:rsidR="00536734" w:rsidRPr="00A831E7" w14:paraId="47F142DE" w14:textId="77777777" w:rsidTr="00EC0CCF">
        <w:trPr>
          <w:trHeight w:val="423"/>
        </w:trPr>
        <w:tc>
          <w:tcPr>
            <w:tcW w:w="4103" w:type="dxa"/>
          </w:tcPr>
          <w:p w14:paraId="00DCAB7C" w14:textId="77777777" w:rsidR="00536734" w:rsidRPr="00A831E7" w:rsidRDefault="00536734" w:rsidP="00536734">
            <w:pPr>
              <w:pStyle w:val="a6"/>
              <w:numPr>
                <w:ilvl w:val="0"/>
                <w:numId w:val="30"/>
              </w:numPr>
              <w:spacing w:line="360" w:lineRule="auto"/>
              <w:ind w:left="307" w:hanging="283"/>
              <w:jc w:val="both"/>
              <w:rPr>
                <w:i/>
                <w:iCs/>
              </w:rPr>
            </w:pPr>
            <w:r w:rsidRPr="00A831E7">
              <w:rPr>
                <w:i/>
                <w:iCs/>
              </w:rPr>
              <w:t>“Mobile Stroke Unit”, “MSU”</w:t>
            </w:r>
          </w:p>
        </w:tc>
        <w:tc>
          <w:tcPr>
            <w:tcW w:w="4109" w:type="dxa"/>
          </w:tcPr>
          <w:p w14:paraId="2CAB6FEB" w14:textId="77777777" w:rsidR="00536734" w:rsidRPr="00A831E7" w:rsidRDefault="00536734" w:rsidP="00536734">
            <w:pPr>
              <w:pStyle w:val="a6"/>
              <w:spacing w:line="360" w:lineRule="auto"/>
              <w:ind w:left="307"/>
              <w:jc w:val="both"/>
              <w:rPr>
                <w:i/>
                <w:iCs/>
              </w:rPr>
            </w:pPr>
          </w:p>
        </w:tc>
      </w:tr>
    </w:tbl>
    <w:p w14:paraId="6324F935" w14:textId="6DE6A27E" w:rsidR="00CC6B56" w:rsidRPr="00A831E7" w:rsidRDefault="00D23AF8" w:rsidP="00EC0CCF">
      <w:pPr>
        <w:spacing w:line="360" w:lineRule="auto"/>
        <w:jc w:val="both"/>
      </w:pPr>
      <w:r w:rsidRPr="00A831E7">
        <w:t xml:space="preserve">Αυτά τα keywords συνδυάστηκαν με συνδέσμους Boolean (AND, OR) για να διασφαλιστεί ότι η αναζήτηση θα συμπεριλάβει τις πιο σχετικές πηγές. </w:t>
      </w:r>
      <w:r w:rsidR="00A75C0D" w:rsidRPr="00A831E7">
        <w:t>Ως εύρος ετών ορίστηκε το 201</w:t>
      </w:r>
      <w:r w:rsidR="004976AA" w:rsidRPr="00A831E7">
        <w:t>8</w:t>
      </w:r>
      <w:r w:rsidR="00A75C0D" w:rsidRPr="00A831E7">
        <w:t xml:space="preserve"> μέχρι το 2025, ενώ δεν εφαρμόστηκαν επιπλέον περιορισμοί. </w:t>
      </w:r>
    </w:p>
    <w:p w14:paraId="1587539C" w14:textId="0449F6F3" w:rsidR="00CC6B56" w:rsidRPr="00A831E7" w:rsidRDefault="00D23AF8" w:rsidP="00CC6B56">
      <w:pPr>
        <w:spacing w:line="360" w:lineRule="auto"/>
        <w:jc w:val="both"/>
      </w:pPr>
      <w:r w:rsidRPr="00A831E7">
        <w:t xml:space="preserve"> </w:t>
      </w:r>
      <w:bookmarkEnd w:id="63"/>
      <w:r w:rsidRPr="00A831E7">
        <w:t xml:space="preserve">Έπειτα αφαιρέθηκαν οι </w:t>
      </w:r>
      <w:r w:rsidRPr="00A831E7">
        <w:rPr>
          <w:b/>
          <w:bCs/>
          <w:i/>
          <w:iCs/>
        </w:rPr>
        <w:t>διπλο-εγγραφές</w:t>
      </w:r>
      <w:r w:rsidRPr="00A831E7">
        <w:t>: Συνολικά 31 αρχεία από 347 λόγω επαναλήψεων.</w:t>
      </w:r>
      <w:r w:rsidRPr="00A831E7">
        <w:br/>
      </w:r>
      <w:r w:rsidR="007667E9" w:rsidRPr="00A831E7">
        <w:t xml:space="preserve"> </w:t>
      </w:r>
      <w:r w:rsidR="00CC6B56" w:rsidRPr="00A831E7">
        <w:tab/>
      </w:r>
      <w:r w:rsidRPr="00A831E7">
        <w:t xml:space="preserve">Κατά τον </w:t>
      </w:r>
      <w:r w:rsidRPr="00A831E7">
        <w:rPr>
          <w:b/>
          <w:bCs/>
        </w:rPr>
        <w:t xml:space="preserve">έλεγχο (screening) </w:t>
      </w:r>
      <w:r w:rsidRPr="00A831E7">
        <w:t>αποκλείστηκαν 2</w:t>
      </w:r>
      <w:r w:rsidR="00CD4A3F" w:rsidRPr="00A831E7">
        <w:t>24</w:t>
      </w:r>
      <w:r w:rsidRPr="00A831E7">
        <w:t xml:space="preserve"> αρχεία καθώς δεν είχαν σχέση με το αντικείμενο της αναζήτησης αλλά συμπεριλήφθηκαν</w:t>
      </w:r>
      <w:r w:rsidR="00915513">
        <w:t xml:space="preserve"> από τις βάσεις δεδομένων</w:t>
      </w:r>
      <w:r w:rsidRPr="00A831E7">
        <w:t xml:space="preserve"> λόγω του πλήθους των </w:t>
      </w:r>
      <w:r w:rsidR="007667E9" w:rsidRPr="00A831E7">
        <w:t>λέξεων-κλειδιών</w:t>
      </w:r>
      <w:r w:rsidRPr="00A831E7">
        <w:t xml:space="preserve"> που χρειάστηκ</w:t>
      </w:r>
      <w:r w:rsidR="00E3586E">
        <w:t>αν</w:t>
      </w:r>
      <w:r w:rsidRPr="00A831E7">
        <w:t xml:space="preserve"> </w:t>
      </w:r>
      <w:r w:rsidR="00E3586E">
        <w:t>σ</w:t>
      </w:r>
      <w:r w:rsidRPr="00A831E7">
        <w:t xml:space="preserve">το </w:t>
      </w:r>
      <w:r w:rsidR="007667E9" w:rsidRPr="00A831E7">
        <w:t xml:space="preserve">αντικείμενο της μελέτης και του τρόπου με τον οποίο χειρίζονται τις λέξεις-κλειδιά </w:t>
      </w:r>
      <w:r w:rsidR="00915513">
        <w:t>οι βάσεις</w:t>
      </w:r>
      <w:r w:rsidR="007667E9" w:rsidRPr="00A831E7">
        <w:t>. Επίσης λόγω περιορισμένης πρόσβασης απορρίφθηκαν άλλα 9 αρχεία.</w:t>
      </w:r>
    </w:p>
    <w:p w14:paraId="4736CBF3" w14:textId="5C0C11D1" w:rsidR="007667E9" w:rsidRPr="00A831E7" w:rsidRDefault="007667E9" w:rsidP="00CC6B56">
      <w:pPr>
        <w:spacing w:line="360" w:lineRule="auto"/>
        <w:ind w:firstLine="720"/>
        <w:jc w:val="both"/>
      </w:pPr>
      <w:r w:rsidRPr="00A831E7">
        <w:t xml:space="preserve">Τελικά αξιολογήθηκαν </w:t>
      </w:r>
      <w:r w:rsidRPr="00A831E7">
        <w:rPr>
          <w:b/>
          <w:bCs/>
        </w:rPr>
        <w:t>83 εγγραφές</w:t>
      </w:r>
      <w:r w:rsidRPr="00A831E7">
        <w:t xml:space="preserve"> εκ των οποίων αποκλείστηκαν 3</w:t>
      </w:r>
      <w:r w:rsidR="000A0CC4">
        <w:t>1</w:t>
      </w:r>
      <w:r w:rsidRPr="00A831E7">
        <w:t xml:space="preserve"> εγγραφές από τις εξής κατηγορίες :</w:t>
      </w:r>
    </w:p>
    <w:p w14:paraId="0AEFD067" w14:textId="3A3D5898" w:rsidR="007667E9" w:rsidRPr="00A831E7" w:rsidRDefault="007667E9" w:rsidP="00CC6B56">
      <w:pPr>
        <w:pStyle w:val="a6"/>
        <w:numPr>
          <w:ilvl w:val="0"/>
          <w:numId w:val="29"/>
        </w:numPr>
        <w:spacing w:line="360" w:lineRule="auto"/>
        <w:ind w:left="284" w:hanging="284"/>
        <w:jc w:val="both"/>
      </w:pPr>
      <w:r w:rsidRPr="00A831E7">
        <w:t>Σχετικές με Θεραπεία Εγκεφαλικού Επεισοδίου (9 εγγραφές): Μελέτες που δεν εστίαζαν στην διάγνωση του Εγκεφαλικού Επεισοδίου αλλά στην θεραπεία αυτού.</w:t>
      </w:r>
    </w:p>
    <w:p w14:paraId="06AE2AB6" w14:textId="4983A6D6" w:rsidR="007667E9" w:rsidRPr="00A831E7" w:rsidRDefault="007667E9" w:rsidP="00CC6B56">
      <w:pPr>
        <w:pStyle w:val="a6"/>
        <w:numPr>
          <w:ilvl w:val="0"/>
          <w:numId w:val="29"/>
        </w:numPr>
        <w:spacing w:line="360" w:lineRule="auto"/>
        <w:ind w:left="284" w:hanging="284"/>
        <w:jc w:val="both"/>
      </w:pPr>
      <w:r w:rsidRPr="00A831E7">
        <w:lastRenderedPageBreak/>
        <w:t xml:space="preserve">Έλλειψη Δεδομένων </w:t>
      </w:r>
      <w:r w:rsidR="00E3586E" w:rsidRPr="00A831E7">
        <w:t>από</w:t>
      </w:r>
      <w:r w:rsidRPr="00A831E7">
        <w:t xml:space="preserve"> Ανάλυση (15 εγγραφές): Μελέτες που δεν παρουσίασαν δεδομένα μετρήσεων διαγνωστικών μοντέλων (AUC, ακρίβεια , ευαισθησία, ειδικότητα).</w:t>
      </w:r>
    </w:p>
    <w:p w14:paraId="15410ACA" w14:textId="78928BC0" w:rsidR="00CC6B56" w:rsidRPr="00A831E7" w:rsidRDefault="007667E9" w:rsidP="00CC6B56">
      <w:pPr>
        <w:pStyle w:val="a6"/>
        <w:numPr>
          <w:ilvl w:val="0"/>
          <w:numId w:val="29"/>
        </w:numPr>
        <w:spacing w:line="360" w:lineRule="auto"/>
        <w:ind w:left="284" w:hanging="284"/>
        <w:jc w:val="both"/>
      </w:pPr>
      <w:r w:rsidRPr="00A831E7">
        <w:t>Έλλειψη Υποστηρικτικών Δεδομένων (</w:t>
      </w:r>
      <w:r w:rsidR="0046082C" w:rsidRPr="00A831E7">
        <w:t>7</w:t>
      </w:r>
      <w:r w:rsidRPr="00A831E7">
        <w:t xml:space="preserve"> εγγραφές): Ελλιπής τεκμηρίωση ή απουσία επαρκών δεδομένων.</w:t>
      </w:r>
    </w:p>
    <w:p w14:paraId="702A047B" w14:textId="2F5B9E41" w:rsidR="007667E9" w:rsidRPr="00A831E7" w:rsidRDefault="007667E9" w:rsidP="00CC6B56">
      <w:pPr>
        <w:spacing w:line="360" w:lineRule="auto"/>
        <w:ind w:firstLine="720"/>
        <w:jc w:val="both"/>
      </w:pPr>
      <w:r w:rsidRPr="00A831E7">
        <w:t xml:space="preserve">Από </w:t>
      </w:r>
      <w:r w:rsidRPr="00A831E7">
        <w:rPr>
          <w:b/>
          <w:bCs/>
        </w:rPr>
        <w:t>συμπληρωματικές μελέτες</w:t>
      </w:r>
      <w:r w:rsidRPr="00A831E7">
        <w:t xml:space="preserve"> προέκυψαν επιπλέον 107 αρχεία. Απορρίφθηκαν 8 λόγω αδυναμίας πρόσβασης στο περιεχόμενό τους και έπειτα </w:t>
      </w:r>
      <w:r w:rsidR="00CD4A3F" w:rsidRPr="00A831E7">
        <w:t>3</w:t>
      </w:r>
      <w:r w:rsidR="00A6623F" w:rsidRPr="00A6623F">
        <w:t>0</w:t>
      </w:r>
      <w:r w:rsidRPr="00A831E7">
        <w:t xml:space="preserve"> από ελλιπή δεδομένα.</w:t>
      </w:r>
    </w:p>
    <w:p w14:paraId="3B431F7D" w14:textId="3AFC3A74" w:rsidR="00B17E85" w:rsidRPr="00A831E7" w:rsidRDefault="00CC6B56" w:rsidP="00536734">
      <w:pPr>
        <w:spacing w:line="360" w:lineRule="auto"/>
        <w:ind w:firstLine="720"/>
        <w:jc w:val="both"/>
      </w:pPr>
      <w:r w:rsidRPr="00A831E7">
        <w:t xml:space="preserve">Κατά την τελική επιλογή μελετών εντάχθηκαν </w:t>
      </w:r>
      <w:r w:rsidRPr="00A831E7">
        <w:rPr>
          <w:b/>
          <w:bCs/>
        </w:rPr>
        <w:t>1</w:t>
      </w:r>
      <w:r w:rsidR="00A6623F">
        <w:rPr>
          <w:b/>
          <w:bCs/>
        </w:rPr>
        <w:t>21</w:t>
      </w:r>
      <w:r w:rsidRPr="00A831E7">
        <w:rPr>
          <w:b/>
          <w:bCs/>
        </w:rPr>
        <w:t xml:space="preserve"> μελέτες</w:t>
      </w:r>
      <w:r w:rsidRPr="00A831E7">
        <w:t xml:space="preserve"> στη συστηματική ανασκόπηση. </w:t>
      </w:r>
      <w:r w:rsidR="00B17E85" w:rsidRPr="00A831E7">
        <w:t>Οι</w:t>
      </w:r>
      <w:r w:rsidRPr="00A831E7">
        <w:t xml:space="preserve"> </w:t>
      </w:r>
      <w:r w:rsidRPr="00A831E7">
        <w:rPr>
          <w:b/>
          <w:bCs/>
        </w:rPr>
        <w:t>6</w:t>
      </w:r>
      <w:r w:rsidR="0046082C" w:rsidRPr="00A831E7">
        <w:rPr>
          <w:b/>
          <w:bCs/>
        </w:rPr>
        <w:t>9</w:t>
      </w:r>
      <w:r w:rsidRPr="00A831E7">
        <w:t xml:space="preserve"> προέκυψαν από </w:t>
      </w:r>
      <w:r w:rsidR="00DF3B6E">
        <w:t>«</w:t>
      </w:r>
      <w:r w:rsidRPr="00A831E7">
        <w:rPr>
          <w:b/>
          <w:bCs/>
        </w:rPr>
        <w:t>citation tracking</w:t>
      </w:r>
      <w:r w:rsidR="00DF3B6E">
        <w:rPr>
          <w:b/>
          <w:bCs/>
        </w:rPr>
        <w:t>»</w:t>
      </w:r>
      <w:r w:rsidRPr="00A831E7">
        <w:t xml:space="preserve"> των </w:t>
      </w:r>
      <w:r w:rsidRPr="00A831E7">
        <w:rPr>
          <w:b/>
          <w:bCs/>
          <w:i/>
          <w:iCs/>
        </w:rPr>
        <w:t>5</w:t>
      </w:r>
      <w:r w:rsidR="0046082C" w:rsidRPr="00A831E7">
        <w:rPr>
          <w:b/>
          <w:bCs/>
          <w:i/>
          <w:iCs/>
        </w:rPr>
        <w:t>2</w:t>
      </w:r>
      <w:r w:rsidRPr="00A831E7">
        <w:rPr>
          <w:b/>
          <w:bCs/>
          <w:i/>
          <w:iCs/>
        </w:rPr>
        <w:t xml:space="preserve"> μελετών</w:t>
      </w:r>
      <w:r w:rsidRPr="00A831E7">
        <w:t xml:space="preserve"> που επιλέχθηκαν από τις </w:t>
      </w:r>
      <w:r w:rsidRPr="00A831E7">
        <w:rPr>
          <w:b/>
          <w:bCs/>
          <w:i/>
          <w:iCs/>
        </w:rPr>
        <w:t>βάσεις δεδομένω</w:t>
      </w:r>
      <w:r w:rsidR="0057069D" w:rsidRPr="00A831E7">
        <w:rPr>
          <w:b/>
          <w:bCs/>
          <w:i/>
          <w:iCs/>
        </w:rPr>
        <w:t>ν</w:t>
      </w:r>
      <w:r w:rsidRPr="00A831E7">
        <w:t xml:space="preserve"> και </w:t>
      </w:r>
      <w:r w:rsidR="00B17E85" w:rsidRPr="00A831E7">
        <w:t>οι</w:t>
      </w:r>
      <w:r w:rsidRPr="00A831E7">
        <w:t xml:space="preserve"> υπόλοιπ</w:t>
      </w:r>
      <w:r w:rsidR="00B17E85" w:rsidRPr="00A831E7">
        <w:t>ες</w:t>
      </w:r>
      <w:r w:rsidRPr="00A831E7">
        <w:t xml:space="preserve"> 2 από αναζήτηση ιστού. Τα δεδομένα που συλλέχθηκαν από αυτές τις μελέτες αποτέλεσαν τη βάση για την περαιτέρω ανάλυση και τα συμπεράσματα της εργασίας.</w:t>
      </w:r>
    </w:p>
    <w:p w14:paraId="75848A39" w14:textId="331A92CA" w:rsidR="00536734" w:rsidRPr="00EE0F79" w:rsidRDefault="00CC6B56" w:rsidP="00EE0F79">
      <w:pPr>
        <w:spacing w:line="360" w:lineRule="auto"/>
        <w:ind w:firstLine="720"/>
        <w:jc w:val="both"/>
      </w:pPr>
      <w:r w:rsidRPr="00A831E7">
        <w:t>Η εφαρμογή του πρωτοκόλλου PRISMA με διάγραμμα ροής (</w:t>
      </w:r>
      <w:r w:rsidRPr="00A831E7">
        <w:rPr>
          <w:i/>
          <w:iCs/>
        </w:rPr>
        <w:t>Εικόνα 1</w:t>
      </w:r>
      <w:r w:rsidRPr="00A831E7">
        <w:t xml:space="preserve">) διασφαλίζει τη συστηματικότητα και τη διαφάνεια της μεθοδολογίας και παρέχει μια ολοκληρωμένη εικόνα της υπάρχουσας βιβλιογραφίας. </w:t>
      </w:r>
    </w:p>
    <w:p w14:paraId="3221BB0D" w14:textId="76BE6932" w:rsidR="00F32EEE" w:rsidRPr="00A831E7" w:rsidRDefault="007F0FCE" w:rsidP="007F0FCE">
      <w:pPr>
        <w:spacing w:line="360" w:lineRule="auto"/>
        <w:ind w:hanging="426"/>
        <w:jc w:val="both"/>
        <w:rPr>
          <w:rFonts w:eastAsia="Calibri"/>
        </w:rPr>
      </w:pPr>
      <w:r w:rsidRPr="00A831E7">
        <w:rPr>
          <w:rFonts w:eastAsia="Calibri"/>
          <w:noProof/>
        </w:rPr>
        <w:drawing>
          <wp:inline distT="0" distB="0" distL="0" distR="0" wp14:anchorId="01D68DA4" wp14:editId="03F731E8">
            <wp:extent cx="5638800" cy="4318000"/>
            <wp:effectExtent l="0" t="0" r="0" b="6350"/>
            <wp:docPr id="699211725" name="Εικόνα 1" descr="Εικόνα που περιέχει κείμενο, στιγμιότυπο οθόνης, γραμματοσειρά, αριθμό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1725" name="Εικόνα 1" descr="Εικόνα που περιέχει κείμενο, στιγμιότυπο οθόνης, γραμματοσειρά, αριθμός&#10;&#10;Το περιεχόμενο που δημιουργείται από τεχνολογία AI ενδέχεται να είναι εσφαλμένο."/>
                    <pic:cNvPicPr/>
                  </pic:nvPicPr>
                  <pic:blipFill>
                    <a:blip r:embed="rId23"/>
                    <a:stretch>
                      <a:fillRect/>
                    </a:stretch>
                  </pic:blipFill>
                  <pic:spPr>
                    <a:xfrm>
                      <a:off x="0" y="0"/>
                      <a:ext cx="5662297" cy="4335993"/>
                    </a:xfrm>
                    <a:prstGeom prst="rect">
                      <a:avLst/>
                    </a:prstGeom>
                  </pic:spPr>
                </pic:pic>
              </a:graphicData>
            </a:graphic>
          </wp:inline>
        </w:drawing>
      </w:r>
    </w:p>
    <w:p w14:paraId="29AC6207" w14:textId="19C19670" w:rsidR="00D13CE2" w:rsidRPr="00C7272A" w:rsidRDefault="00A36475" w:rsidP="00C7272A">
      <w:pPr>
        <w:pStyle w:val="af5"/>
        <w:jc w:val="center"/>
        <w:rPr>
          <w:color w:val="000000" w:themeColor="text1"/>
          <w:sz w:val="20"/>
          <w:szCs w:val="20"/>
        </w:rPr>
      </w:pPr>
      <w:bookmarkStart w:id="64" w:name="_Toc199787688"/>
      <w:r w:rsidRPr="00A831E7">
        <w:rPr>
          <w:b/>
          <w:bCs/>
          <w:color w:val="000000" w:themeColor="text1"/>
          <w:sz w:val="20"/>
          <w:szCs w:val="20"/>
        </w:rPr>
        <w:t xml:space="preserve">Εικόνα </w:t>
      </w:r>
      <w:r w:rsidRPr="00A831E7">
        <w:rPr>
          <w:b/>
          <w:bCs/>
          <w:color w:val="000000" w:themeColor="text1"/>
          <w:sz w:val="20"/>
          <w:szCs w:val="20"/>
        </w:rPr>
        <w:fldChar w:fldCharType="begin"/>
      </w:r>
      <w:r w:rsidRPr="00A831E7">
        <w:rPr>
          <w:b/>
          <w:bCs/>
          <w:color w:val="000000" w:themeColor="text1"/>
          <w:sz w:val="20"/>
          <w:szCs w:val="20"/>
        </w:rPr>
        <w:instrText xml:space="preserve"> SEQ Εικόνα \* ARABIC </w:instrText>
      </w:r>
      <w:r w:rsidRPr="00A831E7">
        <w:rPr>
          <w:b/>
          <w:bCs/>
          <w:color w:val="000000" w:themeColor="text1"/>
          <w:sz w:val="20"/>
          <w:szCs w:val="20"/>
        </w:rPr>
        <w:fldChar w:fldCharType="separate"/>
      </w:r>
      <w:r w:rsidRPr="00A831E7">
        <w:rPr>
          <w:b/>
          <w:bCs/>
          <w:color w:val="000000" w:themeColor="text1"/>
          <w:sz w:val="20"/>
          <w:szCs w:val="20"/>
        </w:rPr>
        <w:t>1</w:t>
      </w:r>
      <w:r w:rsidRPr="00A831E7">
        <w:rPr>
          <w:b/>
          <w:bCs/>
          <w:color w:val="000000" w:themeColor="text1"/>
          <w:sz w:val="20"/>
          <w:szCs w:val="20"/>
        </w:rPr>
        <w:fldChar w:fldCharType="end"/>
      </w:r>
      <w:r w:rsidRPr="00A831E7">
        <w:rPr>
          <w:b/>
          <w:bCs/>
          <w:color w:val="000000" w:themeColor="text1"/>
          <w:sz w:val="20"/>
          <w:szCs w:val="20"/>
        </w:rPr>
        <w:t xml:space="preserve">: </w:t>
      </w:r>
      <w:r w:rsidRPr="00A831E7">
        <w:rPr>
          <w:color w:val="000000" w:themeColor="text1"/>
          <w:sz w:val="20"/>
          <w:szCs w:val="20"/>
        </w:rPr>
        <w:t>Διάγραμμα Ροής Συστηματικής Ανασκόπησης</w:t>
      </w:r>
      <w:bookmarkEnd w:id="64"/>
      <w:r w:rsidR="00C7272A">
        <w:rPr>
          <w:color w:val="000000" w:themeColor="text1"/>
          <w:sz w:val="20"/>
          <w:szCs w:val="20"/>
        </w:rPr>
        <w:br w:type="page"/>
      </w:r>
    </w:p>
    <w:p w14:paraId="7EDC99B4" w14:textId="43B50CAA" w:rsidR="0066323E" w:rsidRPr="00A831E7" w:rsidRDefault="0066323E" w:rsidP="00F32EEE">
      <w:pPr>
        <w:pStyle w:val="1"/>
        <w:spacing w:line="360" w:lineRule="auto"/>
        <w:rPr>
          <w:rFonts w:ascii="Times New Roman" w:hAnsi="Times New Roman" w:cs="Times New Roman"/>
          <w:b/>
          <w:bCs/>
          <w:color w:val="auto"/>
          <w:sz w:val="32"/>
          <w:szCs w:val="32"/>
        </w:rPr>
      </w:pPr>
      <w:bookmarkStart w:id="65" w:name="_Toc199787392"/>
      <w:bookmarkStart w:id="66" w:name="_Toc199946461"/>
      <w:r w:rsidRPr="00A831E7">
        <w:rPr>
          <w:rFonts w:ascii="Times New Roman" w:hAnsi="Times New Roman" w:cs="Times New Roman"/>
          <w:b/>
          <w:bCs/>
          <w:color w:val="auto"/>
          <w:sz w:val="32"/>
          <w:szCs w:val="32"/>
        </w:rPr>
        <w:lastRenderedPageBreak/>
        <w:t>Κεφάλαιο 3:</w:t>
      </w:r>
      <w:r w:rsidR="00D04787" w:rsidRPr="00A831E7">
        <w:rPr>
          <w:rFonts w:ascii="Times New Roman" w:hAnsi="Times New Roman" w:cs="Times New Roman"/>
          <w:b/>
          <w:bCs/>
          <w:color w:val="auto"/>
          <w:sz w:val="32"/>
          <w:szCs w:val="32"/>
        </w:rPr>
        <w:t xml:space="preserve"> </w:t>
      </w:r>
      <w:r w:rsidR="00BE1074" w:rsidRPr="00A831E7">
        <w:rPr>
          <w:rFonts w:ascii="Times New Roman" w:hAnsi="Times New Roman" w:cs="Times New Roman"/>
          <w:b/>
          <w:bCs/>
          <w:color w:val="auto"/>
          <w:sz w:val="32"/>
          <w:szCs w:val="32"/>
        </w:rPr>
        <w:t>Κ</w:t>
      </w:r>
      <w:r w:rsidR="00D04787" w:rsidRPr="00A831E7">
        <w:rPr>
          <w:rFonts w:ascii="Times New Roman" w:hAnsi="Times New Roman" w:cs="Times New Roman"/>
          <w:b/>
          <w:bCs/>
          <w:color w:val="auto"/>
          <w:sz w:val="32"/>
          <w:szCs w:val="32"/>
        </w:rPr>
        <w:t>λασσικ</w:t>
      </w:r>
      <w:r w:rsidR="006075F8" w:rsidRPr="00A831E7">
        <w:rPr>
          <w:rFonts w:ascii="Times New Roman" w:hAnsi="Times New Roman" w:cs="Times New Roman"/>
          <w:b/>
          <w:bCs/>
          <w:color w:val="auto"/>
          <w:sz w:val="32"/>
          <w:szCs w:val="32"/>
        </w:rPr>
        <w:t>ές Μέθοδοι</w:t>
      </w:r>
      <w:r w:rsidR="00D04787" w:rsidRPr="00A831E7">
        <w:rPr>
          <w:rFonts w:ascii="Times New Roman" w:hAnsi="Times New Roman" w:cs="Times New Roman"/>
          <w:b/>
          <w:bCs/>
          <w:color w:val="auto"/>
          <w:sz w:val="32"/>
          <w:szCs w:val="32"/>
        </w:rPr>
        <w:t xml:space="preserve"> </w:t>
      </w:r>
      <w:r w:rsidR="006075F8" w:rsidRPr="00A831E7">
        <w:rPr>
          <w:rFonts w:ascii="Times New Roman" w:hAnsi="Times New Roman" w:cs="Times New Roman"/>
          <w:b/>
          <w:bCs/>
          <w:color w:val="auto"/>
          <w:sz w:val="32"/>
          <w:szCs w:val="32"/>
        </w:rPr>
        <w:t>Δ</w:t>
      </w:r>
      <w:r w:rsidR="00D04787" w:rsidRPr="00A831E7">
        <w:rPr>
          <w:rFonts w:ascii="Times New Roman" w:hAnsi="Times New Roman" w:cs="Times New Roman"/>
          <w:b/>
          <w:bCs/>
          <w:color w:val="auto"/>
          <w:sz w:val="32"/>
          <w:szCs w:val="32"/>
        </w:rPr>
        <w:t>ιάγνωσης</w:t>
      </w:r>
      <w:bookmarkEnd w:id="65"/>
      <w:bookmarkEnd w:id="66"/>
    </w:p>
    <w:p w14:paraId="69A09F50" w14:textId="49BEC077" w:rsidR="00116A8B" w:rsidRPr="00A831E7" w:rsidRDefault="000C1BEC" w:rsidP="00F32EEE">
      <w:pPr>
        <w:pStyle w:val="2"/>
        <w:spacing w:line="360" w:lineRule="auto"/>
        <w:rPr>
          <w:rFonts w:ascii="Times New Roman" w:eastAsia="Calibri" w:hAnsi="Times New Roman" w:cs="Times New Roman"/>
          <w:b/>
          <w:bCs/>
          <w:i/>
          <w:iCs/>
        </w:rPr>
      </w:pPr>
      <w:bookmarkStart w:id="67" w:name="_Toc199787393"/>
      <w:bookmarkStart w:id="68" w:name="_Toc199946462"/>
      <w:r w:rsidRPr="00A831E7">
        <w:rPr>
          <w:rFonts w:ascii="Times New Roman" w:hAnsi="Times New Roman" w:cs="Times New Roman"/>
          <w:b/>
          <w:bCs/>
          <w:i/>
          <w:iCs/>
          <w:color w:val="auto"/>
          <w:sz w:val="28"/>
          <w:szCs w:val="28"/>
        </w:rPr>
        <w:t>3.1 Γενικά</w:t>
      </w:r>
      <w:bookmarkEnd w:id="67"/>
      <w:bookmarkEnd w:id="68"/>
    </w:p>
    <w:p w14:paraId="370F9D5F" w14:textId="33DE5826" w:rsidR="001D68F2" w:rsidRPr="00A831E7" w:rsidRDefault="001D68F2" w:rsidP="00F32EEE">
      <w:pPr>
        <w:spacing w:line="360" w:lineRule="auto"/>
        <w:ind w:firstLine="720"/>
        <w:jc w:val="both"/>
        <w:rPr>
          <w:rFonts w:eastAsia="Calibri"/>
        </w:rPr>
      </w:pPr>
      <w:bookmarkStart w:id="69" w:name="_Hlk197529926"/>
      <w:r w:rsidRPr="00A831E7">
        <w:rPr>
          <w:rFonts w:eastAsia="Calibri"/>
        </w:rPr>
        <w:t>Η διάγνωση και ταξινόμηση του εγκεφαλικού επεισοδίου με ακρίβεια και ταχύτητα είναι θεμελιώδης για την έγκαιρη χορήγηση της κατάλληλης θεραπείας. Ωστόσο, κλινικές μελέτες δείχνουν ότι τα συμπτώματα εγκεφαλικού επεισοδίου δεν αναγνωρίζονται εγκαίρως σε σημαντικό ποσοστό περιπτώσεων, καθυστερώντας τη διαδικασία αντιμετώπισης [12].</w:t>
      </w:r>
      <w:r w:rsidR="00116032">
        <w:rPr>
          <w:rFonts w:eastAsia="Calibri"/>
        </w:rPr>
        <w:t xml:space="preserve"> Ακόμη και σήμερα, σε περιπτώσεις εγκεφαλικών επεισοδίων, ο</w:t>
      </w:r>
      <w:r w:rsidRPr="00A831E7">
        <w:rPr>
          <w:rFonts w:eastAsia="Calibri"/>
        </w:rPr>
        <w:t xml:space="preserve"> ασθενής συχνά φτάνει στο νοσοκομείο χωρίς διαγνωστική επιβεβαίωση και η αξιολόγηση πραγματοποιείται στο Τμήμα Επειγόντων Περιστατικών (ΤΕΠ), όπου η κλινική εξέταση σε συνδυασμό με απεικονιστικές τεχνικές καθορίζουν τη διάγνωση.</w:t>
      </w:r>
    </w:p>
    <w:p w14:paraId="6D1513F6" w14:textId="73E8673E" w:rsidR="001D68F2" w:rsidRPr="00A831E7" w:rsidRDefault="001D68F2" w:rsidP="00F32EEE">
      <w:pPr>
        <w:spacing w:line="360" w:lineRule="auto"/>
        <w:ind w:firstLine="720"/>
        <w:jc w:val="both"/>
        <w:rPr>
          <w:rFonts w:eastAsia="Calibri"/>
        </w:rPr>
      </w:pPr>
      <w:r w:rsidRPr="00A831E7">
        <w:rPr>
          <w:rFonts w:eastAsia="Calibri"/>
        </w:rPr>
        <w:t>Η αξονική τομογραφία (CT) παραμένει η πιο διαδεδομένη και γρήγορη τεχνική, προσφέροντας τη δυνατότητα άμεσης διαφοροποίησης μεταξύ ισχαιμικού και αιμορραγικού εγκεφαλικού επεισοδίου. Παρόλο που η CT είναι ταχεία και διαθέσιμη στα περισσότερα κέντρα επειγόντων περιστατικών, η ευαισθησία της στην πρώιμη ανίχνευση ισχαιμικών αλλοιώσεων είναι περιορισμένη. Η μαγνητική τομογραφία (MRI), ιδιαίτερα η ακολουθία διάχυσης (DWI), προσφέρει υψηλότερη ακρίβεια στον εντοπισμό ισχαιμικών βλαβών, αλλά συχνά απαιτεί περισσότερο χρόνο και δεν είναι άμεσα διαθέσιμη σε επείγοντα περιστατικά.</w:t>
      </w:r>
    </w:p>
    <w:p w14:paraId="5CABA506" w14:textId="77777777" w:rsidR="001D68F2" w:rsidRPr="00A831E7" w:rsidRDefault="001D68F2" w:rsidP="00F32EEE">
      <w:pPr>
        <w:spacing w:line="360" w:lineRule="auto"/>
        <w:ind w:firstLine="720"/>
        <w:jc w:val="both"/>
        <w:rPr>
          <w:rFonts w:eastAsia="Calibri"/>
        </w:rPr>
      </w:pPr>
      <w:r w:rsidRPr="00A831E7">
        <w:rPr>
          <w:rFonts w:eastAsia="Calibri"/>
        </w:rPr>
        <w:t>Εκτός από τις απεικονιστικές τεχνικές, η κλινική αξιολόγηση παίζει σημαντικό ρόλο στη διαδικασία διαλογής των ασθενών. Κλίμακες όπως το NIH Stroke Scale (NIHSS) χρησιμοποιούνται για την αρχική εκτίμηση της σοβαρότητας του επεισοδίου, διευκολύνοντας τις αποφάσεις θεραπείας. Παρόλο που αυτές οι μέθοδοι προσφέρουν έναν δομημένο τρόπο αξιολόγησης, η υποκειμενικότητα στην κλινική εκτίμηση μπορεί να επηρεάσει την ακρίβεια της διάγνωσης.</w:t>
      </w:r>
    </w:p>
    <w:p w14:paraId="004C0C72" w14:textId="7FBA10C4" w:rsidR="001D68F2" w:rsidRPr="00A831E7" w:rsidRDefault="001D68F2" w:rsidP="00F32EEE">
      <w:pPr>
        <w:spacing w:line="360" w:lineRule="auto"/>
        <w:ind w:firstLine="720"/>
        <w:jc w:val="both"/>
        <w:rPr>
          <w:rFonts w:eastAsia="Calibri"/>
        </w:rPr>
      </w:pPr>
      <w:r w:rsidRPr="00A831E7">
        <w:rPr>
          <w:rFonts w:eastAsia="Calibri"/>
        </w:rPr>
        <w:t>Η πρόοδος στην τεχνητή νοημοσύνη (AI) μπορεί να ενισχύσει τη διαδικασία διάγνωσης και διαλογής</w:t>
      </w:r>
      <w:r w:rsidR="00116032">
        <w:rPr>
          <w:rFonts w:eastAsia="Calibri"/>
        </w:rPr>
        <w:t xml:space="preserve"> των παραδοσιακών μεθόδων διάγνωσης</w:t>
      </w:r>
      <w:r w:rsidRPr="00A831E7">
        <w:rPr>
          <w:rFonts w:eastAsia="Calibri"/>
        </w:rPr>
        <w:t xml:space="preserve"> μέσω αυτοματοποιημένων αναλύσεων απεικονιστικών δεδομένων και βελτιστοποίησης των κλινικών αποφάσεων. Αλγόριθμοι AI μπορούν να συμβάλουν στον εντοπισμό ισχαιμικών αλλοιώσεων με μεγαλύτερη ακρίβεια και ταχύτητα, μειώνοντας το χρόνο λήψης κρίσιμων αποφάσεων. Παράλληλα, η ενσωμάτωση συστημάτων AI και </w:t>
      </w:r>
      <w:r w:rsidR="00DF3B6E">
        <w:rPr>
          <w:rFonts w:eastAsia="Calibri"/>
        </w:rPr>
        <w:t>μηχανικής μάθησης</w:t>
      </w:r>
      <w:r w:rsidRPr="00A831E7">
        <w:rPr>
          <w:rFonts w:eastAsia="Calibri"/>
        </w:rPr>
        <w:t xml:space="preserve"> (ML) στην αξιολόγηση κλινικών δεδομένων μπορεί να συμβάλει </w:t>
      </w:r>
      <w:r w:rsidRPr="00A831E7">
        <w:rPr>
          <w:rFonts w:eastAsia="Calibri"/>
        </w:rPr>
        <w:lastRenderedPageBreak/>
        <w:t xml:space="preserve">στη βελτιστοποίηση των στρατηγικών ταξινόμησης των ασθενών, ενισχύοντας την αποτελεσματικότητα των κλασικών τεχνικών διάγνωσης. </w:t>
      </w:r>
      <w:bookmarkEnd w:id="69"/>
    </w:p>
    <w:p w14:paraId="4D84C296" w14:textId="38145D4C" w:rsidR="0066323E" w:rsidRPr="00A831E7" w:rsidRDefault="0066323E" w:rsidP="00F32EEE">
      <w:pPr>
        <w:spacing w:line="360" w:lineRule="auto"/>
        <w:jc w:val="both"/>
        <w:rPr>
          <w:rFonts w:eastAsia="Calibri"/>
        </w:rPr>
      </w:pPr>
      <w:r w:rsidRPr="00A831E7">
        <w:rPr>
          <w:rFonts w:eastAsia="Calibri"/>
        </w:rPr>
        <w:tab/>
      </w:r>
    </w:p>
    <w:p w14:paraId="428123BE" w14:textId="0B93A614" w:rsidR="001D68F2" w:rsidRPr="00A831E7" w:rsidRDefault="000C1BEC" w:rsidP="00667F5D">
      <w:pPr>
        <w:pStyle w:val="2"/>
        <w:spacing w:line="360" w:lineRule="auto"/>
        <w:rPr>
          <w:rFonts w:ascii="Times New Roman" w:eastAsia="Calibri" w:hAnsi="Times New Roman" w:cs="Times New Roman"/>
          <w:b/>
          <w:bCs/>
          <w:i/>
          <w:iCs/>
          <w:color w:val="auto"/>
          <w:sz w:val="28"/>
          <w:szCs w:val="28"/>
        </w:rPr>
      </w:pPr>
      <w:bookmarkStart w:id="70" w:name="_Toc199787394"/>
      <w:bookmarkStart w:id="71" w:name="_Toc199946463"/>
      <w:r w:rsidRPr="00A831E7">
        <w:rPr>
          <w:rFonts w:ascii="Times New Roman" w:eastAsia="Calibri" w:hAnsi="Times New Roman" w:cs="Times New Roman"/>
          <w:b/>
          <w:bCs/>
          <w:i/>
          <w:iCs/>
          <w:color w:val="auto"/>
          <w:sz w:val="28"/>
          <w:szCs w:val="28"/>
        </w:rPr>
        <w:t>3.2 Διάγνωση με απεικονιστικές μεθόδους</w:t>
      </w:r>
      <w:bookmarkEnd w:id="70"/>
      <w:bookmarkEnd w:id="71"/>
    </w:p>
    <w:p w14:paraId="154CAA39" w14:textId="3A4EFF62" w:rsidR="001D68F2" w:rsidRPr="00A831E7" w:rsidRDefault="001D68F2" w:rsidP="00F32EEE">
      <w:pPr>
        <w:spacing w:line="360" w:lineRule="auto"/>
        <w:ind w:firstLine="720"/>
        <w:jc w:val="both"/>
        <w:rPr>
          <w:rFonts w:eastAsia="Calibri"/>
        </w:rPr>
      </w:pPr>
      <w:r w:rsidRPr="00A831E7">
        <w:rPr>
          <w:rFonts w:eastAsia="Calibri"/>
        </w:rPr>
        <w:t>Η έγκαιρη παροχή απεικονιστικών εξετάσεων με τη μεγαλύτερη δυνατή ακρίβεια είναι απαραίτητη για τη διάγνωση του οξέος εγκεφαλικού επεισοδίου</w:t>
      </w:r>
      <w:r w:rsidR="007860A1" w:rsidRPr="00A831E7">
        <w:rPr>
          <w:rFonts w:eastAsia="Calibri"/>
        </w:rPr>
        <w:t xml:space="preserve"> </w:t>
      </w:r>
      <w:r w:rsidRPr="00A831E7">
        <w:rPr>
          <w:rFonts w:eastAsia="Calibri"/>
        </w:rPr>
        <w:t>(AIS) και την καθοδήγηση των κατάλληλων θεραπευτικών αποφάσεων. Οι δύο κύριες μορφές εγκεφαλικού επεισοδίου, ισχαιμικό (AIS) και αιμορραγικό (HS), απαιτούν διαφορετικές διαγνωστικές προσεγγίσεις, καθώς η αιτιολογία και η αντιμετώπισή τους διαφέρουν σημαντικά.</w:t>
      </w:r>
    </w:p>
    <w:p w14:paraId="2C365733" w14:textId="340552E6" w:rsidR="00B544EB" w:rsidRPr="00A831E7" w:rsidRDefault="001D68F2" w:rsidP="00F32EEE">
      <w:pPr>
        <w:spacing w:line="360" w:lineRule="auto"/>
        <w:ind w:firstLine="720"/>
        <w:jc w:val="both"/>
        <w:rPr>
          <w:rFonts w:eastAsia="Calibri"/>
        </w:rPr>
      </w:pPr>
      <w:r w:rsidRPr="00A831E7">
        <w:rPr>
          <w:rFonts w:eastAsia="Calibri"/>
        </w:rPr>
        <w:t>Οι απεικονιστικές τεχνικές όπως η Αξονική Τομογραφία (CT) και η Μαγνητική Τομογραφία (MRI) παραμένουν οι θεμελιώδεις μέθοδοι για την εκτίμηση της εγκεφαλικής βλάβης, προσφέροντας διακριτά πλεονεκτήματα και περιορισμούς</w:t>
      </w:r>
      <w:r w:rsidR="009E7451" w:rsidRPr="00A831E7">
        <w:rPr>
          <w:rFonts w:eastAsia="Calibri"/>
        </w:rPr>
        <w:t xml:space="preserve"> όπως φαίνεται στον </w:t>
      </w:r>
      <w:r w:rsidR="009E7451" w:rsidRPr="00A831E7">
        <w:rPr>
          <w:rFonts w:eastAsia="Calibri"/>
          <w:i/>
          <w:iCs/>
        </w:rPr>
        <w:t xml:space="preserve">Πίνακα </w:t>
      </w:r>
      <w:r w:rsidR="0011104D" w:rsidRPr="00A831E7">
        <w:rPr>
          <w:rFonts w:eastAsia="Calibri"/>
          <w:i/>
          <w:iCs/>
        </w:rPr>
        <w:t>5</w:t>
      </w:r>
      <w:r w:rsidRPr="00A831E7">
        <w:rPr>
          <w:rFonts w:eastAsia="Calibri"/>
        </w:rPr>
        <w:t>.</w:t>
      </w:r>
    </w:p>
    <w:p w14:paraId="04A834BF" w14:textId="77777777" w:rsidR="000128CC" w:rsidRPr="00A831E7" w:rsidRDefault="000128CC" w:rsidP="00F32EEE">
      <w:pPr>
        <w:spacing w:line="360" w:lineRule="auto"/>
        <w:ind w:firstLine="720"/>
        <w:jc w:val="both"/>
        <w:rPr>
          <w:rFonts w:eastAsia="Calibri"/>
        </w:rPr>
      </w:pPr>
    </w:p>
    <w:p w14:paraId="1BFA4DBC" w14:textId="0BF63D42" w:rsidR="00444A1E" w:rsidRPr="00A831E7" w:rsidRDefault="0091505C" w:rsidP="0091505C">
      <w:pPr>
        <w:pStyle w:val="af5"/>
        <w:jc w:val="center"/>
        <w:rPr>
          <w:rFonts w:eastAsia="Calibri"/>
          <w:b/>
          <w:bCs/>
          <w:i w:val="0"/>
          <w:iCs w:val="0"/>
          <w:color w:val="auto"/>
          <w:sz w:val="20"/>
          <w:szCs w:val="20"/>
        </w:rPr>
      </w:pPr>
      <w:bookmarkStart w:id="72" w:name="_Toc199787740"/>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5</w:t>
      </w:r>
      <w:r w:rsidRPr="00A831E7">
        <w:rPr>
          <w:b/>
          <w:bCs/>
          <w:color w:val="auto"/>
          <w:sz w:val="20"/>
          <w:szCs w:val="20"/>
        </w:rPr>
        <w:fldChar w:fldCharType="end"/>
      </w:r>
      <w:r w:rsidRPr="00A831E7">
        <w:rPr>
          <w:rFonts w:eastAsia="Calibri"/>
          <w:b/>
          <w:bCs/>
          <w:color w:val="auto"/>
          <w:sz w:val="20"/>
          <w:szCs w:val="20"/>
        </w:rPr>
        <w:t xml:space="preserve">: Πλεονεκτήματα και Περιορισμοί των Απεικονιστικών Εξετάσεων </w:t>
      </w:r>
      <w:r w:rsidRPr="00A831E7">
        <w:rPr>
          <w:rFonts w:eastAsia="Calibri"/>
          <w:b/>
          <w:bCs/>
          <w:i w:val="0"/>
          <w:iCs w:val="0"/>
          <w:color w:val="auto"/>
          <w:sz w:val="20"/>
          <w:szCs w:val="20"/>
        </w:rPr>
        <w:fldChar w:fldCharType="begin"/>
      </w:r>
      <w:r w:rsidRPr="00A831E7">
        <w:rPr>
          <w:rFonts w:eastAsia="Calibri"/>
          <w:b/>
          <w:bCs/>
          <w:color w:val="auto"/>
          <w:sz w:val="20"/>
          <w:szCs w:val="20"/>
        </w:rPr>
        <w:instrText xml:space="preserve"> ADDIN ZOTERO_ITEM CSL_CITATION {"citationID":"kfoHgJyE","properties":{"formattedCitation":"[27]","plainCitation":"[27]","noteIndex":0},"citationItems":[{"id":1599,"uris":["http://zotero.org/users/local/mfHf28QG/items/TALH3XJ6"],"itemData":{"id":1599,"type":"article-journal","abstract":"Stroke is a leading cause of death and disability worldwide. Imaging plays a critical role in evaluating patients suspected of acute stroke and transient ischemic attack, especially before initiating treatment. Over the past few decades, major advances have occurred in stroke imaging and treatment, including Food and Drug Administration approval of recanalization therapies for the treatment of acute ischemic stroke. A wide variety of imaging techniques has become available to assess vascular lesions and brain tissue status in acute stroke patients. However, the practical challenge for physicians is to understand the multiple facets of these imaging techniques, including which imaging techniques to implement and how to optimally use them, given available resources at their local institution. Important considerations include constraints of time, cost, access to imaging modalities, preferences of treating physicians, availability of expertise, and availability of endovascular therapy. The choice of which imaging techniques to employ is impacted by both the time urgency for evaluation of patients and the complexity of the literature on acute stroke imaging. Ideally, imaging algorithms should incorporate techniques that provide optimal benefit for improved patient outcomes without delaying treatment.","container-title":"AJNR. American journal of neuroradiology","DOI":"10.3174/ajnr.A3690","ISSN":"1936-959X","issue":"11","journalAbbreviation":"AJNR Am J Neuroradiol","language":"eng","note":"PMID: 23907247\nPMCID: PMC4072500","page":"E117-127","source":"PubMed","title":"Imaging recommendations for acute stroke and transient ischemic attack patients: A joint statement by the American Society of Neuroradiology, the American College of Radiology, and the Society of NeuroInterventional Surgery","title-short":"Imaging recommendations for acute stroke and transient ischemic attack patients","volume":"34","author":[{"family":"Wintermark","given":"M."},{"family":"Sanelli","given":"P. C."},{"family":"Albers","given":"G. W."},{"family":"Bello","given":"J."},{"family":"Derdeyn","given":"C."},{"family":"Hetts","given":"S. W."},{"family":"Johnson","given":"M. H."},{"family":"Kidwell","given":"C."},{"family":"Lev","given":"M. H."},{"family":"Liebeskind","given":"D. S."},{"family":"Rowley","given":"H."},{"family":"Schaefer","given":"P. W."},{"family":"Sunshine","given":"J. L."},{"family":"Zaharchuk","given":"G."},{"family":"Meltzer","given":"C. C."}],"issued":{"date-parts":[["2013"]]}}}],"schema":"https://github.com/citation-style-language/schema/raw/master/csl-citation.json"} </w:instrText>
      </w:r>
      <w:r w:rsidRPr="00A831E7">
        <w:rPr>
          <w:rFonts w:eastAsia="Calibri"/>
          <w:b/>
          <w:bCs/>
          <w:i w:val="0"/>
          <w:iCs w:val="0"/>
          <w:color w:val="auto"/>
          <w:sz w:val="20"/>
          <w:szCs w:val="20"/>
        </w:rPr>
        <w:fldChar w:fldCharType="separate"/>
      </w:r>
      <w:r w:rsidRPr="00A831E7">
        <w:rPr>
          <w:rFonts w:eastAsia="Calibri"/>
          <w:b/>
          <w:bCs/>
          <w:color w:val="auto"/>
          <w:sz w:val="20"/>
          <w:szCs w:val="20"/>
        </w:rPr>
        <w:t>[27]</w:t>
      </w:r>
      <w:bookmarkEnd w:id="72"/>
      <w:r w:rsidRPr="00A831E7">
        <w:rPr>
          <w:rFonts w:eastAsia="Calibri"/>
          <w:b/>
          <w:bCs/>
          <w:i w:val="0"/>
          <w:iCs w:val="0"/>
          <w:color w:val="auto"/>
          <w:sz w:val="20"/>
          <w:szCs w:val="20"/>
        </w:rPr>
        <w:fldChar w:fldCharType="end"/>
      </w:r>
    </w:p>
    <w:tbl>
      <w:tblPr>
        <w:tblStyle w:val="af0"/>
        <w:tblW w:w="0" w:type="auto"/>
        <w:tblLook w:val="04A0" w:firstRow="1" w:lastRow="0" w:firstColumn="1" w:lastColumn="0" w:noHBand="0" w:noVBand="1"/>
      </w:tblPr>
      <w:tblGrid>
        <w:gridCol w:w="6979"/>
        <w:gridCol w:w="654"/>
        <w:gridCol w:w="669"/>
      </w:tblGrid>
      <w:tr w:rsidR="009E7451" w:rsidRPr="00A831E7" w14:paraId="640F1BBC" w14:textId="77777777" w:rsidTr="0057069D">
        <w:tc>
          <w:tcPr>
            <w:tcW w:w="6979" w:type="dxa"/>
            <w:shd w:val="clear" w:color="auto" w:fill="D9D9D9" w:themeFill="background1" w:themeFillShade="D9"/>
          </w:tcPr>
          <w:p w14:paraId="03D4A184" w14:textId="62AB3FE2" w:rsidR="009E7451" w:rsidRPr="00A831E7" w:rsidRDefault="00B276C6" w:rsidP="00B276C6">
            <w:pPr>
              <w:spacing w:line="360" w:lineRule="auto"/>
              <w:rPr>
                <w:rFonts w:eastAsia="Calibri"/>
                <w:b/>
                <w:bCs/>
                <w:sz w:val="20"/>
                <w:szCs w:val="20"/>
              </w:rPr>
            </w:pPr>
            <w:r w:rsidRPr="00A831E7">
              <w:rPr>
                <w:rFonts w:eastAsia="Calibri"/>
                <w:b/>
                <w:bCs/>
                <w:sz w:val="20"/>
                <w:szCs w:val="20"/>
              </w:rPr>
              <w:t>Χαρακτηριστικά των Απεικονιστικών Εξετάσεων για Διάγνωση ΑΕΕ</w:t>
            </w:r>
          </w:p>
        </w:tc>
        <w:tc>
          <w:tcPr>
            <w:tcW w:w="654" w:type="dxa"/>
            <w:shd w:val="clear" w:color="auto" w:fill="D9D9D9" w:themeFill="background1" w:themeFillShade="D9"/>
          </w:tcPr>
          <w:p w14:paraId="0F44F13D" w14:textId="3FFA42F8" w:rsidR="009E7451" w:rsidRPr="00A831E7" w:rsidRDefault="009E7451" w:rsidP="00747661">
            <w:pPr>
              <w:spacing w:line="360" w:lineRule="auto"/>
              <w:jc w:val="center"/>
              <w:rPr>
                <w:rFonts w:eastAsia="Calibri"/>
                <w:b/>
                <w:bCs/>
                <w:sz w:val="20"/>
                <w:szCs w:val="20"/>
              </w:rPr>
            </w:pPr>
            <w:r w:rsidRPr="00A831E7">
              <w:rPr>
                <w:rFonts w:eastAsia="Calibri"/>
                <w:b/>
                <w:bCs/>
                <w:sz w:val="20"/>
                <w:szCs w:val="20"/>
              </w:rPr>
              <w:t>CT</w:t>
            </w:r>
          </w:p>
        </w:tc>
        <w:tc>
          <w:tcPr>
            <w:tcW w:w="669" w:type="dxa"/>
            <w:shd w:val="clear" w:color="auto" w:fill="D9D9D9" w:themeFill="background1" w:themeFillShade="D9"/>
          </w:tcPr>
          <w:p w14:paraId="62E7720C" w14:textId="37DBC27B" w:rsidR="009E7451" w:rsidRPr="00A831E7" w:rsidRDefault="009E7451" w:rsidP="00747661">
            <w:pPr>
              <w:spacing w:line="360" w:lineRule="auto"/>
              <w:jc w:val="center"/>
              <w:rPr>
                <w:rFonts w:eastAsia="Calibri"/>
                <w:b/>
                <w:bCs/>
                <w:sz w:val="20"/>
                <w:szCs w:val="20"/>
              </w:rPr>
            </w:pPr>
            <w:r w:rsidRPr="00A831E7">
              <w:rPr>
                <w:rFonts w:eastAsia="Calibri"/>
                <w:b/>
                <w:bCs/>
                <w:sz w:val="20"/>
                <w:szCs w:val="20"/>
              </w:rPr>
              <w:t>MRI</w:t>
            </w:r>
          </w:p>
        </w:tc>
      </w:tr>
      <w:tr w:rsidR="009E7451" w:rsidRPr="00A831E7" w14:paraId="516FDBCF" w14:textId="77777777" w:rsidTr="000128CC">
        <w:tc>
          <w:tcPr>
            <w:tcW w:w="6979" w:type="dxa"/>
          </w:tcPr>
          <w:p w14:paraId="15D336A1" w14:textId="73111475" w:rsidR="009E7451" w:rsidRPr="00A831E7" w:rsidRDefault="00B276C6" w:rsidP="00B276C6">
            <w:pPr>
              <w:spacing w:line="360" w:lineRule="auto"/>
              <w:rPr>
                <w:rFonts w:eastAsia="Calibri"/>
                <w:sz w:val="20"/>
                <w:szCs w:val="20"/>
              </w:rPr>
            </w:pPr>
            <w:r w:rsidRPr="00A831E7">
              <w:rPr>
                <w:rFonts w:eastAsia="Calibri"/>
                <w:sz w:val="20"/>
                <w:szCs w:val="20"/>
              </w:rPr>
              <w:t>Διαθεσιμότητα στην οξεία κατάσταση (0–6 ώρες)</w:t>
            </w:r>
          </w:p>
        </w:tc>
        <w:tc>
          <w:tcPr>
            <w:tcW w:w="654" w:type="dxa"/>
          </w:tcPr>
          <w:p w14:paraId="62E376C2" w14:textId="5E51256D"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4B4FDA20" w14:textId="6A15B6EA"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52717E59" w14:textId="77777777" w:rsidTr="000128CC">
        <w:tc>
          <w:tcPr>
            <w:tcW w:w="6979" w:type="dxa"/>
          </w:tcPr>
          <w:p w14:paraId="00DB96F2" w14:textId="7421103E" w:rsidR="009E7451" w:rsidRPr="00A831E7" w:rsidRDefault="00B276C6" w:rsidP="00B276C6">
            <w:pPr>
              <w:spacing w:line="360" w:lineRule="auto"/>
              <w:rPr>
                <w:rFonts w:eastAsia="Calibri"/>
                <w:sz w:val="20"/>
                <w:szCs w:val="20"/>
              </w:rPr>
            </w:pPr>
            <w:r w:rsidRPr="00A831E7">
              <w:rPr>
                <w:rFonts w:eastAsia="Calibri"/>
                <w:sz w:val="20"/>
                <w:szCs w:val="20"/>
              </w:rPr>
              <w:t>Ταχύτητα απεικόνισης</w:t>
            </w:r>
          </w:p>
        </w:tc>
        <w:tc>
          <w:tcPr>
            <w:tcW w:w="654" w:type="dxa"/>
          </w:tcPr>
          <w:p w14:paraId="033A6343" w14:textId="44EF86C1"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71FEAE4C" w14:textId="341164BE"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1D7A05DE" w14:textId="77777777" w:rsidTr="000128CC">
        <w:tc>
          <w:tcPr>
            <w:tcW w:w="6979" w:type="dxa"/>
          </w:tcPr>
          <w:p w14:paraId="55F197A6" w14:textId="64A9CDDA" w:rsidR="009E7451" w:rsidRPr="00A831E7" w:rsidRDefault="00B276C6" w:rsidP="00B276C6">
            <w:pPr>
              <w:spacing w:line="360" w:lineRule="auto"/>
              <w:rPr>
                <w:rFonts w:eastAsia="Calibri"/>
                <w:sz w:val="20"/>
                <w:szCs w:val="20"/>
              </w:rPr>
            </w:pPr>
            <w:r w:rsidRPr="00A831E7">
              <w:rPr>
                <w:rFonts w:eastAsia="Calibri"/>
                <w:sz w:val="20"/>
                <w:szCs w:val="20"/>
              </w:rPr>
              <w:t>Διαφοροποίηση μεταξύ οξείας και χρόνιας Ισχαιμίας</w:t>
            </w:r>
          </w:p>
        </w:tc>
        <w:tc>
          <w:tcPr>
            <w:tcW w:w="654" w:type="dxa"/>
          </w:tcPr>
          <w:p w14:paraId="30539C0A" w14:textId="614B0BD2"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1295F238" w14:textId="0F95C2D3"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23B1977A" w14:textId="77777777" w:rsidTr="000128CC">
        <w:tc>
          <w:tcPr>
            <w:tcW w:w="6979" w:type="dxa"/>
          </w:tcPr>
          <w:p w14:paraId="590336BA" w14:textId="025C879E" w:rsidR="009E7451" w:rsidRPr="00A831E7" w:rsidRDefault="00B276C6" w:rsidP="00B276C6">
            <w:pPr>
              <w:spacing w:line="360" w:lineRule="auto"/>
              <w:rPr>
                <w:rFonts w:eastAsia="Calibri"/>
                <w:sz w:val="20"/>
                <w:szCs w:val="20"/>
              </w:rPr>
            </w:pPr>
            <w:r w:rsidRPr="00A831E7">
              <w:rPr>
                <w:rFonts w:eastAsia="Calibri"/>
                <w:sz w:val="20"/>
                <w:szCs w:val="20"/>
              </w:rPr>
              <w:t>Ανίχνευση χρόνιας αιμορραγίας και μικροαιμορραγιών</w:t>
            </w:r>
          </w:p>
        </w:tc>
        <w:tc>
          <w:tcPr>
            <w:tcW w:w="654" w:type="dxa"/>
          </w:tcPr>
          <w:p w14:paraId="6B576A97" w14:textId="77777777" w:rsidR="009E7451" w:rsidRPr="00A831E7" w:rsidRDefault="009E7451" w:rsidP="00747661">
            <w:pPr>
              <w:spacing w:line="360" w:lineRule="auto"/>
              <w:jc w:val="center"/>
              <w:rPr>
                <w:rFonts w:eastAsia="Calibri"/>
                <w:sz w:val="20"/>
                <w:szCs w:val="20"/>
              </w:rPr>
            </w:pPr>
          </w:p>
        </w:tc>
        <w:tc>
          <w:tcPr>
            <w:tcW w:w="669" w:type="dxa"/>
          </w:tcPr>
          <w:p w14:paraId="13A107B6" w14:textId="77777777" w:rsidR="009E7451" w:rsidRPr="00A831E7" w:rsidRDefault="009E7451" w:rsidP="00747661">
            <w:pPr>
              <w:spacing w:line="360" w:lineRule="auto"/>
              <w:jc w:val="center"/>
              <w:rPr>
                <w:rFonts w:eastAsia="Calibri"/>
                <w:sz w:val="20"/>
                <w:szCs w:val="20"/>
              </w:rPr>
            </w:pPr>
          </w:p>
        </w:tc>
      </w:tr>
      <w:tr w:rsidR="009E7451" w:rsidRPr="00A831E7" w14:paraId="1267678E" w14:textId="77777777" w:rsidTr="000128CC">
        <w:tc>
          <w:tcPr>
            <w:tcW w:w="6979" w:type="dxa"/>
          </w:tcPr>
          <w:p w14:paraId="70069F14" w14:textId="44CC23FF" w:rsidR="009E7451" w:rsidRPr="00A831E7" w:rsidRDefault="00B276C6" w:rsidP="00B276C6">
            <w:pPr>
              <w:spacing w:line="360" w:lineRule="auto"/>
              <w:rPr>
                <w:rFonts w:eastAsia="Calibri"/>
                <w:sz w:val="20"/>
                <w:szCs w:val="20"/>
              </w:rPr>
            </w:pPr>
            <w:r w:rsidRPr="00A831E7">
              <w:rPr>
                <w:rFonts w:eastAsia="Calibri"/>
                <w:sz w:val="20"/>
                <w:szCs w:val="20"/>
              </w:rPr>
              <w:t>Ευαισθησία σε έμφρακτα κενού και οπίσθιου βόθρου</w:t>
            </w:r>
          </w:p>
        </w:tc>
        <w:tc>
          <w:tcPr>
            <w:tcW w:w="654" w:type="dxa"/>
          </w:tcPr>
          <w:p w14:paraId="4911A3D2" w14:textId="027FF896"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44C69C4F" w14:textId="7E70680E"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5958FBC5" w14:textId="77777777" w:rsidTr="000128CC">
        <w:tc>
          <w:tcPr>
            <w:tcW w:w="6979" w:type="dxa"/>
          </w:tcPr>
          <w:p w14:paraId="395D538F" w14:textId="55C826CC" w:rsidR="009E7451" w:rsidRPr="00A831E7" w:rsidRDefault="00B276C6" w:rsidP="00B276C6">
            <w:pPr>
              <w:spacing w:line="360" w:lineRule="auto"/>
              <w:rPr>
                <w:rFonts w:eastAsia="Calibri"/>
                <w:sz w:val="20"/>
                <w:szCs w:val="20"/>
              </w:rPr>
            </w:pPr>
            <w:r w:rsidRPr="00A831E7">
              <w:rPr>
                <w:rFonts w:eastAsia="Calibri"/>
                <w:sz w:val="20"/>
                <w:szCs w:val="20"/>
              </w:rPr>
              <w:t>Αξιολόγηση των αιτιών της υπαραχνοειδούς και ενδοεγκεφαλικής</w:t>
            </w:r>
            <w:r w:rsidR="00426D11" w:rsidRPr="00A831E7">
              <w:rPr>
                <w:rFonts w:eastAsia="Calibri"/>
                <w:sz w:val="20"/>
                <w:szCs w:val="20"/>
              </w:rPr>
              <w:t xml:space="preserve"> </w:t>
            </w:r>
            <w:r w:rsidRPr="00A831E7">
              <w:rPr>
                <w:rFonts w:eastAsia="Calibri"/>
                <w:sz w:val="20"/>
                <w:szCs w:val="20"/>
              </w:rPr>
              <w:t>αιμορραγίας</w:t>
            </w:r>
          </w:p>
        </w:tc>
        <w:tc>
          <w:tcPr>
            <w:tcW w:w="654" w:type="dxa"/>
          </w:tcPr>
          <w:p w14:paraId="4C5B6D37" w14:textId="297B59CC"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6A79AFC5" w14:textId="7C30B628"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122A9A1E" w14:textId="77777777" w:rsidTr="000128CC">
        <w:tc>
          <w:tcPr>
            <w:tcW w:w="6979" w:type="dxa"/>
          </w:tcPr>
          <w:p w14:paraId="01A64FF2" w14:textId="0A7E6B4C" w:rsidR="009E7451" w:rsidRPr="00A831E7" w:rsidRDefault="00426D11" w:rsidP="00B276C6">
            <w:pPr>
              <w:spacing w:line="360" w:lineRule="auto"/>
              <w:rPr>
                <w:rFonts w:eastAsia="Calibri"/>
                <w:sz w:val="20"/>
                <w:szCs w:val="20"/>
              </w:rPr>
            </w:pPr>
            <w:r w:rsidRPr="00A831E7">
              <w:rPr>
                <w:rFonts w:eastAsia="Calibri"/>
                <w:sz w:val="20"/>
                <w:szCs w:val="20"/>
              </w:rPr>
              <w:t>Ταχύτητα post-processing αγγειογραφίας και απεικόνισης αιμάτωσης</w:t>
            </w:r>
          </w:p>
        </w:tc>
        <w:tc>
          <w:tcPr>
            <w:tcW w:w="654" w:type="dxa"/>
          </w:tcPr>
          <w:p w14:paraId="6455A2AC" w14:textId="73C90E92"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444E7D52" w14:textId="0340E291"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15FA62DF" w14:textId="77777777" w:rsidTr="000128CC">
        <w:tc>
          <w:tcPr>
            <w:tcW w:w="6979" w:type="dxa"/>
          </w:tcPr>
          <w:p w14:paraId="5368D9AD" w14:textId="1C9081AA" w:rsidR="009E7451" w:rsidRPr="00A831E7" w:rsidRDefault="00426D11" w:rsidP="00B276C6">
            <w:pPr>
              <w:spacing w:line="360" w:lineRule="auto"/>
              <w:rPr>
                <w:rFonts w:eastAsia="Calibri"/>
                <w:sz w:val="20"/>
                <w:szCs w:val="20"/>
              </w:rPr>
            </w:pPr>
            <w:r w:rsidRPr="00A831E7">
              <w:rPr>
                <w:rFonts w:eastAsia="Calibri"/>
                <w:sz w:val="20"/>
                <w:szCs w:val="20"/>
              </w:rPr>
              <w:t>Προσβασιμότητα σε ασθενείς με αναπνευστήρες</w:t>
            </w:r>
          </w:p>
        </w:tc>
        <w:tc>
          <w:tcPr>
            <w:tcW w:w="654" w:type="dxa"/>
          </w:tcPr>
          <w:p w14:paraId="787399CF" w14:textId="23BA289B"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05E0A3D9" w14:textId="37B488D1"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57A7C0C8" w14:textId="77777777" w:rsidTr="000128CC">
        <w:tc>
          <w:tcPr>
            <w:tcW w:w="6979" w:type="dxa"/>
          </w:tcPr>
          <w:p w14:paraId="6F24E340" w14:textId="238AF5B4" w:rsidR="009E7451" w:rsidRPr="00A831E7" w:rsidRDefault="00426D11" w:rsidP="00B276C6">
            <w:pPr>
              <w:spacing w:line="360" w:lineRule="auto"/>
              <w:rPr>
                <w:rFonts w:eastAsia="Calibri"/>
                <w:sz w:val="20"/>
                <w:szCs w:val="20"/>
              </w:rPr>
            </w:pPr>
            <w:r w:rsidRPr="00A831E7">
              <w:rPr>
                <w:rFonts w:eastAsia="Calibri"/>
                <w:sz w:val="20"/>
                <w:szCs w:val="20"/>
              </w:rPr>
              <w:t xml:space="preserve">Απουσία ευαισθησίας σε </w:t>
            </w:r>
            <w:r w:rsidR="00E3586E">
              <w:rPr>
                <w:rFonts w:eastAsia="Calibri"/>
                <w:sz w:val="20"/>
                <w:szCs w:val="20"/>
              </w:rPr>
              <w:t>«</w:t>
            </w:r>
            <w:r w:rsidR="00B276C6" w:rsidRPr="00A831E7">
              <w:rPr>
                <w:rFonts w:eastAsia="Calibri"/>
                <w:sz w:val="20"/>
                <w:szCs w:val="20"/>
              </w:rPr>
              <w:t>artifacts</w:t>
            </w:r>
            <w:r w:rsidR="00E3586E">
              <w:rPr>
                <w:rFonts w:eastAsia="Calibri"/>
                <w:sz w:val="20"/>
                <w:szCs w:val="20"/>
              </w:rPr>
              <w:t>»</w:t>
            </w:r>
            <w:r w:rsidRPr="00A831E7">
              <w:rPr>
                <w:rFonts w:eastAsia="Calibri"/>
                <w:sz w:val="20"/>
                <w:szCs w:val="20"/>
              </w:rPr>
              <w:t xml:space="preserve"> κατά την απεικόνιση</w:t>
            </w:r>
          </w:p>
        </w:tc>
        <w:tc>
          <w:tcPr>
            <w:tcW w:w="654" w:type="dxa"/>
          </w:tcPr>
          <w:p w14:paraId="752EFABE" w14:textId="3F420685"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26564BD4" w14:textId="054E7CEC"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34389C57" w14:textId="77777777" w:rsidTr="000128CC">
        <w:tc>
          <w:tcPr>
            <w:tcW w:w="6979" w:type="dxa"/>
          </w:tcPr>
          <w:p w14:paraId="7476A78C" w14:textId="554CF8DB" w:rsidR="009E7451" w:rsidRPr="00A831E7" w:rsidRDefault="00426D11" w:rsidP="00B276C6">
            <w:pPr>
              <w:spacing w:line="360" w:lineRule="auto"/>
              <w:rPr>
                <w:rFonts w:eastAsia="Calibri"/>
                <w:sz w:val="20"/>
                <w:szCs w:val="20"/>
              </w:rPr>
            </w:pPr>
            <w:r w:rsidRPr="00A831E7">
              <w:rPr>
                <w:rFonts w:eastAsia="Calibri"/>
                <w:sz w:val="20"/>
                <w:szCs w:val="20"/>
              </w:rPr>
              <w:t>Ασφάλεια για ασθενείς με μεταλλικά εμφυτεύματα(βηματοδότες/απινιδωτές)</w:t>
            </w:r>
          </w:p>
        </w:tc>
        <w:tc>
          <w:tcPr>
            <w:tcW w:w="654" w:type="dxa"/>
          </w:tcPr>
          <w:p w14:paraId="070690B6" w14:textId="3829801B"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21EA4A7F" w14:textId="2B24705D"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9E7451" w:rsidRPr="00A831E7" w14:paraId="7F2F1419" w14:textId="77777777" w:rsidTr="000128CC">
        <w:tc>
          <w:tcPr>
            <w:tcW w:w="6979" w:type="dxa"/>
          </w:tcPr>
          <w:p w14:paraId="06188EE0" w14:textId="0E885382" w:rsidR="009E7451" w:rsidRPr="00A831E7" w:rsidRDefault="00426D11" w:rsidP="00B276C6">
            <w:pPr>
              <w:spacing w:line="360" w:lineRule="auto"/>
              <w:rPr>
                <w:rFonts w:eastAsia="Calibri"/>
                <w:sz w:val="20"/>
                <w:szCs w:val="20"/>
              </w:rPr>
            </w:pPr>
            <w:r w:rsidRPr="00A831E7">
              <w:rPr>
                <w:rFonts w:eastAsia="Calibri"/>
                <w:sz w:val="20"/>
                <w:szCs w:val="20"/>
              </w:rPr>
              <w:t>Απουσία ιον</w:t>
            </w:r>
            <w:r w:rsidR="003718A7" w:rsidRPr="00A831E7">
              <w:rPr>
                <w:rFonts w:eastAsia="Calibri"/>
                <w:sz w:val="20"/>
                <w:szCs w:val="20"/>
              </w:rPr>
              <w:t>τ</w:t>
            </w:r>
            <w:r w:rsidRPr="00A831E7">
              <w:rPr>
                <w:rFonts w:eastAsia="Calibri"/>
                <w:sz w:val="20"/>
                <w:szCs w:val="20"/>
              </w:rPr>
              <w:t>ίζουσας ακτινοβολίας</w:t>
            </w:r>
          </w:p>
        </w:tc>
        <w:tc>
          <w:tcPr>
            <w:tcW w:w="654" w:type="dxa"/>
          </w:tcPr>
          <w:p w14:paraId="772DDEF8" w14:textId="2FF7707C"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c>
          <w:tcPr>
            <w:tcW w:w="669" w:type="dxa"/>
          </w:tcPr>
          <w:p w14:paraId="35CFC7C1" w14:textId="04BFB4D8" w:rsidR="009E7451" w:rsidRPr="00A831E7" w:rsidRDefault="00B276C6" w:rsidP="00747661">
            <w:pPr>
              <w:spacing w:line="360" w:lineRule="auto"/>
              <w:jc w:val="center"/>
              <w:rPr>
                <w:rFonts w:eastAsia="Calibri"/>
                <w:sz w:val="20"/>
                <w:szCs w:val="20"/>
              </w:rPr>
            </w:pPr>
            <w:r w:rsidRPr="00A831E7">
              <w:rPr>
                <w:rFonts w:eastAsia="Calibri"/>
                <w:sz w:val="20"/>
                <w:szCs w:val="20"/>
              </w:rPr>
              <w:t>++</w:t>
            </w:r>
          </w:p>
        </w:tc>
      </w:tr>
      <w:tr w:rsidR="00B276C6" w:rsidRPr="00A831E7" w14:paraId="2B55C102" w14:textId="77777777" w:rsidTr="000128CC">
        <w:tc>
          <w:tcPr>
            <w:tcW w:w="6979" w:type="dxa"/>
          </w:tcPr>
          <w:p w14:paraId="2AFAFBB0" w14:textId="1A0C00B3" w:rsidR="00B276C6" w:rsidRPr="00A831E7" w:rsidRDefault="00426D11" w:rsidP="00B276C6">
            <w:pPr>
              <w:spacing w:line="360" w:lineRule="auto"/>
              <w:rPr>
                <w:rFonts w:eastAsia="Calibri"/>
                <w:sz w:val="20"/>
                <w:szCs w:val="20"/>
              </w:rPr>
            </w:pPr>
            <w:r w:rsidRPr="00A831E7">
              <w:rPr>
                <w:rFonts w:eastAsia="Calibri"/>
                <w:sz w:val="20"/>
                <w:szCs w:val="20"/>
              </w:rPr>
              <w:t>Νεφρική τοξικότητα σχετιζόμενη με τη χορήγηση σκιαγραφικού</w:t>
            </w:r>
          </w:p>
        </w:tc>
        <w:tc>
          <w:tcPr>
            <w:tcW w:w="654" w:type="dxa"/>
          </w:tcPr>
          <w:p w14:paraId="79964F99" w14:textId="498962FD" w:rsidR="00B276C6" w:rsidRPr="00A831E7" w:rsidRDefault="00B276C6" w:rsidP="00B276C6">
            <w:pPr>
              <w:spacing w:line="360" w:lineRule="auto"/>
              <w:jc w:val="center"/>
              <w:rPr>
                <w:rFonts w:eastAsia="Calibri"/>
                <w:sz w:val="20"/>
                <w:szCs w:val="20"/>
              </w:rPr>
            </w:pPr>
            <w:r w:rsidRPr="00A831E7">
              <w:rPr>
                <w:rFonts w:eastAsia="Calibri"/>
                <w:sz w:val="20"/>
                <w:szCs w:val="20"/>
              </w:rPr>
              <w:t>+</w:t>
            </w:r>
          </w:p>
        </w:tc>
        <w:tc>
          <w:tcPr>
            <w:tcW w:w="669" w:type="dxa"/>
          </w:tcPr>
          <w:p w14:paraId="1678976C" w14:textId="36A7574E" w:rsidR="00B276C6" w:rsidRPr="00A831E7" w:rsidRDefault="00B276C6" w:rsidP="00B276C6">
            <w:pPr>
              <w:spacing w:line="360" w:lineRule="auto"/>
              <w:jc w:val="center"/>
              <w:rPr>
                <w:rFonts w:eastAsia="Calibri"/>
                <w:sz w:val="20"/>
                <w:szCs w:val="20"/>
              </w:rPr>
            </w:pPr>
            <w:r w:rsidRPr="00A831E7">
              <w:rPr>
                <w:rFonts w:eastAsia="Calibri"/>
                <w:sz w:val="20"/>
                <w:szCs w:val="20"/>
              </w:rPr>
              <w:t>+</w:t>
            </w:r>
          </w:p>
        </w:tc>
      </w:tr>
      <w:tr w:rsidR="00B276C6" w:rsidRPr="00A831E7" w14:paraId="4ACDAEFB" w14:textId="77777777" w:rsidTr="000128CC">
        <w:tc>
          <w:tcPr>
            <w:tcW w:w="6979" w:type="dxa"/>
          </w:tcPr>
          <w:p w14:paraId="76DF564D" w14:textId="571A93DD" w:rsidR="00B276C6" w:rsidRPr="00A831E7" w:rsidRDefault="00426D11" w:rsidP="00B276C6">
            <w:pPr>
              <w:spacing w:line="360" w:lineRule="auto"/>
              <w:rPr>
                <w:rFonts w:eastAsia="Calibri"/>
                <w:sz w:val="20"/>
                <w:szCs w:val="20"/>
              </w:rPr>
            </w:pPr>
            <w:r w:rsidRPr="00A831E7">
              <w:rPr>
                <w:rFonts w:eastAsia="Calibri"/>
                <w:sz w:val="20"/>
                <w:szCs w:val="20"/>
              </w:rPr>
              <w:t>Κόστος</w:t>
            </w:r>
          </w:p>
        </w:tc>
        <w:tc>
          <w:tcPr>
            <w:tcW w:w="654" w:type="dxa"/>
          </w:tcPr>
          <w:p w14:paraId="70FEC028" w14:textId="4CCD2B8B" w:rsidR="00B276C6" w:rsidRPr="00A831E7" w:rsidRDefault="00B276C6" w:rsidP="00B276C6">
            <w:pPr>
              <w:spacing w:line="360" w:lineRule="auto"/>
              <w:jc w:val="center"/>
              <w:rPr>
                <w:rFonts w:eastAsia="Calibri"/>
                <w:sz w:val="20"/>
                <w:szCs w:val="20"/>
              </w:rPr>
            </w:pPr>
            <w:r w:rsidRPr="00A831E7">
              <w:rPr>
                <w:rFonts w:eastAsia="Calibri"/>
                <w:sz w:val="20"/>
                <w:szCs w:val="20"/>
              </w:rPr>
              <w:t>+</w:t>
            </w:r>
          </w:p>
        </w:tc>
        <w:tc>
          <w:tcPr>
            <w:tcW w:w="669" w:type="dxa"/>
          </w:tcPr>
          <w:p w14:paraId="781EA5DB" w14:textId="524D1EE9" w:rsidR="00B276C6" w:rsidRPr="00A831E7" w:rsidRDefault="00B276C6" w:rsidP="00B276C6">
            <w:pPr>
              <w:spacing w:line="360" w:lineRule="auto"/>
              <w:jc w:val="center"/>
              <w:rPr>
                <w:rFonts w:eastAsia="Calibri"/>
                <w:sz w:val="20"/>
                <w:szCs w:val="20"/>
              </w:rPr>
            </w:pPr>
            <w:r w:rsidRPr="00A831E7">
              <w:rPr>
                <w:rFonts w:eastAsia="Calibri"/>
                <w:sz w:val="20"/>
                <w:szCs w:val="20"/>
              </w:rPr>
              <w:t>++</w:t>
            </w:r>
          </w:p>
        </w:tc>
      </w:tr>
      <w:tr w:rsidR="00B276C6" w:rsidRPr="00A831E7" w14:paraId="510EE027" w14:textId="77777777" w:rsidTr="00F216BF">
        <w:tc>
          <w:tcPr>
            <w:tcW w:w="8302" w:type="dxa"/>
            <w:gridSpan w:val="3"/>
          </w:tcPr>
          <w:p w14:paraId="741B295E" w14:textId="6D397CFF" w:rsidR="00B276C6" w:rsidRPr="00A831E7" w:rsidRDefault="00426D11" w:rsidP="00B276C6">
            <w:pPr>
              <w:spacing w:line="360" w:lineRule="auto"/>
              <w:rPr>
                <w:rFonts w:eastAsia="Calibri"/>
                <w:sz w:val="20"/>
                <w:szCs w:val="20"/>
              </w:rPr>
            </w:pPr>
            <w:r w:rsidRPr="00A831E7">
              <w:rPr>
                <w:rFonts w:eastAsia="Calibri"/>
                <w:sz w:val="20"/>
                <w:szCs w:val="20"/>
              </w:rPr>
              <w:t xml:space="preserve">κλίμακα: </w:t>
            </w:r>
            <w:r w:rsidR="00B276C6" w:rsidRPr="00A831E7">
              <w:rPr>
                <w:rFonts w:eastAsia="Calibri"/>
                <w:sz w:val="20"/>
                <w:szCs w:val="20"/>
              </w:rPr>
              <w:t xml:space="preserve">(−) </w:t>
            </w:r>
            <w:r w:rsidRPr="00A831E7">
              <w:rPr>
                <w:rFonts w:eastAsia="Calibri"/>
                <w:sz w:val="20"/>
                <w:szCs w:val="20"/>
              </w:rPr>
              <w:t>καθόλου/χαμηλό</w:t>
            </w:r>
            <w:r w:rsidR="00B276C6" w:rsidRPr="00A831E7">
              <w:rPr>
                <w:rFonts w:eastAsia="Calibri"/>
                <w:sz w:val="20"/>
                <w:szCs w:val="20"/>
              </w:rPr>
              <w:t>,</w:t>
            </w:r>
            <w:r w:rsidRPr="00A831E7">
              <w:rPr>
                <w:rFonts w:eastAsia="Calibri"/>
                <w:sz w:val="20"/>
                <w:szCs w:val="20"/>
              </w:rPr>
              <w:t xml:space="preserve"> </w:t>
            </w:r>
            <w:r w:rsidR="00B276C6" w:rsidRPr="00A831E7">
              <w:rPr>
                <w:rFonts w:eastAsia="Calibri"/>
                <w:sz w:val="20"/>
                <w:szCs w:val="20"/>
              </w:rPr>
              <w:t>(+)</w:t>
            </w:r>
            <w:r w:rsidRPr="00A831E7">
              <w:rPr>
                <w:rFonts w:eastAsia="Calibri"/>
                <w:sz w:val="20"/>
                <w:szCs w:val="20"/>
              </w:rPr>
              <w:t xml:space="preserve"> μέτριο,</w:t>
            </w:r>
            <w:r w:rsidR="00B276C6" w:rsidRPr="00A831E7">
              <w:rPr>
                <w:rFonts w:eastAsia="Calibri"/>
                <w:sz w:val="20"/>
                <w:szCs w:val="20"/>
              </w:rPr>
              <w:t xml:space="preserve"> (++) </w:t>
            </w:r>
            <w:r w:rsidRPr="00A831E7">
              <w:rPr>
                <w:rFonts w:eastAsia="Calibri"/>
                <w:sz w:val="20"/>
                <w:szCs w:val="20"/>
              </w:rPr>
              <w:t>υψηλό</w:t>
            </w:r>
          </w:p>
        </w:tc>
      </w:tr>
    </w:tbl>
    <w:p w14:paraId="4242F5A9" w14:textId="77777777" w:rsidR="00444A1E" w:rsidRPr="00A831E7" w:rsidRDefault="00444A1E" w:rsidP="001D68F2">
      <w:pPr>
        <w:spacing w:line="360" w:lineRule="auto"/>
        <w:jc w:val="both"/>
        <w:rPr>
          <w:rFonts w:eastAsia="Calibri"/>
        </w:rPr>
      </w:pPr>
    </w:p>
    <w:p w14:paraId="365C2B75" w14:textId="5E020F5F" w:rsidR="001D68F2" w:rsidRPr="008F5904" w:rsidRDefault="001D68F2" w:rsidP="008F5904">
      <w:pPr>
        <w:pStyle w:val="3"/>
      </w:pPr>
      <w:bookmarkStart w:id="73" w:name="_Toc199787395"/>
      <w:bookmarkStart w:id="74" w:name="_Toc199946464"/>
      <w:r w:rsidRPr="008F5904">
        <w:lastRenderedPageBreak/>
        <w:t>Αξονική Τομογραφία (CT)</w:t>
      </w:r>
      <w:bookmarkEnd w:id="73"/>
      <w:bookmarkEnd w:id="74"/>
    </w:p>
    <w:p w14:paraId="22D6FD45" w14:textId="2500BB81" w:rsidR="00116032" w:rsidRDefault="001D68F2" w:rsidP="00116032">
      <w:pPr>
        <w:spacing w:line="360" w:lineRule="auto"/>
        <w:ind w:firstLine="720"/>
        <w:jc w:val="both"/>
        <w:rPr>
          <w:rFonts w:eastAsia="Calibri"/>
        </w:rPr>
      </w:pPr>
      <w:r w:rsidRPr="00A831E7">
        <w:rPr>
          <w:rFonts w:eastAsia="Calibri"/>
        </w:rPr>
        <w:t>Η</w:t>
      </w:r>
      <w:r w:rsidR="009F08F5" w:rsidRPr="00A831E7">
        <w:rPr>
          <w:rFonts w:eastAsia="Calibri"/>
        </w:rPr>
        <w:t xml:space="preserve"> αξονική τομογραφία (CT)</w:t>
      </w:r>
      <w:r w:rsidRPr="00A831E7">
        <w:rPr>
          <w:rFonts w:eastAsia="Calibri"/>
        </w:rPr>
        <w:t xml:space="preserve"> είναι η πρώτη απεικονιστική εξέταση που πραγματοποιείται στους ασθενείς με εγκεφαλικό επεισόδιο λόγω της ταχύτητας και της προσβασιμότητάς της</w:t>
      </w:r>
      <w:r w:rsidR="00C44166" w:rsidRPr="00A831E7">
        <w:rPr>
          <w:rFonts w:eastAsia="Calibri"/>
        </w:rPr>
        <w:t xml:space="preserve"> </w:t>
      </w:r>
      <w:r w:rsidR="00C44166" w:rsidRPr="00A831E7">
        <w:rPr>
          <w:rFonts w:eastAsia="Calibri"/>
        </w:rPr>
        <w:fldChar w:fldCharType="begin"/>
      </w:r>
      <w:r w:rsidR="00C44166" w:rsidRPr="00A831E7">
        <w:rPr>
          <w:rFonts w:eastAsia="Calibri"/>
        </w:rPr>
        <w:instrText xml:space="preserve"> ADDIN ZOTERO_ITEM CSL_CITATION {"citationID":"LHVqLnNd","properties":{"formattedCitation":"[16]","plainCitation":"[16]","noteIndex":0},"citationItems":[{"id":172,"uris":["http://zotero.org/users/local/mfHf28QG/items/NFV5AQIQ"],"itemData":{"id":172,"type":"article-journal","abstract":"There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C44166" w:rsidRPr="00A831E7">
        <w:rPr>
          <w:rFonts w:eastAsia="Calibri"/>
        </w:rPr>
        <w:fldChar w:fldCharType="separate"/>
      </w:r>
      <w:r w:rsidR="00C44166" w:rsidRPr="00A831E7">
        <w:rPr>
          <w:rFonts w:eastAsia="Calibri"/>
        </w:rPr>
        <w:t>[16]</w:t>
      </w:r>
      <w:r w:rsidR="00C44166" w:rsidRPr="00A831E7">
        <w:rPr>
          <w:rFonts w:eastAsia="Calibri"/>
        </w:rPr>
        <w:fldChar w:fldCharType="end"/>
      </w:r>
      <w:r w:rsidR="00C44166" w:rsidRPr="00A831E7">
        <w:rPr>
          <w:rFonts w:eastAsia="Calibri"/>
        </w:rPr>
        <w:t>.</w:t>
      </w:r>
      <w:r w:rsidRPr="00A831E7">
        <w:rPr>
          <w:rFonts w:eastAsia="Calibri"/>
        </w:rPr>
        <w:t xml:space="preserve"> </w:t>
      </w:r>
      <w:r w:rsidR="00BD7A84" w:rsidRPr="00A831E7">
        <w:rPr>
          <w:rFonts w:eastAsia="Calibri"/>
        </w:rPr>
        <w:t xml:space="preserve"> </w:t>
      </w:r>
      <w:r w:rsidR="009F08F5" w:rsidRPr="00A831E7">
        <w:rPr>
          <w:rFonts w:eastAsia="Calibri"/>
        </w:rPr>
        <w:t>Πρόκειται για μια διαγνωστική μέθοδο που χρησιμοποιεί ακτίνες Χ για την απεικόνιση του εγκεφάλου. Όπως και στις συμβατικές ακτινογραφίες, οι ακτίνες Χ διεισδύουν στους ιστούς, αλλά η CT επιτρέπει τη δημιουργία λεπτομερέστερων εικόνων μέσω πολλαπλών προβολών. Επειδή χρησιμοποιεί υψηλή δόση ακτινοβολίας, η τεχνική αυτή έχει ορισμένους περιορισμούς.</w:t>
      </w:r>
    </w:p>
    <w:p w14:paraId="635A3BE9" w14:textId="36562BB1" w:rsidR="0078557C" w:rsidRPr="00A831E7" w:rsidRDefault="009F08F5" w:rsidP="00E3586E">
      <w:pPr>
        <w:spacing w:line="360" w:lineRule="auto"/>
        <w:jc w:val="both"/>
        <w:rPr>
          <w:rFonts w:eastAsia="Calibri"/>
        </w:rPr>
      </w:pPr>
      <w:r w:rsidRPr="00A831E7">
        <w:rPr>
          <w:rFonts w:eastAsia="Calibri"/>
        </w:rPr>
        <w:t>Υπάρχουν διάφορες παραλλαγές αυτής της τεχνικής, όπως η μη σκιαγραφική CT (NCCT), η CT αγγειογραφία (CTA) και η CT αιμάτωσης (PCT), που προσφέρουν εξειδικευμένες πληροφορίες για τη ροή του αίματος και τη μορφολογία των αγγείων του εγκεφάλου</w:t>
      </w:r>
      <w:r w:rsidRPr="00A831E7">
        <w:rPr>
          <w:rFonts w:eastAsia="Calibri"/>
        </w:rPr>
        <w:fldChar w:fldCharType="begin"/>
      </w:r>
      <w:r w:rsidRPr="00A831E7">
        <w:rPr>
          <w:rFonts w:eastAsia="Calibri"/>
        </w:rPr>
        <w:instrText xml:space="preserve"> ADDIN ZOTERO_ITEM CSL_CITATION {"citationID":"7Al8ugSK","properties":{"formattedCitation":"[16]","plainCitation":"[16]","noteIndex":0},"citationItems":[{"id":172,"uris":["http://zotero.org/users/local/mfHf28QG/items/NFV5AQIQ"],"itemData":{"id":172,"type":"article-journal","abstract":"There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Pr="00A831E7">
        <w:rPr>
          <w:rFonts w:eastAsia="Calibri"/>
        </w:rPr>
        <w:fldChar w:fldCharType="separate"/>
      </w:r>
      <w:r w:rsidRPr="00A831E7">
        <w:rPr>
          <w:rFonts w:eastAsia="Calibri"/>
        </w:rPr>
        <w:t>[16]</w:t>
      </w:r>
      <w:r w:rsidRPr="00A831E7">
        <w:rPr>
          <w:rFonts w:eastAsia="Calibri"/>
        </w:rPr>
        <w:fldChar w:fldCharType="end"/>
      </w:r>
      <w:r w:rsidRPr="00A831E7">
        <w:rPr>
          <w:rFonts w:eastAsia="Calibri"/>
        </w:rPr>
        <w:t>.</w:t>
      </w:r>
    </w:p>
    <w:p w14:paraId="489E2FE7" w14:textId="77777777" w:rsidR="00B93F11" w:rsidRPr="00A831E7" w:rsidRDefault="00B93F11" w:rsidP="0057069D">
      <w:pPr>
        <w:spacing w:line="360" w:lineRule="auto"/>
        <w:jc w:val="both"/>
        <w:rPr>
          <w:rFonts w:eastAsia="Calibri"/>
        </w:rPr>
      </w:pPr>
    </w:p>
    <w:p w14:paraId="0703C502" w14:textId="10149F88" w:rsidR="001D68F2" w:rsidRPr="00A831E7" w:rsidRDefault="001D68F2" w:rsidP="0057069D">
      <w:pPr>
        <w:pStyle w:val="4"/>
        <w:spacing w:line="360" w:lineRule="auto"/>
        <w:rPr>
          <w:rFonts w:eastAsia="Calibri"/>
          <w:b w:val="0"/>
          <w:bCs/>
        </w:rPr>
      </w:pPr>
      <w:r w:rsidRPr="00A831E7">
        <w:rPr>
          <w:rFonts w:eastAsia="Calibri"/>
          <w:bCs/>
        </w:rPr>
        <w:t>Αξονική Τομογραφία χωρίς Σκιαγραφικό (NCCT)</w:t>
      </w:r>
    </w:p>
    <w:p w14:paraId="742035EC" w14:textId="0B8EB781" w:rsidR="00AB3804" w:rsidRPr="00A831E7" w:rsidRDefault="001D68F2" w:rsidP="0057069D">
      <w:pPr>
        <w:spacing w:line="360" w:lineRule="auto"/>
        <w:ind w:firstLine="720"/>
        <w:jc w:val="both"/>
        <w:rPr>
          <w:rFonts w:eastAsia="Calibri"/>
        </w:rPr>
      </w:pPr>
      <w:r w:rsidRPr="00A831E7">
        <w:rPr>
          <w:rFonts w:eastAsia="Calibri"/>
        </w:rPr>
        <w:t xml:space="preserve">Η NCCT </w:t>
      </w:r>
      <w:r w:rsidR="000C3A62" w:rsidRPr="00A831E7">
        <w:rPr>
          <w:rFonts w:eastAsia="Calibri"/>
        </w:rPr>
        <w:t>είναι ιδιαίτερα χρήσιμη</w:t>
      </w:r>
      <w:r w:rsidRPr="00A831E7">
        <w:rPr>
          <w:rFonts w:eastAsia="Calibri"/>
        </w:rPr>
        <w:t xml:space="preserve"> διαγνωστική μέθοδο</w:t>
      </w:r>
      <w:r w:rsidR="000C3A62" w:rsidRPr="00A831E7">
        <w:rPr>
          <w:rFonts w:eastAsia="Calibri"/>
        </w:rPr>
        <w:t>ς</w:t>
      </w:r>
      <w:r w:rsidRPr="00A831E7">
        <w:rPr>
          <w:rFonts w:eastAsia="Calibri"/>
        </w:rPr>
        <w:t xml:space="preserve"> </w:t>
      </w:r>
      <w:r w:rsidR="000C3A62" w:rsidRPr="00A831E7">
        <w:rPr>
          <w:rFonts w:eastAsia="Calibri"/>
        </w:rPr>
        <w:t xml:space="preserve">για την </w:t>
      </w:r>
      <w:r w:rsidRPr="00A831E7">
        <w:rPr>
          <w:rFonts w:eastAsia="Calibri"/>
        </w:rPr>
        <w:t>διαφοροπο</w:t>
      </w:r>
      <w:r w:rsidR="000C3A62" w:rsidRPr="00A831E7">
        <w:rPr>
          <w:rFonts w:eastAsia="Calibri"/>
        </w:rPr>
        <w:t xml:space="preserve">ίηση μεταξύ Ισχαιμικού (AIS) και Αιμορραγικού(HS) ΑΕΕ. Χρησιμοποιείται για τον αποκλεισμό HS και όγκων </w:t>
      </w:r>
      <w:r w:rsidR="000C3A62" w:rsidRPr="00A831E7">
        <w:rPr>
          <w:rFonts w:eastAsia="Calibri"/>
        </w:rPr>
        <w:fldChar w:fldCharType="begin"/>
      </w:r>
      <w:r w:rsidR="000C3A62" w:rsidRPr="00A831E7">
        <w:rPr>
          <w:rFonts w:eastAsia="Calibri"/>
        </w:rPr>
        <w:instrText xml:space="preserve"> ADDIN ZOTERO_ITEM CSL_CITATION {"citationID":"kKltZsDv","properties":{"formattedCitation":"[16]","plainCitation":"[16]","noteIndex":0},"citationItems":[{"id":172,"uris":["http://zotero.org/users/local/mfHf28QG/items/NFV5AQIQ"],"itemData":{"id":172,"type":"article-journal","abstract":"There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0C3A62" w:rsidRPr="00A831E7">
        <w:rPr>
          <w:rFonts w:eastAsia="Calibri"/>
        </w:rPr>
        <w:fldChar w:fldCharType="separate"/>
      </w:r>
      <w:r w:rsidR="000C3A62" w:rsidRPr="00A831E7">
        <w:rPr>
          <w:rFonts w:eastAsia="Calibri"/>
        </w:rPr>
        <w:t>[16]</w:t>
      </w:r>
      <w:r w:rsidR="000C3A62" w:rsidRPr="00A831E7">
        <w:rPr>
          <w:rFonts w:eastAsia="Calibri"/>
        </w:rPr>
        <w:fldChar w:fldCharType="end"/>
      </w:r>
      <w:r w:rsidRPr="00A831E7">
        <w:rPr>
          <w:rFonts w:eastAsia="Calibri"/>
        </w:rPr>
        <w:t xml:space="preserve">. </w:t>
      </w:r>
      <w:r w:rsidR="009F223E" w:rsidRPr="00A831E7">
        <w:rPr>
          <w:rFonts w:eastAsia="Calibri"/>
        </w:rPr>
        <w:t>Η</w:t>
      </w:r>
      <w:r w:rsidR="000C3A62" w:rsidRPr="00A831E7">
        <w:rPr>
          <w:rFonts w:eastAsia="Calibri"/>
        </w:rPr>
        <w:t xml:space="preserve"> NCCT</w:t>
      </w:r>
      <w:r w:rsidR="009F223E" w:rsidRPr="00A831E7">
        <w:rPr>
          <w:rFonts w:eastAsia="Calibri"/>
        </w:rPr>
        <w:t xml:space="preserve"> είναι άμεσα</w:t>
      </w:r>
      <w:r w:rsidR="000C3A62" w:rsidRPr="00A831E7">
        <w:rPr>
          <w:rFonts w:eastAsia="Calibri"/>
        </w:rPr>
        <w:t xml:space="preserve"> διαθ</w:t>
      </w:r>
      <w:r w:rsidR="00AA281A">
        <w:rPr>
          <w:rFonts w:eastAsia="Calibri"/>
        </w:rPr>
        <w:t>έσιμη</w:t>
      </w:r>
      <w:r w:rsidR="000C3A62" w:rsidRPr="00A831E7">
        <w:rPr>
          <w:rFonts w:eastAsia="Calibri"/>
        </w:rPr>
        <w:t xml:space="preserve"> σε τμήματα επειγόντων περιστατικών 24 ώρες το 24ωρο και </w:t>
      </w:r>
      <w:r w:rsidR="009F223E" w:rsidRPr="00A831E7">
        <w:rPr>
          <w:rFonts w:eastAsia="Calibri"/>
        </w:rPr>
        <w:t xml:space="preserve">μια αποδεδειγμένα οικονομική και αποδοτική μέθοδος διάγνωσης </w:t>
      </w:r>
      <w:r w:rsidR="0090350D" w:rsidRPr="00A831E7">
        <w:rPr>
          <w:rFonts w:eastAsia="Calibri"/>
        </w:rPr>
        <w:fldChar w:fldCharType="begin"/>
      </w:r>
      <w:r w:rsidR="009E7451" w:rsidRPr="00A831E7">
        <w:rPr>
          <w:rFonts w:eastAsia="Calibri"/>
        </w:rPr>
        <w:instrText xml:space="preserve"> ADDIN ZOTERO_ITEM CSL_CITATION {"citationID":"PkPCjOfq","properties":{"formattedCitation":"[28]","plainCitation":"[28]","noteIndex":0},"citationItems":[{"id":1580,"uris":["http://zotero.org/users/local/mfHf28QG/items/GFV4HWTP"],"itemData":{"id":1580,"type":"article-journal","abstract":"Background and Purpose— Stroke is very common, but computed tomography (CT) scanning, an expensive and finite resource, is required to differentiate cerebral infarction, hemorrhage, and stroke mimics. We determined whether, and in what circumstances, CT is cost-effective in acute stroke.Methods— We developed a decision tree representing acute stroke care pathways populated with data from multiple sources. We determined the effect of diagnostic information from CT scanning on functional outcome, length of stay, costs, and quality of life during 5 years for 13 alternative CT strategies (varying proportions and types of patients and rapidity of scanning).Results— For 1000 patients aged 70 to 74 years, the policy “scan all strokes within 48 hours” cost £10 279 728 and achieved 1982.3 quality-adjusted life years (QALYs). The most cost-effective strategy was “scan all immediately” (£9 993 676 and 1982.4 QALYs). The least cost-effective was “scan patients on anticoagulants and those in a life-threatening condition immediately and the rest within 14 days” (£12 592 666 and 1931.8 QALYs). “Scan no patients” reduced QALYs (1904.2) and increased cost (£10 544 000).Conclusion— Immediate CT scanning is the most cost-effective strategy. For the majority of acute stroke patients, increasing independent survival by correct early diagnosis, ensuring appropriate subsequent treatment and management decisions, reduced costs of stroke and increased QALYs.","container-title":"Stroke","DOI":"10.1161/01.STR.0000143453.78005.44","issue":"11","note":"publisher: American Heart Association","page":"2477-2483","source":"ahajournals.org (Atypon)","title":"Immediate Computed Tomography Scanning of Acute Stroke Is Cost-Effective and Improves Quality of Life","volume":"35","author":[{"family":"Wardlaw","given":"Joanna M."},{"family":"Seymour","given":"Janelle"},{"family":"Cairns","given":"John"},{"family":"Keir","given":"Sarah"},{"family":"Lewis","given":"Steff"},{"family":"Sandercock","given":"Peter"}],"issued":{"date-parts":[["2004",11]]}},"suppress-author":true}],"schema":"https://github.com/citation-style-language/schema/raw/master/csl-citation.json"} </w:instrText>
      </w:r>
      <w:r w:rsidR="0090350D" w:rsidRPr="00A831E7">
        <w:rPr>
          <w:rFonts w:eastAsia="Calibri"/>
        </w:rPr>
        <w:fldChar w:fldCharType="separate"/>
      </w:r>
      <w:r w:rsidR="009E7451" w:rsidRPr="00A831E7">
        <w:rPr>
          <w:rFonts w:eastAsia="Calibri"/>
        </w:rPr>
        <w:t>[28]</w:t>
      </w:r>
      <w:r w:rsidR="0090350D" w:rsidRPr="00A831E7">
        <w:rPr>
          <w:rFonts w:eastAsia="Calibri"/>
        </w:rPr>
        <w:fldChar w:fldCharType="end"/>
      </w:r>
      <w:r w:rsidR="000C3A62" w:rsidRPr="00A831E7">
        <w:rPr>
          <w:rFonts w:eastAsia="Calibri"/>
        </w:rPr>
        <w:t>.</w:t>
      </w:r>
      <w:r w:rsidR="0090350D" w:rsidRPr="00A831E7">
        <w:rPr>
          <w:rFonts w:eastAsia="Calibri"/>
        </w:rPr>
        <w:t xml:space="preserve"> Ωστόσο η NCCT δεν μπορεί να ανιχνεύσει χρόνια αιμορραγία και μικροαιμορραγίες </w:t>
      </w:r>
      <w:r w:rsidR="009F223E" w:rsidRPr="00A831E7">
        <w:rPr>
          <w:rFonts w:eastAsia="Calibri"/>
        </w:rPr>
        <w:t>ενώ</w:t>
      </w:r>
      <w:r w:rsidR="0090350D" w:rsidRPr="00A831E7">
        <w:rPr>
          <w:rFonts w:eastAsia="Calibri"/>
        </w:rPr>
        <w:t xml:space="preserve"> δεν αποδίδει</w:t>
      </w:r>
      <w:r w:rsidR="009F223E" w:rsidRPr="00A831E7">
        <w:rPr>
          <w:rFonts w:eastAsia="Calibri"/>
        </w:rPr>
        <w:t xml:space="preserve"> και</w:t>
      </w:r>
      <w:r w:rsidR="0090350D" w:rsidRPr="00A831E7">
        <w:rPr>
          <w:rFonts w:eastAsia="Calibri"/>
        </w:rPr>
        <w:t xml:space="preserve"> σε αποφράξεις του οπίσθιου κρανιακού βόθρου </w:t>
      </w:r>
      <w:r w:rsidR="0090350D" w:rsidRPr="00A831E7">
        <w:rPr>
          <w:rFonts w:eastAsia="Calibri"/>
        </w:rPr>
        <w:fldChar w:fldCharType="begin"/>
      </w:r>
      <w:r w:rsidR="0090350D" w:rsidRPr="00A831E7">
        <w:rPr>
          <w:rFonts w:eastAsia="Calibri"/>
        </w:rPr>
        <w:instrText xml:space="preserve"> ADDIN ZOTERO_ITEM CSL_CITATION {"citationID":"tFUJCwY2","properties":{"formattedCitation":"[16]","plainCitation":"[16]","noteIndex":0},"citationItems":[{"id":172,"uris":["http://zotero.org/users/local/mfHf28QG/items/NFV5AQIQ"],"itemData":{"id":172,"type":"article-journal","abstract":"There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90350D" w:rsidRPr="00A831E7">
        <w:rPr>
          <w:rFonts w:eastAsia="Calibri"/>
        </w:rPr>
        <w:fldChar w:fldCharType="separate"/>
      </w:r>
      <w:r w:rsidR="0090350D" w:rsidRPr="00A831E7">
        <w:rPr>
          <w:rFonts w:eastAsia="Calibri"/>
        </w:rPr>
        <w:t>[16]</w:t>
      </w:r>
      <w:r w:rsidR="0090350D" w:rsidRPr="00A831E7">
        <w:rPr>
          <w:rFonts w:eastAsia="Calibri"/>
        </w:rPr>
        <w:fldChar w:fldCharType="end"/>
      </w:r>
      <w:r w:rsidR="0090350D" w:rsidRPr="00A831E7">
        <w:rPr>
          <w:rFonts w:eastAsia="Calibri"/>
        </w:rPr>
        <w:t xml:space="preserve">. </w:t>
      </w:r>
      <w:r w:rsidR="000C3A62" w:rsidRPr="00A831E7">
        <w:rPr>
          <w:rFonts w:eastAsia="Calibri"/>
        </w:rPr>
        <w:t xml:space="preserve"> </w:t>
      </w:r>
      <w:r w:rsidRPr="00A831E7">
        <w:rPr>
          <w:rFonts w:eastAsia="Calibri"/>
        </w:rPr>
        <w:t>Στο ισχαιμικό επεισόδιο, οι πρώιμες αλλοιώσεις εμφανίζονται ως υποπυκνωτικές περιοχές, αντιπροσωπεύοντας μειωμένη εγκεφαλική αιμάτωση</w:t>
      </w:r>
      <w:r w:rsidR="009F223E" w:rsidRPr="00A831E7">
        <w:rPr>
          <w:rFonts w:eastAsia="Calibri"/>
        </w:rPr>
        <w:fldChar w:fldCharType="begin"/>
      </w:r>
      <w:r w:rsidR="009F223E" w:rsidRPr="00A831E7">
        <w:rPr>
          <w:rFonts w:eastAsia="Calibri"/>
        </w:rPr>
        <w:instrText xml:space="preserve"> ADDIN ZOTERO_ITEM CSL_CITATION {"citationID":"ZrHMu2cb","properties":{"formattedCitation":"[7], [16]","plainCitation":"[7], [16]","noteIndex":0},"citationItems":[{"id":282,"uris":["http://zotero.org/users/local/mfHf28QG/items/JMCKN5BM"],"itemData":{"id":282,"type":"article-journal","abstract":"Ischemic stroke is a leading cause of morbidity and mortality worldwide, necessitating advancements in early diagnosis and treatment modalities. This review aims to provide an overview of recent advances in the early diagnosis and treatment of ...","container-title":"Galen Medical Journal","DOI":"10.31661/gmj.v12i0.2993","language":"en","note":"PMID: 39430040","page":"1","source":"pmc.ncbi.nlm.nih.gov","title":"A Short Review on Advances in Early Diagnosis and Treatment of Ischemic Stroke","volume":"12","author":[{"family":"Sun","given":"Bin"},{"family":"Wang","given":"Zhigang"}],"issued":{"date-parts":[["2023",8,21]]}},"label":"page"},{"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A."}],"issued":{"date-parts":[["2020",7,5]]}},"label":"page"}],"schema":"https://github.com/citation-style-language/schema/raw/master/csl-citation.json"} </w:instrText>
      </w:r>
      <w:r w:rsidR="009F223E" w:rsidRPr="00A831E7">
        <w:rPr>
          <w:rFonts w:eastAsia="Calibri"/>
        </w:rPr>
        <w:fldChar w:fldCharType="separate"/>
      </w:r>
      <w:r w:rsidR="009F223E" w:rsidRPr="00A831E7">
        <w:rPr>
          <w:rFonts w:eastAsia="Calibri"/>
        </w:rPr>
        <w:t>[7], [16]</w:t>
      </w:r>
      <w:r w:rsidR="009F223E" w:rsidRPr="00A831E7">
        <w:rPr>
          <w:rFonts w:eastAsia="Calibri"/>
        </w:rPr>
        <w:fldChar w:fldCharType="end"/>
      </w:r>
      <w:r w:rsidRPr="00A831E7">
        <w:rPr>
          <w:rFonts w:eastAsia="Calibri"/>
        </w:rPr>
        <w:t>.</w:t>
      </w:r>
      <w:r w:rsidR="009F223E" w:rsidRPr="00A831E7">
        <w:rPr>
          <w:rFonts w:eastAsia="Calibri"/>
        </w:rPr>
        <w:t xml:space="preserve"> </w:t>
      </w:r>
      <w:r w:rsidR="009F223E" w:rsidRPr="00A831E7">
        <w:t xml:space="preserve">Σε μια πρόσφατη μελέτη, η ευαισθησία </w:t>
      </w:r>
      <w:r w:rsidR="002E1FCF" w:rsidRPr="00A831E7">
        <w:t>σ</w:t>
      </w:r>
      <w:r w:rsidR="009F223E" w:rsidRPr="00A831E7">
        <w:t xml:space="preserve">την ανίχνευση AIS χρησιμοποιώντας NCCT κυμαινόταν από 57% έως 71% </w:t>
      </w:r>
      <w:r w:rsidR="009F223E" w:rsidRPr="00A831E7">
        <w:fldChar w:fldCharType="begin"/>
      </w:r>
      <w:r w:rsidR="009E7451" w:rsidRPr="00A831E7">
        <w:instrText xml:space="preserve"> ADDIN ZOTERO_ITEM CSL_CITATION {"citationID":"gId78dJW","properties":{"formattedCitation":"[29]","plainCitation":"[29]","noteIndex":0},"citationItems":[{"id":1585,"uris":["http://zotero.org/users/local/mfHf28QG/items/G2SMKYLQ"],"itemData":{"id":1585,"type":"article-journal","abstract":"PURPOSE: To assess the use of nonstandard, variable window width and level review settings in computed tomography (CT) without contrast material administration in the detection of acute stroke. MATERIALS AND METHODS: Nonenhanced CT was performed in 21 patients with acute (&lt;6 hours) middle cerebral arterial stroke and nine control patients. Two blinded neuroradiologists rated all scans for presence of parenchymal hypoattenuation. Images were reviewed at a picture archiving and communication system (PACS) workstation, with standard, locally determined center level and window width settings of 20 and 80 HU and with variable soft-copy settings initially centered at a level of 32 HU with a width of 8 HU. Reviewers altered settings to accentuate gray and white matter contrast. RESULTS: With standard viewing parameters, sensitivity and specificity for stroke detection were 57% and 100%. Sensitivity increased to 71% with variable window width and center level settings, without loss of specificity. Receiver operating characteristic analysis revealed a significant improvement in accuracy with nonstandard, soft-copy review settings (P = .03, one-tailed z test). CONCLUSION: In nonenhanced CT of the head, detection of ischemic brain parenchyma is facilitated by soft-copy review with variable window width and center level settings to accentuate the contrast between normal and edematous tissue.","container-title":"Radiology","DOI":"10.1148/radiology.213.1.r99oc10150","ISSN":"0033-8419","issue":"1","note":"publisher: Radiological Society of North America","page":"150-155","source":"pubs.rsna.org (Atypon)","title":"Acute Stroke: Improved Nonenhanced CT Detection—Benefits of Soft-Copy Interpretation by Using Variable Window Width and Center Level Settings","title-short":"Acute Stroke","volume":"213","author":[{"family":"Lev","given":"Michael H."},{"family":"Farkas","given":"Jeffrey"},{"family":"Gemmete","given":"Joseph J."},{"family":"Hossain","given":"Syeda T."},{"family":"Hunter","given":"George J."},{"family":"Koroshetz","given":"Walter J."},{"family":"Gonzalez","given":"R. Gilberto"}],"issued":{"date-parts":[["1999",10]]}},"suppress-author":true}],"schema":"https://github.com/citation-style-language/schema/raw/master/csl-citation.json"} </w:instrText>
      </w:r>
      <w:r w:rsidR="009F223E" w:rsidRPr="00A831E7">
        <w:fldChar w:fldCharType="separate"/>
      </w:r>
      <w:r w:rsidR="009E7451" w:rsidRPr="00A831E7">
        <w:t>[29]</w:t>
      </w:r>
      <w:r w:rsidR="009F223E" w:rsidRPr="00A831E7">
        <w:fldChar w:fldCharType="end"/>
      </w:r>
      <w:r w:rsidR="009F223E" w:rsidRPr="00A831E7">
        <w:t>.</w:t>
      </w:r>
      <w:r w:rsidRPr="00A831E7">
        <w:rPr>
          <w:rFonts w:eastAsia="Calibri"/>
        </w:rPr>
        <w:t xml:space="preserve"> </w:t>
      </w:r>
      <w:r w:rsidR="002E1FCF" w:rsidRPr="00A831E7">
        <w:rPr>
          <w:rFonts w:eastAsia="Calibri"/>
        </w:rPr>
        <w:t xml:space="preserve">Σε μια μελέτη, για την ανίχνευση έμφρακτου στο πρώτο 6ωρο, στο οποίο είναι κρίσιμη η έγκαιρη παροχή θρομβολυτικής θεραπείας, η μέση ευαισθησία και ειδικότητα (sensitivity &amp; specificity) ήταν 66% και 87% αντίστοιχα </w:t>
      </w:r>
      <w:r w:rsidR="002E1FCF" w:rsidRPr="00A831E7">
        <w:rPr>
          <w:rFonts w:eastAsia="Calibri"/>
        </w:rPr>
        <w:fldChar w:fldCharType="begin"/>
      </w:r>
      <w:r w:rsidR="009E7451" w:rsidRPr="00A831E7">
        <w:rPr>
          <w:rFonts w:eastAsia="Calibri"/>
        </w:rPr>
        <w:instrText xml:space="preserve"> ADDIN ZOTERO_ITEM CSL_CITATION {"citationID":"3VcfWRwt","properties":{"formattedCitation":"[30]","plainCitation":"[30]","noteIndex":0},"citationItems":[{"id":1586,"uris":["http://zotero.org/users/local/mfHf28QG/items/ZR586SZS"],"itemData":{"id":1586,"type":"article-journal","abstract":"PURPOSE: To review systematically all reported early computed tomographic (CT) signs in acute ischemic stroke to determine interobserver agreement and the relationship between early CT signs and patient outcome with or without thrombolysis. MATERIALS AND METHODS: A systematic review of the literature was conducted by using Cochrane Stroke Group methodology to identify studies published between 1990 and 2003 that were performed to assess interobserver agreement about early signs of infarction on CT scans obtained within 6 hours after onset of stroke symptoms and determine the relation of early signs of infarction to clinical outcome, including any interactive effect of thrombolysis. Interobserver agreement was measured with the κ statistic, sensitivity, and specificity. The relation of early signs to clinical outcome with or without thrombolysis was assessed with calculated odds ratios and 95% confidence intervals. RESULTS: In 15 studies of interobserver agreement (median of 30 CT scans and six raters), the prevalence of all early infarction signs was 61% ± 21 (standard deviation). Interobserver agreement (κ statistics) ranged from 0.14 to 0.78 for any early infarction sign. The mean sensitivity and specificity for detection of early infarction signs with CT were 66% (range, 20%–87%) and 87% (range, 56%–100%), respectively. Experience improved detection, but knowledge of symptoms did not. In 15 studies of early infarction signs and outcome (including seven thrombolysis trials) in 3468 patients, any early infarction sign increased the risk of poor outcome (odds ratio, 3.11; 95% confidence interval: 2.77, 3.49). Two studies that sought interaction between early infarction signs and thrombolysis found no evidence that thrombolysis given in the presence of early infarction signs resulted in worse outcome than that due to early signs alone. CONCLUSION: Further work is required to determine which signs are most reliably detected, whether scoring systems help to improve detection, and whether any early infarction sign should influence decisions concerning thrombolysis. © RSNA, 2005","container-title":"Radiology","DOI":"10.1148/radiol.2352040262","ISSN":"0033-8419","issue":"2","note":"publisher: Radiological Society of North America","page":"444-453","source":"pubs.rsna.org (Atypon)","title":"Early Signs of Brain Infarction at CT: Observer Reliability and Outcome after Thrombolytic Treatment—Systematic Review","title-short":"Early Signs of Brain Infarction at CT","volume":"235","author":[{"family":"Wardlaw","given":"Joanna M."},{"family":"Mielke","given":"Orell"}],"issued":{"date-parts":[["2005",5]]}},"suppress-author":true}],"schema":"https://github.com/citation-style-language/schema/raw/master/csl-citation.json"} </w:instrText>
      </w:r>
      <w:r w:rsidR="002E1FCF" w:rsidRPr="00A831E7">
        <w:rPr>
          <w:rFonts w:eastAsia="Calibri"/>
        </w:rPr>
        <w:fldChar w:fldCharType="separate"/>
      </w:r>
      <w:r w:rsidR="009E7451" w:rsidRPr="00A831E7">
        <w:rPr>
          <w:rFonts w:eastAsia="Calibri"/>
        </w:rPr>
        <w:t>[30]</w:t>
      </w:r>
      <w:r w:rsidR="002E1FCF" w:rsidRPr="00A831E7">
        <w:rPr>
          <w:rFonts w:eastAsia="Calibri"/>
        </w:rPr>
        <w:fldChar w:fldCharType="end"/>
      </w:r>
      <w:r w:rsidR="002E1FCF" w:rsidRPr="00A831E7">
        <w:rPr>
          <w:rFonts w:eastAsia="Calibri"/>
        </w:rPr>
        <w:t>.</w:t>
      </w:r>
    </w:p>
    <w:p w14:paraId="668A740A" w14:textId="77777777" w:rsidR="00B93F11" w:rsidRPr="00A831E7" w:rsidRDefault="00B93F11" w:rsidP="0057069D">
      <w:pPr>
        <w:spacing w:line="360" w:lineRule="auto"/>
        <w:jc w:val="both"/>
        <w:rPr>
          <w:rFonts w:eastAsia="Calibri"/>
        </w:rPr>
      </w:pPr>
    </w:p>
    <w:p w14:paraId="217971F9" w14:textId="0238ED17" w:rsidR="001D68F2" w:rsidRPr="00A831E7" w:rsidRDefault="001D68F2" w:rsidP="0057069D">
      <w:pPr>
        <w:pStyle w:val="4"/>
        <w:spacing w:line="360" w:lineRule="auto"/>
        <w:rPr>
          <w:rFonts w:eastAsia="Calibri"/>
          <w:b w:val="0"/>
          <w:bCs/>
        </w:rPr>
      </w:pPr>
      <w:r w:rsidRPr="00A831E7">
        <w:rPr>
          <w:rFonts w:eastAsia="Calibri"/>
          <w:bCs/>
        </w:rPr>
        <w:t>Αξονική Τομογραφία Αγγειογραφίας (CTA)</w:t>
      </w:r>
    </w:p>
    <w:p w14:paraId="7234E79B" w14:textId="719FEBAB" w:rsidR="00AB3804" w:rsidRPr="00A831E7" w:rsidRDefault="001D68F2" w:rsidP="0057069D">
      <w:pPr>
        <w:spacing w:line="360" w:lineRule="auto"/>
        <w:ind w:firstLine="720"/>
        <w:jc w:val="both"/>
        <w:rPr>
          <w:rFonts w:eastAsia="Calibri"/>
        </w:rPr>
      </w:pPr>
      <w:r w:rsidRPr="00A831E7">
        <w:rPr>
          <w:rFonts w:eastAsia="Calibri"/>
        </w:rPr>
        <w:t xml:space="preserve">Η CTA χρησιμοποιεί ενδοφλέβιο σκιαγραφικό για να απεικονίσει τα εγκεφαλικά αγγεία, επιτρέποντας την αναγνώριση αγγειακών ανωμαλιών </w:t>
      </w:r>
      <w:r w:rsidR="002E1FCF" w:rsidRPr="00A831E7">
        <w:rPr>
          <w:rFonts w:eastAsia="Calibri"/>
        </w:rPr>
        <w:fldChar w:fldCharType="begin"/>
      </w:r>
      <w:r w:rsidR="002E1FCF" w:rsidRPr="00A831E7">
        <w:rPr>
          <w:rFonts w:eastAsia="Calibri"/>
        </w:rPr>
        <w:instrText xml:space="preserve"> ADDIN ZOTERO_ITEM CSL_CITATION {"citationID":"6L1BglZN","properties":{"formattedCitation":"[7], [16]","plainCitation":"[7], [16]","noteIndex":0},"citationItems":[{"id":282,"uris":["http://zotero.org/users/local/mfHf28QG/items/JMCKN5BM"],"itemData":{"id":282,"type":"article-journal","abstract":"Ischemic stroke is a leading cause of morbidity and mortality worldwide, necessitating advancements in early diagnosis and treatment modalities. This review aims to provide an overview of recent advances in the early diagnosis and treatment of ...","container-title":"Galen Medical Journal","DOI":"10.31661/gmj.v12i0.2993","language":"en","note":"PMID: 39430040","page":"1","source":"pmc.ncbi.nlm.nih.gov","title":"A Short Review on Advances in Early Diagnosis and Treatment of Ischemic Stroke","volume":"12","author":[{"family":"Sun","given":"Bin"},{"family":"Wang","given":"Zhigang"}],"issued":{"date-parts":[["2023",8,21]]}},"label":"page"},{"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A."}],"issued":{"date-parts":[["2020",7,5]]}},"label":"page"}],"schema":"https://github.com/citation-style-language/schema/raw/master/csl-citation.json"} </w:instrText>
      </w:r>
      <w:r w:rsidR="002E1FCF" w:rsidRPr="00A831E7">
        <w:rPr>
          <w:rFonts w:eastAsia="Calibri"/>
        </w:rPr>
        <w:fldChar w:fldCharType="separate"/>
      </w:r>
      <w:r w:rsidR="002E1FCF" w:rsidRPr="00A831E7">
        <w:rPr>
          <w:rFonts w:eastAsia="Calibri"/>
        </w:rPr>
        <w:t>[7], [16]</w:t>
      </w:r>
      <w:r w:rsidR="002E1FCF" w:rsidRPr="00A831E7">
        <w:rPr>
          <w:rFonts w:eastAsia="Calibri"/>
        </w:rPr>
        <w:fldChar w:fldCharType="end"/>
      </w:r>
      <w:r w:rsidRPr="00A831E7">
        <w:rPr>
          <w:rFonts w:eastAsia="Calibri"/>
        </w:rPr>
        <w:t xml:space="preserve">. Στο AIS, η CTA εντοπίζει αποφράξεις μεγάλων αγγείων που σχετίζονται με την παθογένεση της ισχαιμικής βλάβης </w:t>
      </w:r>
      <w:r w:rsidR="003A6145" w:rsidRPr="00A831E7">
        <w:rPr>
          <w:rFonts w:eastAsia="Calibri"/>
        </w:rPr>
        <w:fldChar w:fldCharType="begin"/>
      </w:r>
      <w:r w:rsidR="003A6145" w:rsidRPr="00A831E7">
        <w:rPr>
          <w:rFonts w:eastAsia="Calibri"/>
        </w:rPr>
        <w:instrText xml:space="preserve"> ADDIN ZOTERO_ITEM CSL_CITATION {"citationID":"pCtCq9X8","properties":{"formattedCitation":"[7]","plainCitation":"[7]","noteIndex":0},"citationItems":[{"id":282,"uris":["http://zotero.org/users/local/mfHf28QG/items/JMCKN5BM"],"itemData":{"id":282,"type":"article-journal","abstract":"Ischemic stroke is a leading cause of morbidity and mortality worldwide, necessitating advancements in early diagnosis and treatment modalities. This review aims to provide an overview of recent advances in the early diagnosis and treatment of ...","container-title":"Galen Medical Journal","DOI":"10.31661/gmj.v12i0.2993","language":"en","note":"PMID: 39430040","page":"1","source":"pmc.ncbi.nlm.nih.gov","title":"A Short Review on Advances in Early Diagnosis and Treatment of Ischemic Stroke","volume":"12","author":[{"family":"Sun","given":"Bin"},{"family":"Wang","given":"Zhigang"}],"issued":{"date-parts":[["2023",8,21]]}},"suppress-author":true}],"schema":"https://github.com/citation-style-language/schema/raw/master/csl-citation.json"} </w:instrText>
      </w:r>
      <w:r w:rsidR="003A6145" w:rsidRPr="00A831E7">
        <w:rPr>
          <w:rFonts w:eastAsia="Calibri"/>
        </w:rPr>
        <w:fldChar w:fldCharType="separate"/>
      </w:r>
      <w:r w:rsidR="003A6145" w:rsidRPr="00A831E7">
        <w:rPr>
          <w:rFonts w:eastAsia="Calibri"/>
        </w:rPr>
        <w:t>[7]</w:t>
      </w:r>
      <w:r w:rsidR="003A6145" w:rsidRPr="00A831E7">
        <w:rPr>
          <w:rFonts w:eastAsia="Calibri"/>
        </w:rPr>
        <w:fldChar w:fldCharType="end"/>
      </w:r>
      <w:r w:rsidRPr="00A831E7">
        <w:rPr>
          <w:rFonts w:eastAsia="Calibri"/>
        </w:rPr>
        <w:t>.</w:t>
      </w:r>
      <w:r w:rsidR="003A6145" w:rsidRPr="00A831E7">
        <w:t xml:space="preserve"> </w:t>
      </w:r>
      <w:r w:rsidR="003A6145" w:rsidRPr="00A831E7">
        <w:rPr>
          <w:rFonts w:eastAsia="Calibri"/>
        </w:rPr>
        <w:t>Όταν το AIS δεν μπορεί να ανιχνευθεί από τ</w:t>
      </w:r>
      <w:r w:rsidR="007860A1" w:rsidRPr="00A831E7">
        <w:rPr>
          <w:rFonts w:eastAsia="Calibri"/>
        </w:rPr>
        <w:t>ην</w:t>
      </w:r>
      <w:r w:rsidR="003A6145" w:rsidRPr="00A831E7">
        <w:rPr>
          <w:rFonts w:eastAsia="Calibri"/>
        </w:rPr>
        <w:t xml:space="preserve"> </w:t>
      </w:r>
      <w:r w:rsidR="003A6145" w:rsidRPr="00A831E7">
        <w:rPr>
          <w:rFonts w:eastAsia="Calibri"/>
        </w:rPr>
        <w:lastRenderedPageBreak/>
        <w:t>NCCT, η απόφραξη μπορεί να είναι ορατή στ</w:t>
      </w:r>
      <w:r w:rsidR="007860A1" w:rsidRPr="00A831E7">
        <w:rPr>
          <w:rFonts w:eastAsia="Calibri"/>
        </w:rPr>
        <w:t>ην</w:t>
      </w:r>
      <w:r w:rsidR="003A6145" w:rsidRPr="00A831E7">
        <w:rPr>
          <w:rFonts w:eastAsia="Calibri"/>
        </w:rPr>
        <w:t xml:space="preserve"> CTA </w:t>
      </w:r>
      <w:r w:rsidR="003A6145" w:rsidRPr="00A831E7">
        <w:rPr>
          <w:rFonts w:eastAsia="Calibri"/>
        </w:rPr>
        <w:fldChar w:fldCharType="begin"/>
      </w:r>
      <w:r w:rsidR="003A6145" w:rsidRPr="00A831E7">
        <w:rPr>
          <w:rFonts w:eastAsia="Calibri"/>
        </w:rPr>
        <w:instrText xml:space="preserve"> ADDIN ZOTERO_ITEM CSL_CITATION {"citationID":"DZtdJ6n9","properties":{"formattedCitation":"[16]","plainCitation":"[16]","noteIndex":0},"citationItems":[{"id":172,"uris":["http://zotero.org/users/local/mfHf28QG/items/NFV5AQIQ"],"itemData":{"id":172,"type":"article-journal","abstract":"There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3A6145" w:rsidRPr="00A831E7">
        <w:rPr>
          <w:rFonts w:eastAsia="Calibri"/>
        </w:rPr>
        <w:fldChar w:fldCharType="separate"/>
      </w:r>
      <w:r w:rsidR="003A6145" w:rsidRPr="00A831E7">
        <w:rPr>
          <w:rFonts w:eastAsia="Calibri"/>
        </w:rPr>
        <w:t>[16]</w:t>
      </w:r>
      <w:r w:rsidR="003A6145" w:rsidRPr="00A831E7">
        <w:rPr>
          <w:rFonts w:eastAsia="Calibri"/>
        </w:rPr>
        <w:fldChar w:fldCharType="end"/>
      </w:r>
      <w:r w:rsidR="003A6145" w:rsidRPr="00A831E7">
        <w:rPr>
          <w:rFonts w:eastAsia="Calibri"/>
        </w:rPr>
        <w:t>.</w:t>
      </w:r>
      <w:r w:rsidRPr="00A831E7">
        <w:rPr>
          <w:rFonts w:eastAsia="Calibri"/>
        </w:rPr>
        <w:t xml:space="preserve"> Στο HS, η CTA μπορεί να βοηθήσει στην ταυτοποίηση των αιτίων αιμορραγίας, όπως η ρήξη ανευρύσματος ή η αρτηριοφλεβική δυσπλασία</w:t>
      </w:r>
      <w:r w:rsidR="00A21CC8" w:rsidRPr="00A831E7">
        <w:rPr>
          <w:rFonts w:eastAsia="Calibri"/>
        </w:rPr>
        <w:t xml:space="preserve"> ως δευτερογενής παράγοντες </w:t>
      </w:r>
      <w:r w:rsidR="00A21CC8" w:rsidRPr="00A831E7">
        <w:rPr>
          <w:rFonts w:eastAsia="Calibri"/>
        </w:rPr>
        <w:fldChar w:fldCharType="begin"/>
      </w:r>
      <w:r w:rsidR="009E7451" w:rsidRPr="00A831E7">
        <w:rPr>
          <w:rFonts w:eastAsia="Calibri"/>
        </w:rPr>
        <w:instrText xml:space="preserve"> ADDIN ZOTERO_ITEM CSL_CITATION {"citationID":"hWM4TbFZ","properties":{"formattedCitation":"[31]","plainCitation":"[31]","noteIndex":0},"citationItems":[{"id":1589,"uris":["http://zotero.org/users/local/mfHf28QG/items/42LRC8R4"],"itemData":{"id":1589,"type":"article-journal","abstract":"Intracerebral hemorrhage (ICH) is the deadliest type of stroke and up to half of patients die in-hospital. Blood pressure management, coagulopathy reversal and intracranial pressure control are the mainstays of acute ICH treatment. Prevention of hematoma expansion and minimally invasive hematoma evacuation are promising therapeutic strategies under investigation. The aim of this paper is to provide an updated review on ICH diagnosis and management in the emergency department (ED).","container-title":"Emergency medicine clinics of North America","DOI":"10.1016/j.emc.2016.06.010","ISSN":"0733-8627","issue":"4","journalAbbreviation":"Emerg Med Clin North Am","note":"PMID: 27741993\nPMCID: PMC5089075","page":"883-899","source":"PubMed Central","title":"Diagnosis and Management of Acute Intracerebral Hemorrhage","volume":"34","author":[{"family":"Morotti","given":"Andrea"},{"family":"Goldstein","given":"Joshua N."}],"issued":{"date-parts":[["2016",11]]}},"suppress-author":true}],"schema":"https://github.com/citation-style-language/schema/raw/master/csl-citation.json"} </w:instrText>
      </w:r>
      <w:r w:rsidR="00A21CC8" w:rsidRPr="00A831E7">
        <w:rPr>
          <w:rFonts w:eastAsia="Calibri"/>
        </w:rPr>
        <w:fldChar w:fldCharType="separate"/>
      </w:r>
      <w:r w:rsidR="009E7451" w:rsidRPr="00A831E7">
        <w:rPr>
          <w:rFonts w:eastAsia="Calibri"/>
        </w:rPr>
        <w:t>[31]</w:t>
      </w:r>
      <w:r w:rsidR="00A21CC8" w:rsidRPr="00A831E7">
        <w:rPr>
          <w:rFonts w:eastAsia="Calibri"/>
        </w:rPr>
        <w:fldChar w:fldCharType="end"/>
      </w:r>
      <w:r w:rsidR="00A21CC8" w:rsidRPr="00A831E7">
        <w:rPr>
          <w:rFonts w:eastAsia="Calibri"/>
        </w:rPr>
        <w:t>.</w:t>
      </w:r>
    </w:p>
    <w:p w14:paraId="56A2F98D" w14:textId="77777777" w:rsidR="00B93F11" w:rsidRPr="00A831E7" w:rsidRDefault="00B93F11" w:rsidP="0057069D">
      <w:pPr>
        <w:spacing w:line="360" w:lineRule="auto"/>
        <w:jc w:val="both"/>
        <w:rPr>
          <w:rFonts w:eastAsia="Calibri"/>
        </w:rPr>
      </w:pPr>
    </w:p>
    <w:p w14:paraId="28695470" w14:textId="5CEC462C" w:rsidR="001D68F2" w:rsidRPr="00A831E7" w:rsidRDefault="001D68F2" w:rsidP="0057069D">
      <w:pPr>
        <w:pStyle w:val="4"/>
        <w:spacing w:line="360" w:lineRule="auto"/>
        <w:rPr>
          <w:rFonts w:eastAsia="Calibri"/>
          <w:b w:val="0"/>
          <w:bCs/>
        </w:rPr>
      </w:pPr>
      <w:r w:rsidRPr="00A831E7">
        <w:rPr>
          <w:rFonts w:eastAsia="Calibri"/>
          <w:bCs/>
        </w:rPr>
        <w:t>Αξονική Τομογραφία Αιμάτωσης (CTP)</w:t>
      </w:r>
    </w:p>
    <w:p w14:paraId="025A953B" w14:textId="4995AC44" w:rsidR="001D68F2" w:rsidRPr="00A831E7" w:rsidRDefault="001D68F2" w:rsidP="0057069D">
      <w:pPr>
        <w:spacing w:line="360" w:lineRule="auto"/>
        <w:ind w:firstLine="720"/>
        <w:jc w:val="both"/>
        <w:rPr>
          <w:rFonts w:eastAsia="Calibri"/>
        </w:rPr>
      </w:pPr>
      <w:r w:rsidRPr="00A831E7">
        <w:rPr>
          <w:rFonts w:eastAsia="Calibri"/>
        </w:rPr>
        <w:t>Η CTP αξιολογεί την εγκεφαλική αιμάτωση και είναι ιδιαίτερα χρήσιμη στη διάγνωση του AIS</w:t>
      </w:r>
      <w:r w:rsidR="00A21CC8" w:rsidRPr="00A831E7">
        <w:rPr>
          <w:rFonts w:eastAsia="Calibri"/>
        </w:rPr>
        <w:t>. Πραγματοποιείται με ταχεία ενδοφλέβια ένεση</w:t>
      </w:r>
      <w:r w:rsidR="00450F57" w:rsidRPr="00A831E7">
        <w:rPr>
          <w:rFonts w:eastAsia="Calibri"/>
        </w:rPr>
        <w:t xml:space="preserve"> σκιαγραφικού και επανειλημμένη λήψη απεικονίσεων του εγκεφάλου </w:t>
      </w:r>
      <w:r w:rsidR="00450F57" w:rsidRPr="00A831E7">
        <w:rPr>
          <w:rFonts w:eastAsia="Calibri"/>
        </w:rPr>
        <w:fldChar w:fldCharType="begin"/>
      </w:r>
      <w:r w:rsidR="00450F57" w:rsidRPr="00A831E7">
        <w:rPr>
          <w:rFonts w:eastAsia="Calibri"/>
        </w:rPr>
        <w:instrText xml:space="preserve"> ADDIN ZOTERO_ITEM CSL_CITATION {"citationID":"u109QFF4","properties":{"formattedCitation":"[16]","plainCitation":"[16]","noteIndex":0},"citationItems":[{"id":172,"uris":["http://zotero.org/users/local/mfHf28QG/items/NFV5AQIQ"],"itemData":{"id":172,"type":"article-journal","abstract":"There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450F57" w:rsidRPr="00A831E7">
        <w:rPr>
          <w:rFonts w:eastAsia="Calibri"/>
        </w:rPr>
        <w:fldChar w:fldCharType="separate"/>
      </w:r>
      <w:r w:rsidR="00450F57" w:rsidRPr="00A831E7">
        <w:rPr>
          <w:rFonts w:eastAsia="Calibri"/>
        </w:rPr>
        <w:t>[16]</w:t>
      </w:r>
      <w:r w:rsidR="00450F57" w:rsidRPr="00A831E7">
        <w:rPr>
          <w:rFonts w:eastAsia="Calibri"/>
        </w:rPr>
        <w:fldChar w:fldCharType="end"/>
      </w:r>
      <w:r w:rsidR="00450F57" w:rsidRPr="00A831E7">
        <w:rPr>
          <w:rFonts w:eastAsia="Calibri"/>
        </w:rPr>
        <w:t>.</w:t>
      </w:r>
      <w:r w:rsidRPr="00A831E7">
        <w:rPr>
          <w:rFonts w:eastAsia="Calibri"/>
        </w:rPr>
        <w:t xml:space="preserve"> </w:t>
      </w:r>
      <w:r w:rsidR="00450F57" w:rsidRPr="00A831E7">
        <w:rPr>
          <w:rFonts w:eastAsia="Calibri"/>
        </w:rPr>
        <w:t xml:space="preserve">Μπορεί να βοηθήσει στην αξιολόγηση των πιθανών περιοχών με ισχαιμικό εγκεφαλικό ιστό ο οποίος είναι ακόμα βιώσιμος. Μια τέτοια περιοχή ονομάζεται </w:t>
      </w:r>
      <w:r w:rsidR="007860A1" w:rsidRPr="00A831E7">
        <w:rPr>
          <w:rFonts w:eastAsia="Calibri"/>
        </w:rPr>
        <w:t>«</w:t>
      </w:r>
      <w:r w:rsidR="00450F57" w:rsidRPr="00A831E7">
        <w:rPr>
          <w:rFonts w:eastAsia="Calibri"/>
        </w:rPr>
        <w:t>ischemic penumbra</w:t>
      </w:r>
      <w:r w:rsidR="007860A1" w:rsidRPr="00A831E7">
        <w:rPr>
          <w:rFonts w:eastAsia="Calibri"/>
        </w:rPr>
        <w:t>»</w:t>
      </w:r>
      <w:r w:rsidR="00450F57" w:rsidRPr="00A831E7">
        <w:rPr>
          <w:rFonts w:eastAsia="Calibri"/>
        </w:rPr>
        <w:t xml:space="preserve"> και παρουσιάζει μειωμένη ροή, αλλά αυξημένο όγκο αίματος </w:t>
      </w:r>
      <w:r w:rsidR="00450F57" w:rsidRPr="00A831E7">
        <w:rPr>
          <w:rFonts w:eastAsia="Calibri"/>
        </w:rPr>
        <w:fldChar w:fldCharType="begin"/>
      </w:r>
      <w:r w:rsidR="00450F57" w:rsidRPr="00A831E7">
        <w:rPr>
          <w:rFonts w:eastAsia="Calibri"/>
        </w:rPr>
        <w:instrText xml:space="preserve"> ADDIN ZOTERO_ITEM CSL_CITATION {"citationID":"bzAnLSA7","properties":{"formattedCitation":"[16]","plainCitation":"[16]","noteIndex":0},"citationItems":[{"id":172,"uris":["http://zotero.org/users/local/mfHf28QG/items/NFV5AQIQ"],"itemData":{"id":172,"type":"article-journal","abstract":"There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450F57" w:rsidRPr="00A831E7">
        <w:rPr>
          <w:rFonts w:eastAsia="Calibri"/>
        </w:rPr>
        <w:fldChar w:fldCharType="separate"/>
      </w:r>
      <w:r w:rsidR="00450F57" w:rsidRPr="00A831E7">
        <w:rPr>
          <w:rFonts w:eastAsia="Calibri"/>
        </w:rPr>
        <w:t>[16]</w:t>
      </w:r>
      <w:r w:rsidR="00450F57" w:rsidRPr="00A831E7">
        <w:rPr>
          <w:rFonts w:eastAsia="Calibri"/>
        </w:rPr>
        <w:fldChar w:fldCharType="end"/>
      </w:r>
      <w:r w:rsidR="00450F57" w:rsidRPr="00A831E7">
        <w:rPr>
          <w:rFonts w:eastAsia="Calibri"/>
        </w:rPr>
        <w:t xml:space="preserve">. Αν και μπορεί να προσφέρει καλύτερη διαγνωστική ακρίβεια από εξετάσεις CT και CTA, χρειάζεται εξειδίκευση στην αξιολόγηση των απεικονίσεων αλλά και περισσότερους πόρους ενώ έχει περιορισμούς στην περιοχή ανίχνευσης που μπορεί να οδηγήσουν σε υποεκτίμηση της βλάβης </w:t>
      </w:r>
      <w:r w:rsidR="00450F57" w:rsidRPr="00A831E7">
        <w:rPr>
          <w:rFonts w:eastAsia="Calibri"/>
        </w:rPr>
        <w:fldChar w:fldCharType="begin"/>
      </w:r>
      <w:r w:rsidR="00450F57" w:rsidRPr="00A831E7">
        <w:rPr>
          <w:rFonts w:eastAsia="Calibri"/>
        </w:rPr>
        <w:instrText xml:space="preserve"> ADDIN ZOTERO_ITEM CSL_CITATION {"citationID":"Ns7AbhCA","properties":{"formattedCitation":"[16]","plainCitation":"[16]","noteIndex":0},"citationItems":[{"id":172,"uris":["http://zotero.org/users/local/mfHf28QG/items/NFV5AQIQ"],"itemData":{"id":172,"type":"article-journal","abstract":"There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450F57" w:rsidRPr="00A831E7">
        <w:rPr>
          <w:rFonts w:eastAsia="Calibri"/>
        </w:rPr>
        <w:fldChar w:fldCharType="separate"/>
      </w:r>
      <w:r w:rsidR="00450F57" w:rsidRPr="00A831E7">
        <w:rPr>
          <w:rFonts w:eastAsia="Calibri"/>
        </w:rPr>
        <w:t>[16]</w:t>
      </w:r>
      <w:r w:rsidR="00450F57" w:rsidRPr="00A831E7">
        <w:rPr>
          <w:rFonts w:eastAsia="Calibri"/>
        </w:rPr>
        <w:fldChar w:fldCharType="end"/>
      </w:r>
      <w:r w:rsidR="00450F57" w:rsidRPr="00A831E7">
        <w:rPr>
          <w:rFonts w:eastAsia="Calibri"/>
        </w:rPr>
        <w:t>.</w:t>
      </w:r>
    </w:p>
    <w:p w14:paraId="793878F7" w14:textId="77777777" w:rsidR="00064B71" w:rsidRPr="00A831E7" w:rsidRDefault="00064B71" w:rsidP="0057069D">
      <w:pPr>
        <w:spacing w:line="360" w:lineRule="auto"/>
        <w:jc w:val="both"/>
        <w:rPr>
          <w:rFonts w:eastAsia="Calibri"/>
          <w:b/>
          <w:bCs/>
        </w:rPr>
      </w:pPr>
    </w:p>
    <w:p w14:paraId="55380F52" w14:textId="16F231E8" w:rsidR="00064B71" w:rsidRPr="00A831E7" w:rsidRDefault="00064B71" w:rsidP="0057069D">
      <w:pPr>
        <w:pStyle w:val="4"/>
        <w:spacing w:line="360" w:lineRule="auto"/>
        <w:rPr>
          <w:b w:val="0"/>
          <w:bCs/>
        </w:rPr>
      </w:pPr>
      <w:r w:rsidRPr="00A831E7">
        <w:rPr>
          <w:bCs/>
        </w:rPr>
        <w:t>Άλλες x-ray εξετάσεις</w:t>
      </w:r>
    </w:p>
    <w:p w14:paraId="2C8AF953" w14:textId="28887A33" w:rsidR="00064B71" w:rsidRPr="00A831E7" w:rsidRDefault="00064B71" w:rsidP="0057069D">
      <w:pPr>
        <w:spacing w:line="360" w:lineRule="auto"/>
        <w:jc w:val="both"/>
        <w:rPr>
          <w:rFonts w:eastAsia="Calibri"/>
        </w:rPr>
      </w:pPr>
      <w:r w:rsidRPr="00A831E7">
        <w:rPr>
          <w:rFonts w:eastAsia="Calibri"/>
        </w:rPr>
        <w:tab/>
        <w:t>Η MDCT</w:t>
      </w:r>
      <w:r w:rsidR="007860A1" w:rsidRPr="00A831E7">
        <w:rPr>
          <w:rFonts w:eastAsia="Calibri"/>
        </w:rPr>
        <w:t xml:space="preserve"> (Multidetector Computed Tomography)</w:t>
      </w:r>
      <w:r w:rsidRPr="00A831E7">
        <w:rPr>
          <w:rFonts w:eastAsia="Calibri"/>
        </w:rPr>
        <w:t xml:space="preserve"> συμβάλει στη διάγνωση ισχαιμικού ΑΕΕ και τη χορήγηση θρομβολυτικής θεραπείας χρησιμοποιώντας μία δισδιάστατη διάταξη ανιχνευτών για ταυτόχρονη λήψη πολλαπλών τομών, επιταχύνοντας την απεικόνιση και παρέχοντας υψηλή ανάλυση </w:t>
      </w:r>
      <w:r w:rsidRPr="00A831E7">
        <w:rPr>
          <w:rFonts w:eastAsia="Calibri"/>
        </w:rPr>
        <w:fldChar w:fldCharType="begin"/>
      </w:r>
      <w:r w:rsidRPr="00A831E7">
        <w:rPr>
          <w:rFonts w:eastAsia="Calibri"/>
        </w:rPr>
        <w:instrText xml:space="preserve"> ADDIN ZOTERO_ITEM CSL_CITATION {"citationID":"eKJC5PPw","properties":{"formattedCitation":"[12]","plainCitation":"[12]","noteIndex":0},"citationItems":[{"id":266,"uris":["http://zotero.org/users/local/mfHf28QG/items/7WV47UKH"],"itemData":{"id":266,"type":"article-journal","abstract":"Stroke,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13C4DB79" w14:textId="0886A90D" w:rsidR="00064B71" w:rsidRPr="00A831E7" w:rsidRDefault="00064B71" w:rsidP="0057069D">
      <w:pPr>
        <w:spacing w:line="360" w:lineRule="auto"/>
        <w:ind w:firstLine="720"/>
        <w:jc w:val="both"/>
        <w:rPr>
          <w:rFonts w:eastAsia="Calibri"/>
        </w:rPr>
      </w:pPr>
      <w:r w:rsidRPr="00A831E7">
        <w:rPr>
          <w:rFonts w:eastAsia="Calibri"/>
        </w:rPr>
        <w:t xml:space="preserve">Η SPECT-CT, χρησιμοποιώντας ραδιοϊσότοπα, απεικονίζει τη ροή αίματος προς συγκεκριμένα όργανα, αν και δεν επιτρέπει αξιόπιστη διάκριση μεταξύ αιμορραγίας και ισχαιμίας </w:t>
      </w:r>
      <w:r w:rsidRPr="00A831E7">
        <w:rPr>
          <w:rFonts w:eastAsia="Calibri"/>
        </w:rPr>
        <w:fldChar w:fldCharType="begin"/>
      </w:r>
      <w:r w:rsidRPr="00A831E7">
        <w:rPr>
          <w:rFonts w:eastAsia="Calibri"/>
        </w:rPr>
        <w:instrText xml:space="preserve"> ADDIN ZOTERO_ITEM CSL_CITATION {"citationID":"oImvx3CH","properties":{"formattedCitation":"[12]","plainCitation":"[12]","noteIndex":0},"citationItems":[{"id":266,"uris":["http://zotero.org/users/local/mfHf28QG/items/7WV47UKH"],"itemData":{"id":266,"type":"article-journal","abstract":"Stroke,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20E6B959" w14:textId="6D88ECA1" w:rsidR="00064B71" w:rsidRPr="00A831E7" w:rsidRDefault="00064B71" w:rsidP="0057069D">
      <w:pPr>
        <w:spacing w:line="360" w:lineRule="auto"/>
        <w:ind w:firstLine="720"/>
        <w:jc w:val="both"/>
        <w:rPr>
          <w:rFonts w:eastAsia="Calibri"/>
        </w:rPr>
      </w:pPr>
      <w:r w:rsidRPr="00A831E7">
        <w:rPr>
          <w:rFonts w:eastAsia="Calibri"/>
        </w:rPr>
        <w:t>Η XENON-CT μετρά την εγκεφαλική αιματική ροή μ</w:t>
      </w:r>
      <w:r w:rsidR="008556B7">
        <w:rPr>
          <w:rFonts w:eastAsia="Calibri"/>
        </w:rPr>
        <w:t>ετά από</w:t>
      </w:r>
      <w:r w:rsidRPr="00A831E7">
        <w:rPr>
          <w:rFonts w:eastAsia="Calibri"/>
        </w:rPr>
        <w:t xml:space="preserve"> εισπνοή μίγματος xenon αερίου και οξυγόνου</w:t>
      </w:r>
      <w:r w:rsidR="008556B7">
        <w:rPr>
          <w:rFonts w:eastAsia="Calibri"/>
        </w:rPr>
        <w:t xml:space="preserve"> από τον ασθενή</w:t>
      </w:r>
      <w:r w:rsidRPr="00A831E7">
        <w:rPr>
          <w:rFonts w:eastAsia="Calibri"/>
        </w:rPr>
        <w:t xml:space="preserve">, επιτρέποντας την τοπική εκτίμηση της αιμάτωσης του εγκεφάλου </w:t>
      </w:r>
      <w:r w:rsidRPr="00A831E7">
        <w:rPr>
          <w:rFonts w:eastAsia="Calibri"/>
        </w:rPr>
        <w:fldChar w:fldCharType="begin"/>
      </w:r>
      <w:r w:rsidRPr="00A831E7">
        <w:rPr>
          <w:rFonts w:eastAsia="Calibri"/>
        </w:rPr>
        <w:instrText xml:space="preserve"> ADDIN ZOTERO_ITEM CSL_CITATION {"citationID":"awz1Jm9F","properties":{"formattedCitation":"[12]","plainCitation":"[12]","noteIndex":0},"citationItems":[{"id":266,"uris":["http://zotero.org/users/local/mfHf28QG/items/7WV47UKH"],"itemData":{"id":266,"type":"article-journal","abstract":"Stroke,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05A4A680" w14:textId="710687EE" w:rsidR="00064B71" w:rsidRPr="00A831E7" w:rsidRDefault="00064B71" w:rsidP="0057069D">
      <w:pPr>
        <w:spacing w:line="360" w:lineRule="auto"/>
        <w:ind w:firstLine="720"/>
        <w:jc w:val="both"/>
        <w:rPr>
          <w:rFonts w:eastAsia="Calibri"/>
        </w:rPr>
      </w:pPr>
      <w:r w:rsidRPr="00A831E7">
        <w:rPr>
          <w:rFonts w:eastAsia="Calibri"/>
        </w:rPr>
        <w:t xml:space="preserve">Η Τομογραφία Εκπομπής Ποζιτρονίων (PET) καταγράφει βιοχημικές μεταβολές στους ιστούς, επιτρέποντας την πρώιμη ανίχνευση εγκεφαλικού πριν εμφανιστούν ανατομικές αλλοιώσεις, βοηθώντας στον χειρουργικό σχεδιασμό </w:t>
      </w:r>
      <w:r w:rsidRPr="00A831E7">
        <w:rPr>
          <w:rFonts w:eastAsia="Calibri"/>
        </w:rPr>
        <w:fldChar w:fldCharType="begin"/>
      </w:r>
      <w:r w:rsidRPr="00A831E7">
        <w:rPr>
          <w:rFonts w:eastAsia="Calibri"/>
        </w:rPr>
        <w:instrText xml:space="preserve"> ADDIN ZOTERO_ITEM CSL_CITATION {"citationID":"LAXRLqir","properties":{"formattedCitation":"[12]","plainCitation":"[12]","noteIndex":0},"citationItems":[{"id":266,"uris":["http://zotero.org/users/local/mfHf28QG/items/7WV47UKH"],"itemData":{"id":266,"type":"article-journal","abstract":"Stroke,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031638C3" w14:textId="16C4B34C" w:rsidR="00B93F11" w:rsidRPr="00A831E7" w:rsidRDefault="00064B71" w:rsidP="007860A1">
      <w:pPr>
        <w:spacing w:line="360" w:lineRule="auto"/>
        <w:ind w:firstLine="720"/>
        <w:jc w:val="both"/>
        <w:rPr>
          <w:rFonts w:eastAsia="Calibri"/>
        </w:rPr>
      </w:pPr>
      <w:r w:rsidRPr="00A831E7">
        <w:rPr>
          <w:rFonts w:eastAsia="Calibri"/>
        </w:rPr>
        <w:t xml:space="preserve">Τέλος, η Καρωτιδική Αγγειογραφία (CA) χρησιμοποιεί σκιαγραφικό υγρό για την απεικόνιση των καρωτιδικών αρτηριών, βοηθώντας στην αναγνώριση εξωκρανιακών αγγειακών παθήσεων </w:t>
      </w:r>
      <w:r w:rsidRPr="00A831E7">
        <w:rPr>
          <w:rFonts w:eastAsia="Calibri"/>
        </w:rPr>
        <w:fldChar w:fldCharType="begin"/>
      </w:r>
      <w:r w:rsidRPr="00A831E7">
        <w:rPr>
          <w:rFonts w:eastAsia="Calibri"/>
        </w:rPr>
        <w:instrText xml:space="preserve"> ADDIN ZOTERO_ITEM CSL_CITATION {"citationID":"Ck624eRW","properties":{"formattedCitation":"[12]","plainCitation":"[12]","noteIndex":0},"citationItems":[{"id":266,"uris":["http://zotero.org/users/local/mfHf28QG/items/7WV47UKH"],"itemData":{"id":266,"type":"article-journal","abstract":"Stroke,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w:t>
      </w:r>
    </w:p>
    <w:p w14:paraId="78BEB603" w14:textId="184E1AC4" w:rsidR="00AB3804" w:rsidRPr="008F5904" w:rsidRDefault="001D68F2" w:rsidP="008F5904">
      <w:pPr>
        <w:pStyle w:val="3"/>
      </w:pPr>
      <w:bookmarkStart w:id="75" w:name="_Toc199946465"/>
      <w:r w:rsidRPr="008F5904">
        <w:lastRenderedPageBreak/>
        <w:t>Μαγνητική Τομογραφία (MRI)</w:t>
      </w:r>
      <w:bookmarkEnd w:id="75"/>
    </w:p>
    <w:p w14:paraId="0954E0F8" w14:textId="309F2EC4" w:rsidR="00E81193" w:rsidRPr="00A831E7" w:rsidRDefault="001D68F2" w:rsidP="0057069D">
      <w:pPr>
        <w:spacing w:line="360" w:lineRule="auto"/>
        <w:ind w:firstLine="720"/>
        <w:jc w:val="both"/>
        <w:rPr>
          <w:rFonts w:eastAsia="Calibri"/>
        </w:rPr>
      </w:pPr>
      <w:r w:rsidRPr="00A831E7">
        <w:rPr>
          <w:rFonts w:eastAsia="Calibri"/>
        </w:rPr>
        <w:t>Η MRI επιτρέπει λεπτομερή απεικόνιση του εγκεφάλου, προσφέροντας υψηλή ευαισθησία στην ανίχνευση ισχαιμικών αλλοιώσεων και αιμορραγιών</w:t>
      </w:r>
      <w:r w:rsidR="00E81193" w:rsidRPr="00A831E7">
        <w:rPr>
          <w:rFonts w:eastAsia="Calibri"/>
        </w:rPr>
        <w:t xml:space="preserve"> σε σχέση με τις CT</w:t>
      </w:r>
      <w:r w:rsidRPr="00A831E7">
        <w:rPr>
          <w:rFonts w:eastAsia="Calibri"/>
        </w:rPr>
        <w:t xml:space="preserve"> </w:t>
      </w:r>
      <w:r w:rsidR="00E81193" w:rsidRPr="00A831E7">
        <w:rPr>
          <w:rFonts w:eastAsia="Calibri"/>
        </w:rPr>
        <w:t xml:space="preserve">αποφεύγοντας την έκθεση του ασθενή σε ακτινοβολία </w:t>
      </w:r>
      <w:r w:rsidR="00E81193" w:rsidRPr="00A831E7">
        <w:rPr>
          <w:rFonts w:eastAsia="Calibri"/>
        </w:rPr>
        <w:fldChar w:fldCharType="begin"/>
      </w:r>
      <w:r w:rsidR="00E81193" w:rsidRPr="00A831E7">
        <w:rPr>
          <w:rFonts w:eastAsia="Calibri"/>
        </w:rPr>
        <w:instrText xml:space="preserve"> ADDIN ZOTERO_ITEM CSL_CITATION {"citationID":"wbUicCAE","properties":{"formattedCitation":"[7], [16]","plainCitation":"[7], [16]","noteIndex":0},"citationItems":[{"id":282,"uris":["http://zotero.org/users/local/mfHf28QG/items/JMCKN5BM"],"itemData":{"id":282,"type":"article-journal","abstract":"Ischemic stroke is a leading cause of morbidity and mortality worldwide, necessitating advancements in early diagnosis and treatment modalities. This review aims to provide an overview of recent advances in the early diagnosis and treatment of ...","container-title":"Galen Medical Journal","DOI":"10.31661/gmj.v12i0.2993","language":"en","note":"PMID: 39430040","page":"1","source":"pmc.ncbi.nlm.nih.gov","title":"A Short Review on Advances in Early Diagnosis and Treatment of Ischemic Stroke","volume":"12","author":[{"family":"Sun","given":"Bin"},{"family":"Wang","given":"Zhigang"}],"issued":{"date-parts":[["2023",8,21]]}},"label":"page"},{"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A."}],"issued":{"date-parts":[["2020",7,5]]}},"label":"page"}],"schema":"https://github.com/citation-style-language/schema/raw/master/csl-citation.json"} </w:instrText>
      </w:r>
      <w:r w:rsidR="00E81193" w:rsidRPr="00A831E7">
        <w:rPr>
          <w:rFonts w:eastAsia="Calibri"/>
        </w:rPr>
        <w:fldChar w:fldCharType="separate"/>
      </w:r>
      <w:r w:rsidR="00E81193" w:rsidRPr="00A831E7">
        <w:rPr>
          <w:rFonts w:eastAsia="Calibri"/>
        </w:rPr>
        <w:t>[7], [16]</w:t>
      </w:r>
      <w:r w:rsidR="00E81193" w:rsidRPr="00A831E7">
        <w:rPr>
          <w:rFonts w:eastAsia="Calibri"/>
        </w:rPr>
        <w:fldChar w:fldCharType="end"/>
      </w:r>
      <w:r w:rsidRPr="00A831E7">
        <w:rPr>
          <w:rFonts w:eastAsia="Calibri"/>
        </w:rPr>
        <w:t>.</w:t>
      </w:r>
      <w:r w:rsidR="00E81193" w:rsidRPr="00A831E7">
        <w:rPr>
          <w:rFonts w:eastAsia="Calibri"/>
        </w:rPr>
        <w:t xml:space="preserve"> Η μαγνητική τομογραφία είναι μια μη επεμβατική εξέταση που βασίζεται σε ένα μαγνητικό πεδίο</w:t>
      </w:r>
      <w:r w:rsidR="007860A1" w:rsidRPr="00A831E7">
        <w:rPr>
          <w:rFonts w:eastAsia="Calibri"/>
        </w:rPr>
        <w:t>.</w:t>
      </w:r>
    </w:p>
    <w:p w14:paraId="55A6289E" w14:textId="77777777" w:rsidR="00B93F11" w:rsidRPr="00A831E7" w:rsidRDefault="00B93F11" w:rsidP="0057069D">
      <w:pPr>
        <w:spacing w:line="360" w:lineRule="auto"/>
        <w:jc w:val="both"/>
        <w:rPr>
          <w:rFonts w:eastAsia="Calibri"/>
        </w:rPr>
      </w:pPr>
    </w:p>
    <w:p w14:paraId="3404B65A" w14:textId="18472E70" w:rsidR="002E3FD0" w:rsidRPr="00A831E7" w:rsidRDefault="001D68F2" w:rsidP="0057069D">
      <w:pPr>
        <w:pStyle w:val="4"/>
        <w:spacing w:line="360" w:lineRule="auto"/>
        <w:rPr>
          <w:rFonts w:eastAsia="Calibri"/>
          <w:b w:val="0"/>
          <w:bCs/>
        </w:rPr>
      </w:pPr>
      <w:r w:rsidRPr="00A831E7">
        <w:rPr>
          <w:rFonts w:eastAsia="Calibri"/>
          <w:bCs/>
        </w:rPr>
        <w:t>Diffusion-Weighted Imaging (DWI)</w:t>
      </w:r>
    </w:p>
    <w:p w14:paraId="64C99627" w14:textId="43933DA2" w:rsidR="00845D75" w:rsidRPr="00A831E7" w:rsidRDefault="001D68F2" w:rsidP="0057069D">
      <w:pPr>
        <w:spacing w:line="360" w:lineRule="auto"/>
        <w:ind w:firstLine="720"/>
        <w:jc w:val="both"/>
        <w:rPr>
          <w:rFonts w:eastAsia="Calibri"/>
        </w:rPr>
      </w:pPr>
      <w:r w:rsidRPr="00A831E7">
        <w:rPr>
          <w:rFonts w:eastAsia="Calibri"/>
        </w:rPr>
        <w:t>Η DWI</w:t>
      </w:r>
      <w:r w:rsidR="00E81193" w:rsidRPr="00A831E7">
        <w:rPr>
          <w:rFonts w:eastAsia="Calibri"/>
        </w:rPr>
        <w:t xml:space="preserve"> είναι μια μορφή μαγνητικής τομογραφίας που βασίζεται στη μέτρηση της τυχαίας κίνησης των μορίων νερού μέσα σε έναν ιστό </w:t>
      </w:r>
      <w:r w:rsidR="00E81193" w:rsidRPr="00A831E7">
        <w:rPr>
          <w:rFonts w:eastAsia="Calibri"/>
        </w:rPr>
        <w:fldChar w:fldCharType="begin"/>
      </w:r>
      <w:r w:rsidR="00E81193" w:rsidRPr="00A831E7">
        <w:rPr>
          <w:rFonts w:eastAsia="Calibri"/>
        </w:rPr>
        <w:instrText xml:space="preserve"> ADDIN ZOTERO_ITEM CSL_CITATION {"citationID":"PDripZUG","properties":{"formattedCitation":"[16]","plainCitation":"[16]","noteIndex":0},"citationItems":[{"id":172,"uris":["http://zotero.org/users/local/mfHf28QG/items/NFV5AQIQ"],"itemData":{"id":172,"type":"article-journal","abstract":"There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E81193" w:rsidRPr="00A831E7">
        <w:rPr>
          <w:rFonts w:eastAsia="Calibri"/>
        </w:rPr>
        <w:fldChar w:fldCharType="separate"/>
      </w:r>
      <w:r w:rsidR="00E81193" w:rsidRPr="00A831E7">
        <w:rPr>
          <w:rFonts w:eastAsia="Calibri"/>
        </w:rPr>
        <w:t>[16]</w:t>
      </w:r>
      <w:r w:rsidR="00E81193" w:rsidRPr="00A831E7">
        <w:rPr>
          <w:rFonts w:eastAsia="Calibri"/>
        </w:rPr>
        <w:fldChar w:fldCharType="end"/>
      </w:r>
      <w:r w:rsidR="00E81193" w:rsidRPr="00A831E7">
        <w:rPr>
          <w:rFonts w:eastAsia="Calibri"/>
        </w:rPr>
        <w:t xml:space="preserve">. </w:t>
      </w:r>
      <w:r w:rsidRPr="00A831E7">
        <w:rPr>
          <w:rFonts w:eastAsia="Calibri"/>
        </w:rPr>
        <w:t xml:space="preserve"> Στο HS, αν και δεν αποτελεί πρωτογενή διαγνωστική μέθοδο, μπορεί να βοηθήσει στην εκτίμηση των ισχαιμικών περιοχών που προκαλούνται δευτερογενώς από αιμορραγία [2].</w:t>
      </w:r>
      <w:r w:rsidR="00E81193" w:rsidRPr="00A831E7">
        <w:rPr>
          <w:rFonts w:eastAsia="Calibri"/>
        </w:rPr>
        <w:t xml:space="preserve"> Θεωρείται η πιο αξιόπιστη μέθοδος για την έγκαιρη ανίχνευση του AIS και για την ανίχνευση πολλών</w:t>
      </w:r>
      <w:r w:rsidR="00DF3B6E">
        <w:rPr>
          <w:rFonts w:eastAsia="Calibri"/>
        </w:rPr>
        <w:t xml:space="preserve"> </w:t>
      </w:r>
      <w:r w:rsidR="00DF3B6E">
        <w:rPr>
          <w:rFonts w:eastAsia="Calibri"/>
          <w:lang w:val="en-US"/>
        </w:rPr>
        <w:t>mimics (</w:t>
      </w:r>
      <w:r w:rsidR="00E81193" w:rsidRPr="00A831E7">
        <w:rPr>
          <w:rFonts w:eastAsia="Calibri"/>
        </w:rPr>
        <w:t>SMs</w:t>
      </w:r>
      <w:r w:rsidR="00DF3B6E">
        <w:rPr>
          <w:rFonts w:eastAsia="Calibri"/>
          <w:lang w:val="en-US"/>
        </w:rPr>
        <w:t>)</w:t>
      </w:r>
      <w:r w:rsidR="00E81193" w:rsidRPr="00A831E7">
        <w:rPr>
          <w:rFonts w:eastAsia="Calibri"/>
        </w:rPr>
        <w:t xml:space="preserve"> με </w:t>
      </w:r>
      <w:r w:rsidR="00DF3B6E">
        <w:rPr>
          <w:rFonts w:eastAsia="Calibri"/>
        </w:rPr>
        <w:t>ευαισθησία</w:t>
      </w:r>
      <w:r w:rsidR="00D12595" w:rsidRPr="00A831E7">
        <w:rPr>
          <w:rFonts w:eastAsia="Calibri"/>
        </w:rPr>
        <w:t xml:space="preserve"> και </w:t>
      </w:r>
      <w:r w:rsidR="00DF3B6E">
        <w:rPr>
          <w:rFonts w:eastAsia="Calibri"/>
        </w:rPr>
        <w:t xml:space="preserve">ειδικότητα </w:t>
      </w:r>
      <w:r w:rsidR="00D12595" w:rsidRPr="00A831E7">
        <w:rPr>
          <w:rFonts w:eastAsia="Calibri"/>
        </w:rPr>
        <w:t xml:space="preserve">να κυμαίνονται ανάμεσα σε </w:t>
      </w:r>
      <w:r w:rsidR="00E81193" w:rsidRPr="00A831E7">
        <w:rPr>
          <w:rFonts w:eastAsia="Calibri"/>
        </w:rPr>
        <w:t>81</w:t>
      </w:r>
      <w:r w:rsidR="00D12595" w:rsidRPr="00A831E7">
        <w:rPr>
          <w:rFonts w:eastAsia="Calibri"/>
        </w:rPr>
        <w:t>-</w:t>
      </w:r>
      <w:r w:rsidR="00E81193" w:rsidRPr="00A831E7">
        <w:rPr>
          <w:rFonts w:eastAsia="Calibri"/>
        </w:rPr>
        <w:t>100% και 86</w:t>
      </w:r>
      <w:r w:rsidR="00D12595" w:rsidRPr="00A831E7">
        <w:rPr>
          <w:rFonts w:eastAsia="Calibri"/>
        </w:rPr>
        <w:t>-</w:t>
      </w:r>
      <w:r w:rsidR="00E81193" w:rsidRPr="00A831E7">
        <w:rPr>
          <w:rFonts w:eastAsia="Calibri"/>
        </w:rPr>
        <w:t>100%, αντίστοιχα</w:t>
      </w:r>
      <w:r w:rsidR="00D12595" w:rsidRPr="00A831E7">
        <w:rPr>
          <w:rFonts w:eastAsia="Calibri"/>
        </w:rPr>
        <w:t xml:space="preserve"> </w:t>
      </w:r>
      <w:r w:rsidR="00D12595" w:rsidRPr="00A831E7">
        <w:rPr>
          <w:rFonts w:eastAsia="Calibri"/>
        </w:rPr>
        <w:fldChar w:fldCharType="begin"/>
      </w:r>
      <w:r w:rsidR="009E7451" w:rsidRPr="00A831E7">
        <w:rPr>
          <w:rFonts w:eastAsia="Calibri"/>
        </w:rPr>
        <w:instrText xml:space="preserve"> ADDIN ZOTERO_ITEM CSL_CITATION {"citationID":"XgwGc79C","properties":{"formattedCitation":"[32], [33]","plainCitation":"[32], [33]","noteIndex":0},"citationItems":[{"id":1592,"uris":["http://zotero.org/users/local/mfHf28QG/items/2HNFK9WJ"],"itemData":{"id":1592,"type":"article-journal","abstract":"Background\nAlthough the use of magnetic resonance imaging (MRI) for the diagnosis of acute stroke is increasing, this method has not proved more effective than computed tomography (CT) in the emergency setting. We aimed to prospectively compare CT and MRI for emergency diagnosis of acute stroke.\n\nMethods\nWe did a single-centre, prospective, blind comparison of non-contrast CT and MRI (with diffusion-weighted and susceptibility weighted images) in a consecutive series of patients referred for emergency assessment of suspected acute stroke. Scans were independently interpreted by four experts, who were unaware of clinical information, MRI-CT pairings, and follow-up imaging.\n\nResults\n356 patients, 217 of whom had a final clinical diagnosis of acute stroke, were assessed. MRI detected acute stroke (ischaemic or haemorrhagic), acute ischaemic stroke, and chronic haemorrhage more frequently than did CT (p&lt;0.0001, for all comparisons). MRI was similar to CT for the detection of acute intracranial haemorrhage. MRI detected acute ischaemic stroke in 164 of 356 patients (46%; 95% CI 41-51%), compared with CT in 35 of 356 patients (10%; 7-14%). In the subset of patients scanned within 3 h of symptom onset, MRI detected acute ischaemic stroke in 41 of 90 patients (46%; 35-56%); CT in 6 of 90 (7%; 3-14%). Relative to the final clinical diagnosis, MRI had a sensitivity of 83% (181 of 217; 78-88%) and CT of 26% (56 of 217; 20-32%) for the diagnosis of any acute stroke.\n\nInterpretation\nMRI is better than CT for detection of acute ischaemia, and can detect acute and chronic haemorrhage; therefore it should be the preferred test for accurate diagnosis of patients with suspected acute stroke. Because our patient sample encompassed the range of disease that is likely to be encountered in emergency cases of suspected stroke, our results are directly applicable to clinical practice.","container-title":"Lancet","DOI":"10.1016/S0140-6736(07)60151-2","ISSN":"0140-6736","issue":"9558","journalAbbreviation":"Lancet","note":"PMID: 17258669\nPMCID: PMC1859855","page":"293-298","source":"PubMed Central","title":"Magnetic resonance imaging and computed tomography in emergency assessment of patients with suspected acute stroke: a prospective comparison","title-short":"Magnetic resonance imaging and computed tomography in emergency assessment of patients with suspected acute stroke","volume":"369","author":[{"family":"Chalela","given":"Julio A"},{"family":"Kidwell","given":"Chelsea S"},{"family":"Nentwich","given":"Lauren M"},{"family":"Luby","given":"Marie"},{"family":"Butman","given":"John A"},{"family":"Demchuk","given":"Andrew M"},{"family":"Hill","given":"Michael D"},{"family":"Patronas","given":"Nicholas"},{"family":"Latour","given":"Lawrence"},{"family":"Warach","given":"Steven"}],"issued":{"date-parts":[["2007",1,27]]}},"label":"page"},{"id":1595,"uris":["http://zotero.org/users/local/mfHf28QG/items/VQ4V3HDK"],"itemData":{"id":1595,"type":"article-journal","abstract":"Diffusion-weighted MRI provides image contrast that is dependent on the molecular motion of water. Diffusion-weighted imaging is the most reliable method for early detection of cerebral ischemia, for the definition of infarct core, and for the differentiation of acute ischemia from other disease processes that mimic stroke. Diffusion tensor imaging and diffusion kurtosis imaging may offer additional diagnostic information on the microstructural status of tissue. This review discusses the development and applications of diffusion-weighted imaging, diffusion tensor imaging, and diffusion kurtosis imaging in acute and chronic ischemia.","container-title":"Neuroimaging Clinics of North America","DOI":"10.1016/j.nic.2011.03.001","ISSN":"1557-9867","issue":"2","journalAbbreviation":"Neuroimaging Clin N Am","language":"eng","note":"PMID: 21640304","page":"345-377, xi","source":"PubMed","title":"MR diffusion imaging in ischemic stroke","volume":"21","author":[{"family":"Fung","given":"Steve H."},{"family":"Roccatagliata","given":"Luca"},{"family":"Gonzalez","given":"R. Gilberto"},{"family":"Schaefer","given":"Pamela W."}],"issued":{"date-parts":[["2011",5]]}},"label":"page"}],"schema":"https://github.com/citation-style-language/schema/raw/master/csl-citation.json"} </w:instrText>
      </w:r>
      <w:r w:rsidR="00D12595" w:rsidRPr="00A831E7">
        <w:rPr>
          <w:rFonts w:eastAsia="Calibri"/>
        </w:rPr>
        <w:fldChar w:fldCharType="separate"/>
      </w:r>
      <w:r w:rsidR="009E7451" w:rsidRPr="00A831E7">
        <w:rPr>
          <w:rFonts w:eastAsia="Calibri"/>
        </w:rPr>
        <w:t>[32], [33]</w:t>
      </w:r>
      <w:r w:rsidR="00D12595" w:rsidRPr="00A831E7">
        <w:rPr>
          <w:rFonts w:eastAsia="Calibri"/>
        </w:rPr>
        <w:fldChar w:fldCharType="end"/>
      </w:r>
      <w:r w:rsidR="00E81193" w:rsidRPr="00A831E7">
        <w:rPr>
          <w:rFonts w:eastAsia="Calibri"/>
        </w:rPr>
        <w:t>. Οι τεχνικές μαγνητικής τομογραφίας σε σύγκριση με την αξονική τομογραφία παρέχουν καλύτερη ικανότητα αναγνώρισης και των δύο τύπων εγκεφαλικών επεισοδίων. Ωστόσο, το κύριο μειονέκτημα είναι ότι οι μαγνητικές τομογραφίες δεν είναι πάντα διαθέσιμες υπό συνθήκες έκτακτης ανάγκης</w:t>
      </w:r>
      <w:r w:rsidR="00D12595" w:rsidRPr="00A831E7">
        <w:rPr>
          <w:rFonts w:eastAsia="Calibri"/>
        </w:rPr>
        <w:t xml:space="preserve"> </w:t>
      </w:r>
      <w:r w:rsidR="00D12595" w:rsidRPr="00A831E7">
        <w:rPr>
          <w:rFonts w:eastAsia="Calibri"/>
        </w:rPr>
        <w:fldChar w:fldCharType="begin"/>
      </w:r>
      <w:r w:rsidR="00D12595" w:rsidRPr="00A831E7">
        <w:rPr>
          <w:rFonts w:eastAsia="Calibri"/>
        </w:rPr>
        <w:instrText xml:space="preserve"> ADDIN ZOTERO_ITEM CSL_CITATION {"citationID":"4Izw8SKu","properties":{"formattedCitation":"[16]","plainCitation":"[16]","noteIndex":0},"citationItems":[{"id":172,"uris":["http://zotero.org/users/local/mfHf28QG/items/NFV5AQIQ"],"itemData":{"id":172,"type":"article-journal","abstract":"There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D12595" w:rsidRPr="00A831E7">
        <w:rPr>
          <w:rFonts w:eastAsia="Calibri"/>
        </w:rPr>
        <w:fldChar w:fldCharType="separate"/>
      </w:r>
      <w:r w:rsidR="00D12595" w:rsidRPr="00A831E7">
        <w:rPr>
          <w:rFonts w:eastAsia="Calibri"/>
        </w:rPr>
        <w:t>[16]</w:t>
      </w:r>
      <w:r w:rsidR="00D12595" w:rsidRPr="00A831E7">
        <w:rPr>
          <w:rFonts w:eastAsia="Calibri"/>
        </w:rPr>
        <w:fldChar w:fldCharType="end"/>
      </w:r>
      <w:r w:rsidR="00E81193" w:rsidRPr="00A831E7">
        <w:rPr>
          <w:rFonts w:eastAsia="Calibri"/>
        </w:rPr>
        <w:t xml:space="preserve">. </w:t>
      </w:r>
    </w:p>
    <w:p w14:paraId="107F05B3" w14:textId="77777777" w:rsidR="00B93F11" w:rsidRPr="00A831E7" w:rsidRDefault="00B93F11" w:rsidP="0057069D">
      <w:pPr>
        <w:spacing w:line="360" w:lineRule="auto"/>
        <w:jc w:val="both"/>
        <w:rPr>
          <w:rFonts w:eastAsia="Calibri"/>
        </w:rPr>
      </w:pPr>
    </w:p>
    <w:p w14:paraId="7EAF19BB" w14:textId="6E6CFA46" w:rsidR="00845D75" w:rsidRPr="00730D74" w:rsidRDefault="001D68F2" w:rsidP="0057069D">
      <w:pPr>
        <w:pStyle w:val="4"/>
        <w:spacing w:line="360" w:lineRule="auto"/>
        <w:rPr>
          <w:rFonts w:eastAsia="Calibri"/>
          <w:b w:val="0"/>
          <w:bCs/>
          <w:lang w:val="en-US"/>
        </w:rPr>
      </w:pPr>
      <w:r w:rsidRPr="00730D74">
        <w:rPr>
          <w:rFonts w:eastAsia="Calibri"/>
          <w:bCs/>
          <w:lang w:val="en-US"/>
        </w:rPr>
        <w:t xml:space="preserve">Gradient Echo (GRE) </w:t>
      </w:r>
      <w:r w:rsidRPr="00A831E7">
        <w:rPr>
          <w:rFonts w:eastAsia="Calibri"/>
          <w:bCs/>
        </w:rPr>
        <w:t>και</w:t>
      </w:r>
      <w:r w:rsidRPr="00730D74">
        <w:rPr>
          <w:rFonts w:eastAsia="Calibri"/>
          <w:bCs/>
          <w:lang w:val="en-US"/>
        </w:rPr>
        <w:t xml:space="preserve"> Fluid-Attenuated Inversion Recovery (FLAIR)</w:t>
      </w:r>
    </w:p>
    <w:p w14:paraId="5D1365FA" w14:textId="3229AF73" w:rsidR="00D12595" w:rsidRPr="00A831E7" w:rsidRDefault="001D68F2" w:rsidP="0057069D">
      <w:pPr>
        <w:spacing w:line="360" w:lineRule="auto"/>
        <w:ind w:firstLine="720"/>
        <w:jc w:val="both"/>
        <w:rPr>
          <w:rFonts w:eastAsia="Calibri"/>
        </w:rPr>
      </w:pPr>
      <w:r w:rsidRPr="00A831E7">
        <w:rPr>
          <w:rFonts w:eastAsia="Calibri"/>
        </w:rPr>
        <w:t xml:space="preserve">Η GRE είναι ιδιαίτερα ευαίσθητη στην ανίχνευση αιμορραγιών, βοηθώντας στον εντοπισμό μικροαιμορραγιών που δεν είναι ορατές στην NCCT </w:t>
      </w:r>
      <w:r w:rsidR="00E81193" w:rsidRPr="00A831E7">
        <w:rPr>
          <w:rFonts w:eastAsia="Calibri"/>
        </w:rPr>
        <w:fldChar w:fldCharType="begin"/>
      </w:r>
      <w:r w:rsidR="00E81193" w:rsidRPr="00A831E7">
        <w:rPr>
          <w:rFonts w:eastAsia="Calibri"/>
        </w:rPr>
        <w:instrText xml:space="preserve"> ADDIN ZOTERO_ITEM CSL_CITATION {"citationID":"No9U5pCP","properties":{"formattedCitation":"[16]","plainCitation":"[16]","noteIndex":0},"citationItems":[{"id":172,"uris":["http://zotero.org/users/local/mfHf28QG/items/NFV5AQIQ"],"itemData":{"id":172,"type":"article-journal","abstract":"There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E81193" w:rsidRPr="00A831E7">
        <w:rPr>
          <w:rFonts w:eastAsia="Calibri"/>
        </w:rPr>
        <w:fldChar w:fldCharType="separate"/>
      </w:r>
      <w:r w:rsidR="00E81193" w:rsidRPr="00A831E7">
        <w:rPr>
          <w:rFonts w:eastAsia="Calibri"/>
        </w:rPr>
        <w:t>[16]</w:t>
      </w:r>
      <w:r w:rsidR="00E81193" w:rsidRPr="00A831E7">
        <w:rPr>
          <w:rFonts w:eastAsia="Calibri"/>
        </w:rPr>
        <w:fldChar w:fldCharType="end"/>
      </w:r>
      <w:r w:rsidRPr="00A831E7">
        <w:rPr>
          <w:rFonts w:eastAsia="Calibri"/>
        </w:rPr>
        <w:t>. Η FLAIR χρησιμοποιείται για την αναγνώριση υπαραχνοειδών αιμορραγιών</w:t>
      </w:r>
      <w:r w:rsidR="00E81193" w:rsidRPr="00A831E7">
        <w:rPr>
          <w:rFonts w:eastAsia="Calibri"/>
        </w:rPr>
        <w:t xml:space="preserve"> που μπορεί να μην εμφανιστούν σε CT</w:t>
      </w:r>
      <w:r w:rsidRPr="00A831E7">
        <w:rPr>
          <w:rFonts w:eastAsia="Calibri"/>
        </w:rPr>
        <w:t>, επιτρέποντας μια πιο ακριβή διάγνωση του HS σε ασθενείς με ασαφή κλινική εικόνα</w:t>
      </w:r>
      <w:r w:rsidR="00E81193" w:rsidRPr="00A831E7">
        <w:rPr>
          <w:rFonts w:eastAsia="Calibri"/>
        </w:rPr>
        <w:t xml:space="preserve"> </w:t>
      </w:r>
      <w:r w:rsidR="00E81193" w:rsidRPr="00A831E7">
        <w:rPr>
          <w:rFonts w:eastAsia="Calibri"/>
        </w:rPr>
        <w:fldChar w:fldCharType="begin"/>
      </w:r>
      <w:r w:rsidR="00E81193" w:rsidRPr="00A831E7">
        <w:rPr>
          <w:rFonts w:eastAsia="Calibri"/>
        </w:rPr>
        <w:instrText xml:space="preserve"> ADDIN ZOTERO_ITEM CSL_CITATION {"citationID":"UZgIiATT","properties":{"formattedCitation":"[16]","plainCitation":"[16]","noteIndex":0},"citationItems":[{"id":172,"uris":["http://zotero.org/users/local/mfHf28QG/items/NFV5AQIQ"],"itemData":{"id":172,"type":"article-journal","abstract":"There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E81193" w:rsidRPr="00A831E7">
        <w:rPr>
          <w:rFonts w:eastAsia="Calibri"/>
        </w:rPr>
        <w:fldChar w:fldCharType="separate"/>
      </w:r>
      <w:r w:rsidR="00E81193" w:rsidRPr="00A831E7">
        <w:rPr>
          <w:rFonts w:eastAsia="Calibri"/>
        </w:rPr>
        <w:t>[16]</w:t>
      </w:r>
      <w:r w:rsidR="00E81193" w:rsidRPr="00A831E7">
        <w:rPr>
          <w:rFonts w:eastAsia="Calibri"/>
        </w:rPr>
        <w:fldChar w:fldCharType="end"/>
      </w:r>
      <w:r w:rsidR="00E81193" w:rsidRPr="00A831E7">
        <w:rPr>
          <w:rFonts w:eastAsia="Calibri"/>
        </w:rPr>
        <w:t>.</w:t>
      </w:r>
      <w:r w:rsidRPr="00A831E7">
        <w:rPr>
          <w:rFonts w:eastAsia="Calibri"/>
        </w:rPr>
        <w:t xml:space="preserve"> </w:t>
      </w:r>
    </w:p>
    <w:p w14:paraId="4EB71FE9" w14:textId="77777777" w:rsidR="00B93F11" w:rsidRPr="00A831E7" w:rsidRDefault="00B93F11" w:rsidP="0057069D">
      <w:pPr>
        <w:spacing w:line="360" w:lineRule="auto"/>
        <w:jc w:val="both"/>
        <w:rPr>
          <w:rFonts w:eastAsia="Calibri"/>
        </w:rPr>
      </w:pPr>
    </w:p>
    <w:p w14:paraId="051AE766" w14:textId="361A833E" w:rsidR="00D12595" w:rsidRPr="00A831E7" w:rsidRDefault="00D12595" w:rsidP="0057069D">
      <w:pPr>
        <w:pStyle w:val="4"/>
        <w:spacing w:line="360" w:lineRule="auto"/>
        <w:rPr>
          <w:rFonts w:eastAsia="Calibri"/>
          <w:b w:val="0"/>
          <w:bCs/>
        </w:rPr>
      </w:pPr>
      <w:r w:rsidRPr="00A831E7">
        <w:rPr>
          <w:rFonts w:eastAsia="Calibri"/>
          <w:bCs/>
        </w:rPr>
        <w:t>Μαγνητική Αγγειογραφία (MRA)</w:t>
      </w:r>
    </w:p>
    <w:p w14:paraId="239FE949" w14:textId="2C2DC34A" w:rsidR="001D68F2" w:rsidRPr="00A831E7" w:rsidRDefault="00D12595" w:rsidP="00B07E2B">
      <w:pPr>
        <w:spacing w:line="360" w:lineRule="auto"/>
        <w:ind w:firstLine="720"/>
        <w:jc w:val="both"/>
        <w:rPr>
          <w:rFonts w:eastAsia="Calibri"/>
        </w:rPr>
      </w:pPr>
      <w:bookmarkStart w:id="76" w:name="_Hlk198048119"/>
      <w:r w:rsidRPr="00A831E7">
        <w:rPr>
          <w:rFonts w:eastAsia="Calibri"/>
        </w:rPr>
        <w:t xml:space="preserve">  Η MRA χρησιμοποιείται για την αξιολόγηση μεγάλων αρτηριών. Οι δείκτες </w:t>
      </w:r>
      <w:r w:rsidR="00DF3B6E">
        <w:rPr>
          <w:rFonts w:eastAsia="Calibri"/>
        </w:rPr>
        <w:t xml:space="preserve">ευαισθησίας </w:t>
      </w:r>
      <w:r w:rsidRPr="00A831E7">
        <w:rPr>
          <w:rFonts w:eastAsia="Calibri"/>
        </w:rPr>
        <w:t>και</w:t>
      </w:r>
      <w:bookmarkEnd w:id="76"/>
      <w:r w:rsidRPr="00A831E7">
        <w:rPr>
          <w:rFonts w:eastAsia="Calibri"/>
        </w:rPr>
        <w:t xml:space="preserve"> </w:t>
      </w:r>
      <w:r w:rsidR="00DF3B6E">
        <w:rPr>
          <w:rFonts w:eastAsia="Calibri"/>
        </w:rPr>
        <w:t xml:space="preserve">ειδικότητας </w:t>
      </w:r>
      <w:r w:rsidRPr="00A831E7">
        <w:rPr>
          <w:rFonts w:eastAsia="Calibri"/>
        </w:rPr>
        <w:t>στην MRA για ανίχνευση ενδοκρανιακής στένωσης αναφέρεται ότι κυμαίν</w:t>
      </w:r>
      <w:r w:rsidR="008556B7">
        <w:rPr>
          <w:rFonts w:eastAsia="Calibri"/>
        </w:rPr>
        <w:t>ονται</w:t>
      </w:r>
      <w:r w:rsidRPr="00A831E7">
        <w:rPr>
          <w:rFonts w:eastAsia="Calibri"/>
        </w:rPr>
        <w:t xml:space="preserve"> μεταξύ 70-100% </w:t>
      </w:r>
      <w:r w:rsidRPr="00A831E7">
        <w:rPr>
          <w:rFonts w:eastAsia="Calibri"/>
        </w:rPr>
        <w:fldChar w:fldCharType="begin"/>
      </w:r>
      <w:r w:rsidRPr="00A831E7">
        <w:rPr>
          <w:rFonts w:eastAsia="Calibri"/>
        </w:rPr>
        <w:instrText xml:space="preserve"> ADDIN ZOTERO_ITEM CSL_CITATION {"citationID":"jwI32pK1","properties":{"formattedCitation":"[16]","plainCitation":"[16]","noteIndex":0},"citationItems":[{"id":172,"uris":["http://zotero.org/users/local/mfHf28QG/items/NFV5AQIQ"],"itemData":{"id":172,"type":"article-journal","abstract":"There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Pr="00A831E7">
        <w:rPr>
          <w:rFonts w:eastAsia="Calibri"/>
        </w:rPr>
        <w:fldChar w:fldCharType="separate"/>
      </w:r>
      <w:r w:rsidRPr="00A831E7">
        <w:rPr>
          <w:rFonts w:eastAsia="Calibri"/>
        </w:rPr>
        <w:t>[16]</w:t>
      </w:r>
      <w:r w:rsidRPr="00A831E7">
        <w:rPr>
          <w:rFonts w:eastAsia="Calibri"/>
        </w:rPr>
        <w:fldChar w:fldCharType="end"/>
      </w:r>
      <w:r w:rsidRPr="00A831E7">
        <w:rPr>
          <w:rFonts w:eastAsia="Calibri"/>
        </w:rPr>
        <w:t xml:space="preserve">. Πολλές μελέτες έχουν διεξαχθεί για τη σύγκριση MRA και CTA για την </w:t>
      </w:r>
      <w:bookmarkStart w:id="77" w:name="_Hlk198048067"/>
      <w:r w:rsidRPr="00A831E7">
        <w:rPr>
          <w:rFonts w:eastAsia="Calibri"/>
        </w:rPr>
        <w:t xml:space="preserve">απεικόνιση της απόφραξης και της στένωσης των μεγάλων εγκεφαλικών αγγείων. Μία μελέτη έδειξε ότι η CTA είχε υψηλότερη </w:t>
      </w:r>
      <w:r w:rsidRPr="00A831E7">
        <w:rPr>
          <w:rFonts w:eastAsia="Calibri"/>
        </w:rPr>
        <w:lastRenderedPageBreak/>
        <w:t xml:space="preserve">ευαισθησία τόσο για τη στένωση όσο και για την απόφραξη των μεγάλων αγγείων (98% και 100%, αντίστοιχα) από το MRA (70% και 87%, αντίστοιχα) </w:t>
      </w:r>
      <w:r w:rsidR="009E7451" w:rsidRPr="00A831E7">
        <w:rPr>
          <w:rFonts w:eastAsia="Calibri"/>
        </w:rPr>
        <w:fldChar w:fldCharType="begin"/>
      </w:r>
      <w:r w:rsidR="009E7451" w:rsidRPr="00A831E7">
        <w:rPr>
          <w:rFonts w:eastAsia="Calibri"/>
        </w:rPr>
        <w:instrText xml:space="preserve"> ADDIN ZOTERO_ITEM CSL_CITATION {"citationID":"3qCvZbsR","properties":{"formattedCitation":"[34]","plainCitation":"[34]","noteIndex":0},"citationItems":[{"id":1597,"uris":["http://zotero.org/users/local/mfHf28QG/items/P6YFLMQK"],"itemData":{"id":1597,"type":"webpage","title":"Intracranial vascular stenosis and occlusive disease: evaluation with CT angiography, MR angiography, and digital subtraction angiography - PubMed","URL":"https://pubmed.ncbi.nlm.nih.gov/15891154/","accessed":{"date-parts":[["2025",5,12]]}},"suppress-author":true}],"schema":"https://github.com/citation-style-language/schema/raw/master/csl-citation.json"} </w:instrText>
      </w:r>
      <w:r w:rsidR="009E7451" w:rsidRPr="00A831E7">
        <w:rPr>
          <w:rFonts w:eastAsia="Calibri"/>
        </w:rPr>
        <w:fldChar w:fldCharType="separate"/>
      </w:r>
      <w:r w:rsidR="009E7451" w:rsidRPr="00A831E7">
        <w:rPr>
          <w:rFonts w:eastAsia="Calibri"/>
        </w:rPr>
        <w:t>[34]</w:t>
      </w:r>
      <w:r w:rsidR="009E7451" w:rsidRPr="00A831E7">
        <w:rPr>
          <w:rFonts w:eastAsia="Calibri"/>
        </w:rPr>
        <w:fldChar w:fldCharType="end"/>
      </w:r>
      <w:r w:rsidRPr="00A831E7">
        <w:rPr>
          <w:rFonts w:eastAsia="Calibri"/>
        </w:rPr>
        <w:t>.</w:t>
      </w:r>
      <w:bookmarkEnd w:id="77"/>
    </w:p>
    <w:p w14:paraId="7ACCE522" w14:textId="2C7199AF" w:rsidR="00C1795E" w:rsidRPr="00A831E7" w:rsidRDefault="00C1795E" w:rsidP="0057069D">
      <w:pPr>
        <w:pStyle w:val="4"/>
        <w:spacing w:line="360" w:lineRule="auto"/>
        <w:rPr>
          <w:b w:val="0"/>
          <w:bCs/>
        </w:rPr>
      </w:pPr>
      <w:r w:rsidRPr="00A831E7">
        <w:rPr>
          <w:bCs/>
        </w:rPr>
        <w:t>Άλλες MRI Εξετάσεις</w:t>
      </w:r>
    </w:p>
    <w:p w14:paraId="421E6236" w14:textId="644993F3" w:rsidR="00C1795E" w:rsidRPr="00A831E7" w:rsidRDefault="00C1795E" w:rsidP="0057069D">
      <w:pPr>
        <w:spacing w:line="360" w:lineRule="auto"/>
        <w:ind w:firstLine="120"/>
        <w:jc w:val="both"/>
        <w:rPr>
          <w:rFonts w:eastAsia="Calibri"/>
        </w:rPr>
      </w:pPr>
      <w:r w:rsidRPr="00A831E7">
        <w:rPr>
          <w:rFonts w:eastAsia="Calibri"/>
        </w:rPr>
        <w:t xml:space="preserve">Η Perfusion-Weighted Imaging (PWI-MRI) αξιολογεί την εγκεφαλική αιματική ροή και τον όγκο αίματος μέσω έγχυσης σκιαγραφικού, επιτρέποντας την πρώιμη απεικόνιση της θέσης και της έκτασης της ισχαιμίας </w:t>
      </w:r>
      <w:r w:rsidRPr="00A831E7">
        <w:rPr>
          <w:rFonts w:eastAsia="Calibri"/>
        </w:rPr>
        <w:fldChar w:fldCharType="begin"/>
      </w:r>
      <w:r w:rsidRPr="00A831E7">
        <w:rPr>
          <w:rFonts w:eastAsia="Calibri"/>
        </w:rPr>
        <w:instrText xml:space="preserve"> ADDIN ZOTERO_ITEM CSL_CITATION {"citationID":"fuwxuz3H","properties":{"formattedCitation":"[12]","plainCitation":"[12]","noteIndex":0},"citationItems":[{"id":266,"uris":["http://zotero.org/users/local/mfHf28QG/items/7WV47UKH"],"itemData":{"id":266,"type":"article-journal","abstract":"Stroke,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w:t>
      </w:r>
    </w:p>
    <w:p w14:paraId="193952A2" w14:textId="44FA44D4" w:rsidR="00C1795E" w:rsidRPr="00A831E7" w:rsidRDefault="00C1795E" w:rsidP="0057069D">
      <w:pPr>
        <w:spacing w:line="360" w:lineRule="auto"/>
        <w:ind w:firstLine="720"/>
        <w:jc w:val="both"/>
        <w:rPr>
          <w:rFonts w:eastAsia="Calibri"/>
        </w:rPr>
      </w:pPr>
      <w:r w:rsidRPr="00A831E7">
        <w:rPr>
          <w:rFonts w:eastAsia="Calibri"/>
        </w:rPr>
        <w:t xml:space="preserve">Η MRS καταγράφει μεταβολές στο ATP, το γαλακτικό οξύ και το pH, βοηθώντας στη διάκριση των μη βιώσιμων εγκεφαλικών περιοχών από εκείνες που μπορεί να σωθούν </w:t>
      </w:r>
      <w:r w:rsidRPr="00A831E7">
        <w:rPr>
          <w:rFonts w:eastAsia="Calibri"/>
        </w:rPr>
        <w:fldChar w:fldCharType="begin"/>
      </w:r>
      <w:r w:rsidRPr="00A831E7">
        <w:rPr>
          <w:rFonts w:eastAsia="Calibri"/>
        </w:rPr>
        <w:instrText xml:space="preserve"> ADDIN ZOTERO_ITEM CSL_CITATION {"citationID":"tYT6PcYk","properties":{"formattedCitation":"[12]","plainCitation":"[12]","noteIndex":0},"citationItems":[{"id":266,"uris":["http://zotero.org/users/local/mfHf28QG/items/7WV47UKH"],"itemData":{"id":266,"type":"article-journal","abstract":"Stroke,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45AAB419" w14:textId="4379027F" w:rsidR="00C1795E" w:rsidRPr="00A831E7" w:rsidRDefault="00C1795E" w:rsidP="0057069D">
      <w:pPr>
        <w:spacing w:line="360" w:lineRule="auto"/>
        <w:ind w:firstLine="720"/>
        <w:jc w:val="both"/>
        <w:rPr>
          <w:rFonts w:eastAsia="Calibri"/>
        </w:rPr>
      </w:pPr>
      <w:r w:rsidRPr="00A831E7">
        <w:rPr>
          <w:rFonts w:eastAsia="Calibri"/>
        </w:rPr>
        <w:t xml:space="preserve">Η fMRI ανιχνεύει μεταβολές στην οξυγόνωση και τη ροή του αίματος, παρέχοντας πληροφορίες για τη νευρολογική αποκατάσταση των ασθενών </w:t>
      </w:r>
      <w:r w:rsidRPr="00A831E7">
        <w:rPr>
          <w:rFonts w:eastAsia="Calibri"/>
        </w:rPr>
        <w:fldChar w:fldCharType="begin"/>
      </w:r>
      <w:r w:rsidRPr="00A831E7">
        <w:rPr>
          <w:rFonts w:eastAsia="Calibri"/>
        </w:rPr>
        <w:instrText xml:space="preserve"> ADDIN ZOTERO_ITEM CSL_CITATION {"citationID":"FOPUdmgT","properties":{"unsorted":true,"formattedCitation":"[12]","plainCitation":"[12]","noteIndex":0},"citationItems":[{"id":266,"uris":["http://zotero.org/users/local/mfHf28QG/items/7WV47UKH"],"itemData":{"id":266,"type":"article-journal","abstract":"Stroke,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46D8AF72" w14:textId="0013F2B6" w:rsidR="00C1795E" w:rsidRPr="00A831E7" w:rsidRDefault="00C1795E" w:rsidP="0057069D">
      <w:pPr>
        <w:spacing w:line="360" w:lineRule="auto"/>
        <w:ind w:firstLine="720"/>
        <w:jc w:val="both"/>
        <w:rPr>
          <w:rFonts w:eastAsia="Calibri"/>
        </w:rPr>
      </w:pPr>
      <w:r w:rsidRPr="00A831E7">
        <w:rPr>
          <w:rFonts w:eastAsia="Calibri"/>
        </w:rPr>
        <w:t xml:space="preserve">Η MRI-DTI προσφέρει λεπτομερείς πληροφορίες για τις βλάβες στη λευκή ουσία, συσχετιζόμενη με τη γνωστική λειτουργία και επιτρέποντας την παρακολούθηση της εξέλιξης της νευρολογικής βλάβης </w:t>
      </w:r>
      <w:r w:rsidRPr="00A831E7">
        <w:rPr>
          <w:rFonts w:eastAsia="Calibri"/>
        </w:rPr>
        <w:fldChar w:fldCharType="begin"/>
      </w:r>
      <w:r w:rsidRPr="00A831E7">
        <w:rPr>
          <w:rFonts w:eastAsia="Calibri"/>
        </w:rPr>
        <w:instrText xml:space="preserve"> ADDIN ZOTERO_ITEM CSL_CITATION {"citationID":"7giIRTLR","properties":{"formattedCitation":"[12]","plainCitation":"[12]","noteIndex":0},"citationItems":[{"id":266,"uris":["http://zotero.org/users/local/mfHf28QG/items/7WV47UKH"],"itemData":{"id":266,"type":"article-journal","abstract":"Stroke,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003D15BC" w:rsidRPr="00A831E7">
        <w:rPr>
          <w:rFonts w:eastAsia="Calibri"/>
        </w:rPr>
        <w:t>.</w:t>
      </w:r>
    </w:p>
    <w:p w14:paraId="7B294756" w14:textId="7291A08C" w:rsidR="00C1795E" w:rsidRPr="008F5904" w:rsidRDefault="00C1795E" w:rsidP="008F5904">
      <w:pPr>
        <w:pStyle w:val="3"/>
      </w:pPr>
      <w:bookmarkStart w:id="78" w:name="_Toc199946466"/>
      <w:r w:rsidRPr="008F5904">
        <w:t>Εξετάσεις Υπερήχων</w:t>
      </w:r>
      <w:bookmarkEnd w:id="78"/>
    </w:p>
    <w:p w14:paraId="3D78D487" w14:textId="4829761D" w:rsidR="003D15BC" w:rsidRPr="00A831E7" w:rsidRDefault="003D15BC" w:rsidP="0057069D">
      <w:pPr>
        <w:spacing w:line="360" w:lineRule="auto"/>
        <w:ind w:firstLine="720"/>
        <w:jc w:val="both"/>
        <w:rPr>
          <w:rFonts w:eastAsia="Calibri"/>
        </w:rPr>
      </w:pPr>
      <w:r w:rsidRPr="00A831E7">
        <w:rPr>
          <w:rFonts w:eastAsia="Calibri"/>
        </w:rPr>
        <w:t xml:space="preserve">To </w:t>
      </w:r>
      <w:r w:rsidR="005403E6">
        <w:rPr>
          <w:rFonts w:eastAsia="Calibri"/>
        </w:rPr>
        <w:t>υ</w:t>
      </w:r>
      <w:r w:rsidRPr="00A831E7">
        <w:rPr>
          <w:rFonts w:eastAsia="Calibri"/>
        </w:rPr>
        <w:t xml:space="preserve">περηχογράφημα </w:t>
      </w:r>
      <w:r w:rsidR="005403E6">
        <w:rPr>
          <w:rFonts w:eastAsia="Calibri"/>
        </w:rPr>
        <w:t>κ</w:t>
      </w:r>
      <w:r w:rsidRPr="00A831E7">
        <w:rPr>
          <w:rFonts w:eastAsia="Calibri"/>
        </w:rPr>
        <w:t xml:space="preserve">αρωτίδας (CU) επιτρέπει την απεικόνιση του εσωτερικού των καρωτιδικών αρτηριών και την ανίχνευση αθηρωματικής πλάκας που μπορεί να προκαλέσει στένωση ή απόφραξη, ενώ μπορεί να ενσωματώνει υπέρηχους  Doppler για την ανάλυση της ταχύτητας και της κατεύθυνσης της ροής του αίματος </w:t>
      </w:r>
      <w:r w:rsidRPr="00A831E7">
        <w:rPr>
          <w:rFonts w:eastAsia="Calibri"/>
        </w:rPr>
        <w:fldChar w:fldCharType="begin"/>
      </w:r>
      <w:r w:rsidRPr="00A831E7">
        <w:rPr>
          <w:rFonts w:eastAsia="Calibri"/>
        </w:rPr>
        <w:instrText xml:space="preserve"> ADDIN ZOTERO_ITEM CSL_CITATION {"citationID":"0cNgwmH8","properties":{"formattedCitation":"[12]","plainCitation":"[12]","noteIndex":0},"citationItems":[{"id":266,"uris":["http://zotero.org/users/local/mfHf28QG/items/7WV47UKH"],"itemData":{"id":266,"type":"article-journal","abstract":"Stroke,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00D01E56" w14:textId="06B1086E" w:rsidR="003D15BC" w:rsidRPr="00A831E7" w:rsidRDefault="003D15BC" w:rsidP="0057069D">
      <w:pPr>
        <w:spacing w:line="360" w:lineRule="auto"/>
        <w:ind w:firstLine="720"/>
        <w:jc w:val="both"/>
        <w:rPr>
          <w:rFonts w:eastAsia="Calibri"/>
        </w:rPr>
      </w:pPr>
      <w:r w:rsidRPr="00A831E7">
        <w:rPr>
          <w:rFonts w:eastAsia="Calibri"/>
        </w:rPr>
        <w:t xml:space="preserve">Το B-Mode Υπερηχογράφημα Καρωτίδας (B-CU) δημιουργεί τρισδιάστατη εικόνα του τοιχώματος της αρτηρίας και των γύρω δομών, παρέχοντας πληροφορίες για τη φύση και την έκταση της βλάβης, αν και δεν μπορεί πάντα να αναδείξει θρόμβους ή να διαχωρίσει μια στένωση από πλήρη απόφραξη </w:t>
      </w:r>
      <w:r w:rsidRPr="00A831E7">
        <w:rPr>
          <w:rFonts w:eastAsia="Calibri"/>
        </w:rPr>
        <w:fldChar w:fldCharType="begin"/>
      </w:r>
      <w:r w:rsidRPr="00A831E7">
        <w:rPr>
          <w:rFonts w:eastAsia="Calibri"/>
        </w:rPr>
        <w:instrText xml:space="preserve"> ADDIN ZOTERO_ITEM CSL_CITATION {"citationID":"rpJyGBkQ","properties":{"formattedCitation":"[12]","plainCitation":"[12]","noteIndex":0},"citationItems":[{"id":266,"uris":["http://zotero.org/users/local/mfHf28QG/items/7WV47UKH"],"itemData":{"id":266,"type":"article-journal","abstract":"Stroke,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6B0ED2F9" w14:textId="17960E84" w:rsidR="003D15BC" w:rsidRPr="00A831E7" w:rsidRDefault="003D15BC" w:rsidP="0057069D">
      <w:pPr>
        <w:spacing w:line="360" w:lineRule="auto"/>
        <w:ind w:firstLine="720"/>
        <w:jc w:val="both"/>
        <w:rPr>
          <w:rFonts w:eastAsia="Calibri"/>
        </w:rPr>
      </w:pPr>
      <w:r w:rsidRPr="00A831E7">
        <w:rPr>
          <w:rFonts w:eastAsia="Calibri"/>
        </w:rPr>
        <w:t xml:space="preserve">Το Duplex Υπερηχογράφημα Καρωτίδας (D-CU) συνδυάζει B-mode απεικόνιση με παλμικό Doppler για πιο λεπτομερή αξιολόγηση της αρτηριακής κατάστασης </w:t>
      </w:r>
      <w:r w:rsidRPr="00A831E7">
        <w:rPr>
          <w:rFonts w:eastAsia="Calibri"/>
        </w:rPr>
        <w:fldChar w:fldCharType="begin"/>
      </w:r>
      <w:r w:rsidRPr="00A831E7">
        <w:rPr>
          <w:rFonts w:eastAsia="Calibri"/>
        </w:rPr>
        <w:instrText xml:space="preserve"> ADDIN ZOTERO_ITEM CSL_CITATION {"citationID":"9fWEsxNh","properties":{"formattedCitation":"[12]","plainCitation":"[12]","noteIndex":0},"citationItems":[{"id":266,"uris":["http://zotero.org/users/local/mfHf28QG/items/7WV47UKH"],"itemData":{"id":266,"type":"article-journal","abstract":"Stroke,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1E1D43A2" w14:textId="5D3A6264" w:rsidR="003D15BC" w:rsidRPr="00A831E7" w:rsidRDefault="003D15BC" w:rsidP="0057069D">
      <w:pPr>
        <w:spacing w:line="360" w:lineRule="auto"/>
        <w:ind w:firstLine="720"/>
        <w:jc w:val="both"/>
        <w:rPr>
          <w:rFonts w:eastAsia="Calibri"/>
        </w:rPr>
      </w:pPr>
      <w:r w:rsidRPr="00A831E7">
        <w:rPr>
          <w:rFonts w:eastAsia="Calibri"/>
        </w:rPr>
        <w:t xml:space="preserve">Ο Διακρανιακός Doppler (TCD) χρησιμοποιεί ανιχνευτή που τοποθετείται σε συγκεκριμένες θέσεις στο κρανίο ώστε να μετρήσει την ταχύτητα και την πίεση του αίματος σε διάφορα βάθη του εγκεφάλου, βοηθώντας στην ανίχνευση αποφράξεων ή αθηρωματικών πλακών στις εξωκρανιακές και μεγάλες ενδοκρανιακές αρτηρίες </w:t>
      </w:r>
      <w:r w:rsidRPr="00A831E7">
        <w:rPr>
          <w:rFonts w:eastAsia="Calibri"/>
        </w:rPr>
        <w:fldChar w:fldCharType="begin"/>
      </w:r>
      <w:r w:rsidRPr="00A831E7">
        <w:rPr>
          <w:rFonts w:eastAsia="Calibri"/>
        </w:rPr>
        <w:instrText xml:space="preserve"> ADDIN ZOTERO_ITEM CSL_CITATION {"citationID":"gseIYtnj","properties":{"formattedCitation":"[12]","plainCitation":"[12]","noteIndex":0},"citationItems":[{"id":266,"uris":["http://zotero.org/users/local/mfHf28QG/items/7WV47UKH"],"itemData":{"id":266,"type":"article-journal","abstract":"Stroke,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Y."}],"issued":{"date-parts":[["2017",8,3]]}},"suppress-author":true}],"schema":"https://github.com/citation-style-language/schema/raw/master/csl-citation.json"} </w:instrText>
      </w:r>
      <w:r w:rsidRPr="00A831E7">
        <w:rPr>
          <w:rFonts w:eastAsia="Calibri"/>
        </w:rPr>
        <w:fldChar w:fldCharType="separate"/>
      </w:r>
      <w:r w:rsidRPr="00A831E7">
        <w:rPr>
          <w:rFonts w:eastAsia="Calibri"/>
        </w:rPr>
        <w:t>[12]</w:t>
      </w:r>
      <w:r w:rsidRPr="00A831E7">
        <w:rPr>
          <w:rFonts w:eastAsia="Calibri"/>
        </w:rPr>
        <w:fldChar w:fldCharType="end"/>
      </w:r>
      <w:r w:rsidRPr="00A831E7">
        <w:rPr>
          <w:rFonts w:eastAsia="Calibri"/>
        </w:rPr>
        <w:t xml:space="preserve">. </w:t>
      </w:r>
    </w:p>
    <w:p w14:paraId="5317E924" w14:textId="77777777" w:rsidR="008A6E9D" w:rsidRPr="00A831E7" w:rsidRDefault="008A6E9D" w:rsidP="00C7272A">
      <w:pPr>
        <w:spacing w:line="360" w:lineRule="auto"/>
        <w:jc w:val="both"/>
        <w:rPr>
          <w:rFonts w:eastAsia="Calibri"/>
        </w:rPr>
      </w:pPr>
    </w:p>
    <w:p w14:paraId="643C641B" w14:textId="7BD957C4" w:rsidR="008A6E9D" w:rsidRPr="00A831E7" w:rsidRDefault="008A6E9D" w:rsidP="008A6E9D">
      <w:pPr>
        <w:pStyle w:val="2"/>
        <w:spacing w:line="360" w:lineRule="auto"/>
        <w:rPr>
          <w:rFonts w:ascii="Times New Roman" w:eastAsia="Calibri" w:hAnsi="Times New Roman" w:cs="Times New Roman"/>
          <w:b/>
          <w:bCs/>
          <w:i/>
          <w:iCs/>
          <w:color w:val="auto"/>
          <w:sz w:val="28"/>
          <w:szCs w:val="28"/>
        </w:rPr>
      </w:pPr>
      <w:bookmarkStart w:id="79" w:name="_Toc199787396"/>
      <w:bookmarkStart w:id="80" w:name="_Toc199946467"/>
      <w:r w:rsidRPr="00A831E7">
        <w:rPr>
          <w:rFonts w:ascii="Times New Roman" w:eastAsia="Calibri" w:hAnsi="Times New Roman" w:cs="Times New Roman"/>
          <w:b/>
          <w:bCs/>
          <w:i/>
          <w:iCs/>
          <w:color w:val="auto"/>
          <w:sz w:val="28"/>
          <w:szCs w:val="28"/>
        </w:rPr>
        <w:lastRenderedPageBreak/>
        <w:t>3.3 Αξιοποίηση AI και ML για ενίσχυση της διάγνωσης ΑΕΕ μέσω απεικονιστικών τεχνικών</w:t>
      </w:r>
      <w:bookmarkEnd w:id="79"/>
      <w:bookmarkEnd w:id="80"/>
    </w:p>
    <w:p w14:paraId="0A22EB3A" w14:textId="7E3BF080" w:rsidR="00F32EEE" w:rsidRPr="00A831E7" w:rsidRDefault="00AA5855" w:rsidP="008A6E9D">
      <w:pPr>
        <w:spacing w:line="360" w:lineRule="auto"/>
        <w:jc w:val="both"/>
      </w:pPr>
      <w:r w:rsidRPr="00A831E7">
        <w:rPr>
          <w:rFonts w:eastAsia="Calibri"/>
        </w:rPr>
        <w:tab/>
        <w:t xml:space="preserve">Η τεχνητή νοημοσύνη (ΑΙ) και η μηχανική μάθηση (ML) έχουν μεταμορφώσει τη διάγνωση του αγγειακού εγκεφαλικού επεισοδίου (ΑΕΕ), αξιοποιώντας εξελιγμένες απεικονιστικές τεχνικές. Με τη χρήση </w:t>
      </w:r>
      <w:r w:rsidR="001C4B0E">
        <w:t>επιβλεπόμενης</w:t>
      </w:r>
      <w:r w:rsidR="008556B7">
        <w:rPr>
          <w:rFonts w:eastAsia="Calibri"/>
        </w:rPr>
        <w:t xml:space="preserve"> μηχανικής μάθησης</w:t>
      </w:r>
      <w:r w:rsidRPr="00A831E7">
        <w:rPr>
          <w:rFonts w:eastAsia="Calibri"/>
        </w:rPr>
        <w:t xml:space="preserve"> </w:t>
      </w:r>
      <w:r w:rsidR="008556B7">
        <w:rPr>
          <w:rFonts w:eastAsia="Calibri"/>
        </w:rPr>
        <w:t>(</w:t>
      </w:r>
      <w:r w:rsidRPr="00A831E7">
        <w:rPr>
          <w:rFonts w:eastAsia="Calibri"/>
        </w:rPr>
        <w:t>ML</w:t>
      </w:r>
      <w:r w:rsidR="008556B7">
        <w:rPr>
          <w:rFonts w:eastAsia="Calibri"/>
        </w:rPr>
        <w:t>)</w:t>
      </w:r>
      <w:r w:rsidRPr="00A831E7">
        <w:rPr>
          <w:rFonts w:eastAsia="Calibri"/>
        </w:rPr>
        <w:t xml:space="preserve"> και </w:t>
      </w:r>
      <w:r w:rsidR="008556B7">
        <w:rPr>
          <w:rFonts w:eastAsia="Calibri"/>
        </w:rPr>
        <w:t>βαθιάς μάθησης (</w:t>
      </w:r>
      <w:r w:rsidRPr="00A831E7">
        <w:rPr>
          <w:rFonts w:eastAsia="Calibri"/>
        </w:rPr>
        <w:t>DL</w:t>
      </w:r>
      <w:r w:rsidR="008556B7">
        <w:rPr>
          <w:rFonts w:eastAsia="Calibri"/>
        </w:rPr>
        <w:t>)</w:t>
      </w:r>
      <w:r w:rsidRPr="00A831E7">
        <w:rPr>
          <w:rFonts w:eastAsia="Calibri"/>
        </w:rPr>
        <w:t xml:space="preserve">, τα συστήματα AI μπορούν να αναγνωρίσουν μοτίβα σε σύνθετα δεδομένα απεικόνισης, βελτιώνοντας την ταχύτητα και την ακρίβεια της διάγνωσης. Αυτή η ενότητα </w:t>
      </w:r>
      <w:r w:rsidRPr="00A831E7">
        <w:t xml:space="preserve">επικεντρώνεται ειδικά στις εφαρμογές CT και MRI λόγω της συνήθους χρήσης αυτών των απεικονιστικών τεχνικών για τη διάγνωση και τη λήψη αποφάσεων θεραπείας, αν και μερικές </w:t>
      </w:r>
      <w:r w:rsidR="001C4B0E">
        <w:t>επιβλεπόμενες</w:t>
      </w:r>
      <w:r w:rsidRPr="00A831E7">
        <w:t xml:space="preserve"> τεχνικές ML και DL έχουν προταθεί για άλλες εξετάσεις</w:t>
      </w:r>
      <w:r w:rsidR="00A91598" w:rsidRPr="00A831E7">
        <w:t xml:space="preserve"> όπως</w:t>
      </w:r>
      <w:r w:rsidRPr="00A831E7">
        <w:t xml:space="preserve"> PET και υπερηχογράφημα </w:t>
      </w:r>
      <w:r w:rsidRPr="00A831E7">
        <w:fldChar w:fldCharType="begin"/>
      </w:r>
      <w:r w:rsidRPr="00A831E7">
        <w:instrText xml:space="preserve"> ADDIN ZOTERO_ITEM CSL_CITATION {"citationID":"NzVNaAKh","properties":{"formattedCitation":"[26]","plainCitation":"[26]","noteIndex":0},"citationItems":[{"id":1211,"uris":["http://zotero.org/users/local/mfHf28QG/items/9FUW65EX"],"itemData":{"id":1211,"type":"article-journal","abstract":"Artificial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Pr="00A831E7">
        <w:fldChar w:fldCharType="separate"/>
      </w:r>
      <w:r w:rsidRPr="00A831E7">
        <w:t>[26]</w:t>
      </w:r>
      <w:r w:rsidRPr="00A831E7">
        <w:fldChar w:fldCharType="end"/>
      </w:r>
      <w:r w:rsidRPr="00A831E7">
        <w:t xml:space="preserve">. </w:t>
      </w:r>
    </w:p>
    <w:p w14:paraId="06DF9409" w14:textId="77777777" w:rsidR="008A6E9D" w:rsidRPr="00A831E7" w:rsidRDefault="008A6E9D" w:rsidP="008A6E9D">
      <w:pPr>
        <w:spacing w:line="360" w:lineRule="auto"/>
        <w:jc w:val="both"/>
        <w:rPr>
          <w:rFonts w:eastAsia="Calibri"/>
          <w:b/>
          <w:bCs/>
          <w:i/>
          <w:iCs/>
          <w:sz w:val="28"/>
          <w:szCs w:val="28"/>
        </w:rPr>
      </w:pPr>
    </w:p>
    <w:p w14:paraId="14647DAA" w14:textId="13944ACB" w:rsidR="00AA5855" w:rsidRPr="008F5904" w:rsidRDefault="00AA5855" w:rsidP="008F5904">
      <w:pPr>
        <w:pStyle w:val="3"/>
      </w:pPr>
      <w:bookmarkStart w:id="81" w:name="_Toc199787397"/>
      <w:bookmarkStart w:id="82" w:name="_Toc199946468"/>
      <w:r w:rsidRPr="008F5904">
        <w:t>3.3.1 Διαλογή και  Διαχείριση Φόρτου Εργασίας</w:t>
      </w:r>
      <w:bookmarkEnd w:id="81"/>
      <w:bookmarkEnd w:id="82"/>
    </w:p>
    <w:p w14:paraId="01E714F8" w14:textId="0131C8DA" w:rsidR="00470303" w:rsidRDefault="00297815" w:rsidP="0057069D">
      <w:pPr>
        <w:spacing w:line="360" w:lineRule="auto"/>
        <w:jc w:val="both"/>
        <w:rPr>
          <w:rFonts w:eastAsia="Calibri"/>
        </w:rPr>
      </w:pPr>
      <w:r w:rsidRPr="00A831E7">
        <w:tab/>
        <w:t xml:space="preserve">Για την αντιμετώπιση των </w:t>
      </w:r>
      <w:r w:rsidRPr="00A831E7">
        <w:rPr>
          <w:rFonts w:eastAsia="Calibri"/>
        </w:rPr>
        <w:t>αγγειακών εγκεφαλικών επεισοδίων (ΑΕΕ) είναι σημαντικό να υπάρχει ιεράρχ</w:t>
      </w:r>
      <w:r w:rsidR="00251C2F" w:rsidRPr="00A831E7">
        <w:rPr>
          <w:rFonts w:eastAsia="Calibri"/>
        </w:rPr>
        <w:t>η</w:t>
      </w:r>
      <w:r w:rsidRPr="00A831E7">
        <w:rPr>
          <w:rFonts w:eastAsia="Calibri"/>
        </w:rPr>
        <w:t xml:space="preserve">ση του φόρτου εργασίας αλλά και των γνωματεύσεων των νευροακτινολόγων που προκύπτουν από απεικονιστικές εξετάσεις. Μια τέτοια μέθοδος χρησιμοποιήθηκε από τους </w:t>
      </w:r>
      <w:r w:rsidR="006A34AB" w:rsidRPr="00A831E7">
        <w:rPr>
          <w:rFonts w:eastAsia="Calibri"/>
        </w:rPr>
        <w:t>Prevedello et al</w:t>
      </w:r>
      <w:r w:rsidRPr="00A831E7">
        <w:rPr>
          <w:rFonts w:eastAsia="Calibri"/>
        </w:rPr>
        <w:t>.</w:t>
      </w:r>
      <w:r w:rsidR="006A34AB" w:rsidRPr="00A831E7">
        <w:rPr>
          <w:rFonts w:eastAsia="Calibri"/>
        </w:rPr>
        <w:t xml:space="preserve"> </w:t>
      </w:r>
      <w:r w:rsidR="006A34AB" w:rsidRPr="00A831E7">
        <w:rPr>
          <w:rFonts w:eastAsia="Calibri"/>
        </w:rPr>
        <w:fldChar w:fldCharType="begin"/>
      </w:r>
      <w:r w:rsidR="006A34AB" w:rsidRPr="00A831E7">
        <w:rPr>
          <w:rFonts w:eastAsia="Calibri"/>
        </w:rPr>
        <w:instrText xml:space="preserve"> ADDIN ZOTERO_ITEM CSL_CITATION {"citationID":"3MLAnh9J","properties":{"formattedCitation":"[35]","plainCitation":"[35]","noteIndex":0},"citationItems":[{"id":1602,"uris":["http://zotero.org/users/local/mfHf28QG/items/9AGQFDW2"],"itemData":{"id":1602,"type":"article-journal","abstract":"Artificial intelligence using deep learning algorithms shows promise in detecting emergent neurologic disease at noncontrast-enhanced head CT, which supports further evaluation of the algorithms wi...","archive_location":"world","container-title":"Radiology","DOI":"10.1148/radiol.2017162664","language":"EN","license":"2017 by the Radiological Society of North America, Inc.","note":"publisher: Radiological Society of North America","source":"pubs.rsna.org","title":"Automated Critical Test Findings Identification and Online Notification System Using Artificial Intelligence in Imaging","URL":"https://pubs.rsna.org/doi/10.1148/radiol.2017162664","author":[{"family":"Prevedello","given":"Luciano M."},{"family":"Erdal","given":"Barbaros S."},{"family":"Ryu","given":"John L."},{"family":"Little","given":"Kevin J."},{"family":"Demirer","given":"Mutlu"},{"family":"Qian","given":"Songyue"},{"family":"White","given":"Richard D."}],"accessed":{"date-parts":[["2025",5,13]]},"issued":{"date-parts":[["2017",7,3]]}},"suppress-author":true}],"schema":"https://github.com/citation-style-language/schema/raw/master/csl-citation.json"} </w:instrText>
      </w:r>
      <w:r w:rsidR="006A34AB" w:rsidRPr="00A831E7">
        <w:rPr>
          <w:rFonts w:eastAsia="Calibri"/>
        </w:rPr>
        <w:fldChar w:fldCharType="separate"/>
      </w:r>
      <w:r w:rsidR="006A34AB" w:rsidRPr="00A831E7">
        <w:rPr>
          <w:rFonts w:eastAsia="Calibri"/>
        </w:rPr>
        <w:t>[35]</w:t>
      </w:r>
      <w:r w:rsidR="006A34AB" w:rsidRPr="00A831E7">
        <w:rPr>
          <w:rFonts w:eastAsia="Calibri"/>
        </w:rPr>
        <w:fldChar w:fldCharType="end"/>
      </w:r>
      <w:r w:rsidR="006A34AB" w:rsidRPr="00A831E7">
        <w:rPr>
          <w:rFonts w:eastAsia="Calibri"/>
        </w:rPr>
        <w:t xml:space="preserve">. Οι ερευνητές εξέτασαν τεχνικές ΑΙ για την ιεράρχηση απεικονιστικών δεδομένων και τη συνολική διαχείριση ροής εργασίας χρησιμοποιώντας έναν παραδοσιακό αλγόριθμο ML για την ανίχνευση εγκεφαλικού επεισοδίου σε σύνολα δεδομένων non-contrast CT. Ανέπτυξαν ένα </w:t>
      </w:r>
      <w:r w:rsidR="00251C2F" w:rsidRPr="00A831E7">
        <w:rPr>
          <w:rFonts w:eastAsia="Calibri"/>
        </w:rPr>
        <w:t>«</w:t>
      </w:r>
      <w:r w:rsidR="006A34AB" w:rsidRPr="00A831E7">
        <w:rPr>
          <w:rFonts w:eastAsia="Calibri"/>
        </w:rPr>
        <w:t>pipeline</w:t>
      </w:r>
      <w:r w:rsidR="00251C2F" w:rsidRPr="00A831E7">
        <w:rPr>
          <w:rFonts w:eastAsia="Calibri"/>
        </w:rPr>
        <w:t>»</w:t>
      </w:r>
      <w:r w:rsidR="006A34AB" w:rsidRPr="00A831E7">
        <w:rPr>
          <w:rFonts w:eastAsia="Calibri"/>
        </w:rPr>
        <w:t xml:space="preserve"> επεξεργασίας AEE, στον οποίο τα δεδομένα CT υποβάλλονται αρχικά σε προεπεξεργασία και στη συνέχεια περνούν από ένα σύστημα DL για την ανίχνευση εγκεφαλικού επεισοδίου </w:t>
      </w:r>
      <w:r w:rsidR="006A34AB" w:rsidRPr="00A831E7">
        <w:rPr>
          <w:rFonts w:eastAsia="Calibri"/>
        </w:rPr>
        <w:fldChar w:fldCharType="begin"/>
      </w:r>
      <w:r w:rsidR="006A34AB" w:rsidRPr="00A831E7">
        <w:rPr>
          <w:rFonts w:eastAsia="Calibri"/>
        </w:rPr>
        <w:instrText xml:space="preserve"> ADDIN ZOTERO_ITEM CSL_CITATION {"citationID":"km2s3CR5","properties":{"formattedCitation":"[35]","plainCitation":"[35]","noteIndex":0},"citationItems":[{"id":1602,"uris":["http://zotero.org/users/local/mfHf28QG/items/9AGQFDW2"],"itemData":{"id":1602,"type":"article-journal","abstract":"Artificial intelligence using deep learning algorithms shows promise in detecting emergent neurologic disease at noncontrast-enhanced head CT, which supports further evaluation of the algorithms wi...","archive_location":"world","container-title":"Radiology","DOI":"10.1148/radiol.2017162664","language":"EN","license":"2017 by the Radiological Society of North America, Inc.","note":"publisher: Radiological Society of North America","source":"pubs.rsna.org","title":"Automated Critical Test Findings Identification and Online Notification System Using Artificial Intelligence in Imaging","URL":"https://pubs.rsna.org/doi/10.1148/radiol.2017162664","author":[{"family":"Prevedello","given":"Luciano M."},{"family":"Erdal","given":"Barbaros S."},{"family":"Ryu","given":"John L."},{"family":"Little","given":"Kevin J."},{"family":"Demirer","given":"Mutlu"},{"family":"Qian","given":"Songyue"},{"family":"White","given":"Richard D."}],"accessed":{"date-parts":[["2025",5,13]]},"issued":{"date-parts":[["2017",7,3]]}},"suppress-author":true}],"schema":"https://github.com/citation-style-language/schema/raw/master/csl-citation.json"} </w:instrText>
      </w:r>
      <w:r w:rsidR="006A34AB" w:rsidRPr="00A831E7">
        <w:rPr>
          <w:rFonts w:eastAsia="Calibri"/>
        </w:rPr>
        <w:fldChar w:fldCharType="separate"/>
      </w:r>
      <w:r w:rsidR="006A34AB" w:rsidRPr="00A831E7">
        <w:rPr>
          <w:rFonts w:eastAsia="Calibri"/>
        </w:rPr>
        <w:t>[35]</w:t>
      </w:r>
      <w:r w:rsidR="006A34AB" w:rsidRPr="00A831E7">
        <w:rPr>
          <w:rFonts w:eastAsia="Calibri"/>
        </w:rPr>
        <w:fldChar w:fldCharType="end"/>
      </w:r>
      <w:r w:rsidR="006A34AB" w:rsidRPr="00A831E7">
        <w:rPr>
          <w:rFonts w:eastAsia="Calibri"/>
        </w:rPr>
        <w:t xml:space="preserve">. Παρότι δεν αναφέρονται χρονικές βελτιώσεις λόγω ιεράρχησης, η αναφερόμενη ευαισθησία είναι στο 62% και η ειδικότητα στο 96% σχετικά με την ανίχνευση ΑΕΕ μέσα από σετ CT δεδομένων. Οι συγκεκριμένες επιδόσεις συνάδουν με τα αποτελέσματα παρόμοιων μελετών </w:t>
      </w:r>
      <w:r w:rsidR="006A34AB" w:rsidRPr="00A831E7">
        <w:rPr>
          <w:rFonts w:eastAsia="Calibri"/>
        </w:rPr>
        <w:fldChar w:fldCharType="begin"/>
      </w:r>
      <w:r w:rsidR="006A34AB" w:rsidRPr="00A831E7">
        <w:rPr>
          <w:rFonts w:eastAsia="Calibri"/>
        </w:rPr>
        <w:instrText xml:space="preserve"> ADDIN ZOTERO_ITEM CSL_CITATION {"citationID":"OS3UxUKD","properties":{"formattedCitation":"[26]","plainCitation":"[26]","noteIndex":0},"citationItems":[{"id":1211,"uris":["http://zotero.org/users/local/mfHf28QG/items/9FUW65EX"],"itemData":{"id":1211,"type":"article-journal","abstract":"Artificial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006A34AB" w:rsidRPr="00A831E7">
        <w:rPr>
          <w:rFonts w:eastAsia="Calibri"/>
        </w:rPr>
        <w:fldChar w:fldCharType="separate"/>
      </w:r>
      <w:r w:rsidR="006A34AB" w:rsidRPr="00A831E7">
        <w:rPr>
          <w:rFonts w:eastAsia="Calibri"/>
        </w:rPr>
        <w:t>[26]</w:t>
      </w:r>
      <w:r w:rsidR="006A34AB" w:rsidRPr="00A831E7">
        <w:rPr>
          <w:rFonts w:eastAsia="Calibri"/>
        </w:rPr>
        <w:fldChar w:fldCharType="end"/>
      </w:r>
      <w:r w:rsidR="006A34AB" w:rsidRPr="00A831E7">
        <w:rPr>
          <w:rFonts w:eastAsia="Calibri"/>
        </w:rPr>
        <w:t xml:space="preserve">. Κατέληξαν στο συμπέρασμα ότι ο αλγόριθμός τους μπορεί να λειτουργήσει ως εργαλείο ταχείας ανίχνευσης, επιτρέποντας την άμεση ειδοποίηση των γιατρών για ύποπτα ευρήματα </w:t>
      </w:r>
      <w:r w:rsidR="006A34AB" w:rsidRPr="00A831E7">
        <w:rPr>
          <w:rFonts w:eastAsia="Calibri"/>
        </w:rPr>
        <w:fldChar w:fldCharType="begin"/>
      </w:r>
      <w:r w:rsidR="006A34AB" w:rsidRPr="00A831E7">
        <w:rPr>
          <w:rFonts w:eastAsia="Calibri"/>
        </w:rPr>
        <w:instrText xml:space="preserve"> ADDIN ZOTERO_ITEM CSL_CITATION {"citationID":"ZL4dabI6","properties":{"formattedCitation":"[35]","plainCitation":"[35]","noteIndex":0},"citationItems":[{"id":1602,"uris":["http://zotero.org/users/local/mfHf28QG/items/9AGQFDW2"],"itemData":{"id":1602,"type":"article-journal","abstract":"Artificial intelligence using deep learning algorithms shows promise in detecting emergent neurologic disease at noncontrast-enhanced head CT, which supports further evaluation of the algorithms wi...","archive_location":"world","container-title":"Radiology","DOI":"10.1148/radiol.2017162664","language":"EN","license":"2017 by the Radiological Society of North America, Inc.","note":"publisher: Radiological Society of North America","source":"pubs.rsna.org","title":"Automated Critical Test Findings Identification and Online Notification System Using Artificial Intelligence in Imaging","URL":"https://pubs.rsna.org/doi/10.1148/radiol.2017162664","author":[{"family":"Prevedello","given":"Luciano M."},{"family":"Erdal","given":"Barbaros S."},{"family":"Ryu","given":"John L."},{"family":"Little","given":"Kevin J."},{"family":"Demirer","given":"Mutlu"},{"family":"Qian","given":"Songyue"},{"family":"White","given":"Richard D."}],"accessed":{"date-parts":[["2025",5,13]]},"issued":{"date-parts":[["2017",7,3]]}},"suppress-author":true}],"schema":"https://github.com/citation-style-language/schema/raw/master/csl-citation.json"} </w:instrText>
      </w:r>
      <w:r w:rsidR="006A34AB" w:rsidRPr="00A831E7">
        <w:rPr>
          <w:rFonts w:eastAsia="Calibri"/>
        </w:rPr>
        <w:fldChar w:fldCharType="separate"/>
      </w:r>
      <w:r w:rsidR="006A34AB" w:rsidRPr="00A831E7">
        <w:rPr>
          <w:rFonts w:eastAsia="Calibri"/>
        </w:rPr>
        <w:t>[35]</w:t>
      </w:r>
      <w:r w:rsidR="006A34AB" w:rsidRPr="00A831E7">
        <w:rPr>
          <w:rFonts w:eastAsia="Calibri"/>
        </w:rPr>
        <w:fldChar w:fldCharType="end"/>
      </w:r>
      <w:r w:rsidR="006A34AB" w:rsidRPr="00A831E7">
        <w:rPr>
          <w:rFonts w:eastAsia="Calibri"/>
        </w:rPr>
        <w:t>.</w:t>
      </w:r>
    </w:p>
    <w:p w14:paraId="1CC183C7" w14:textId="77777777" w:rsidR="00B07E2B" w:rsidRPr="00A831E7" w:rsidRDefault="00B07E2B" w:rsidP="0057069D">
      <w:pPr>
        <w:spacing w:line="360" w:lineRule="auto"/>
        <w:jc w:val="both"/>
        <w:rPr>
          <w:rFonts w:eastAsia="Calibri"/>
        </w:rPr>
      </w:pPr>
    </w:p>
    <w:p w14:paraId="128E50E8" w14:textId="31E0E4AC" w:rsidR="005F5AD6" w:rsidRPr="008F5904" w:rsidRDefault="00470303" w:rsidP="008F5904">
      <w:pPr>
        <w:pStyle w:val="3"/>
      </w:pPr>
      <w:bookmarkStart w:id="83" w:name="_Toc199787398"/>
      <w:bookmarkStart w:id="84" w:name="_Toc199946469"/>
      <w:r w:rsidRPr="008F5904">
        <w:lastRenderedPageBreak/>
        <w:t>3.3.2 Βελτιστοποίηση Εικόνας</w:t>
      </w:r>
      <w:bookmarkEnd w:id="83"/>
      <w:bookmarkEnd w:id="84"/>
    </w:p>
    <w:p w14:paraId="726B3D92" w14:textId="36F36D71" w:rsidR="00470303" w:rsidRPr="00A831E7" w:rsidRDefault="00470303" w:rsidP="0057069D">
      <w:pPr>
        <w:spacing w:line="360" w:lineRule="auto"/>
        <w:ind w:firstLine="720"/>
        <w:jc w:val="both"/>
        <w:rPr>
          <w:rFonts w:eastAsia="Calibri"/>
        </w:rPr>
      </w:pPr>
      <w:r w:rsidRPr="00A831E7">
        <w:rPr>
          <w:rFonts w:eastAsia="Calibri"/>
        </w:rPr>
        <w:t xml:space="preserve">Η τεχνητή νοημοσύνη έχει δείξει απίστευτη πρόοδο τον τελευταίο καιρό σε τεχνικές βελτιστοποίησης εικόνας και η βελτίωση της συνολικής ποιότητας </w:t>
      </w:r>
      <w:r w:rsidRPr="00A831E7">
        <w:rPr>
          <w:rFonts w:eastAsia="Calibri"/>
        </w:rPr>
        <w:fldChar w:fldCharType="begin"/>
      </w:r>
      <w:r w:rsidRPr="00A831E7">
        <w:rPr>
          <w:rFonts w:eastAsia="Calibri"/>
        </w:rPr>
        <w:instrText xml:space="preserve"> ADDIN ZOTERO_ITEM CSL_CITATION {"citationID":"eUShqJsO","properties":{"formattedCitation":"[26]","plainCitation":"[26]","noteIndex":0},"citationItems":[{"id":1211,"uris":["http://zotero.org/users/local/mfHf28QG/items/9FUW65EX"],"itemData":{"id":1211,"type":"article-journal","abstract":"Artificial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Pr="00A831E7">
        <w:rPr>
          <w:rFonts w:eastAsia="Calibri"/>
        </w:rPr>
        <w:fldChar w:fldCharType="separate"/>
      </w:r>
      <w:r w:rsidRPr="00A831E7">
        <w:rPr>
          <w:rFonts w:eastAsia="Calibri"/>
        </w:rPr>
        <w:t>[26]</w:t>
      </w:r>
      <w:r w:rsidRPr="00A831E7">
        <w:rPr>
          <w:rFonts w:eastAsia="Calibri"/>
        </w:rPr>
        <w:fldChar w:fldCharType="end"/>
      </w:r>
      <w:r w:rsidRPr="00A831E7">
        <w:rPr>
          <w:rFonts w:eastAsia="Calibri"/>
        </w:rPr>
        <w:t>. Αυτές οι διαδικασίες</w:t>
      </w:r>
      <w:r w:rsidR="005607D0" w:rsidRPr="00A831E7">
        <w:rPr>
          <w:rFonts w:eastAsia="Calibri"/>
        </w:rPr>
        <w:t xml:space="preserve"> </w:t>
      </w:r>
      <w:r w:rsidRPr="00A831E7">
        <w:rPr>
          <w:rFonts w:eastAsia="Calibri"/>
        </w:rPr>
        <w:t xml:space="preserve">περιλαμβάνουν ταχεία απόκτηση και ανακατασκευή εικόνας, υποβιβασμό θορύβου, μείωση </w:t>
      </w:r>
      <w:r w:rsidR="005607D0" w:rsidRPr="00A831E7">
        <w:rPr>
          <w:rFonts w:eastAsia="Calibri"/>
        </w:rPr>
        <w:t xml:space="preserve">των </w:t>
      </w:r>
      <w:r w:rsidR="00DF3B6E">
        <w:rPr>
          <w:rFonts w:eastAsia="Calibri"/>
        </w:rPr>
        <w:t>«</w:t>
      </w:r>
      <w:r w:rsidR="005607D0" w:rsidRPr="00A831E7">
        <w:rPr>
          <w:rFonts w:eastAsia="Calibri"/>
        </w:rPr>
        <w:t>artifacts</w:t>
      </w:r>
      <w:r w:rsidR="00DF3B6E">
        <w:rPr>
          <w:rFonts w:eastAsia="Calibri"/>
        </w:rPr>
        <w:t>»</w:t>
      </w:r>
      <w:r w:rsidRPr="00A831E7">
        <w:rPr>
          <w:rFonts w:eastAsia="Calibri"/>
        </w:rPr>
        <w:t xml:space="preserve"> και βελτίωση ανάλυση</w:t>
      </w:r>
      <w:r w:rsidR="008D05F5" w:rsidRPr="00A831E7">
        <w:rPr>
          <w:rFonts w:eastAsia="Calibri"/>
        </w:rPr>
        <w:t>ς</w:t>
      </w:r>
      <w:r w:rsidR="00C76CF8">
        <w:rPr>
          <w:rFonts w:eastAsia="Calibri"/>
        </w:rPr>
        <w:t xml:space="preserve"> και</w:t>
      </w:r>
      <w:r w:rsidR="008D05F5" w:rsidRPr="00A831E7">
        <w:rPr>
          <w:rFonts w:eastAsia="Calibri"/>
        </w:rPr>
        <w:t xml:space="preserve"> </w:t>
      </w:r>
      <w:r w:rsidR="00C76CF8">
        <w:rPr>
          <w:rFonts w:eastAsia="Calibri"/>
        </w:rPr>
        <w:t>π</w:t>
      </w:r>
      <w:r w:rsidR="005607D0" w:rsidRPr="00A831E7">
        <w:rPr>
          <w:rFonts w:eastAsia="Calibri"/>
        </w:rPr>
        <w:t>αρότι σαν μέθοδοι έχουν επικαλύψεις, θα αναφερθούν ξεχωριστά.</w:t>
      </w:r>
    </w:p>
    <w:p w14:paraId="1752B5CE" w14:textId="77777777" w:rsidR="008D05F5" w:rsidRPr="00A831E7" w:rsidRDefault="008D05F5" w:rsidP="0057069D">
      <w:pPr>
        <w:spacing w:line="360" w:lineRule="auto"/>
        <w:jc w:val="both"/>
        <w:rPr>
          <w:rFonts w:eastAsia="Calibri"/>
        </w:rPr>
      </w:pPr>
    </w:p>
    <w:p w14:paraId="35605333" w14:textId="0710D820" w:rsidR="008D05F5" w:rsidRPr="00A831E7" w:rsidRDefault="008D05F5" w:rsidP="0057069D">
      <w:pPr>
        <w:pStyle w:val="4"/>
        <w:spacing w:line="360" w:lineRule="auto"/>
        <w:rPr>
          <w:rFonts w:eastAsia="Calibri"/>
          <w:b w:val="0"/>
          <w:bCs/>
        </w:rPr>
      </w:pPr>
      <w:r w:rsidRPr="00A831E7">
        <w:rPr>
          <w:rFonts w:eastAsia="Calibri"/>
          <w:bCs/>
        </w:rPr>
        <w:t>Ανακατασκευή Εικόνας</w:t>
      </w:r>
    </w:p>
    <w:p w14:paraId="35B45805" w14:textId="25A1ABA5" w:rsidR="003C0D0F" w:rsidRPr="00A831E7" w:rsidRDefault="008D05F5" w:rsidP="0057069D">
      <w:pPr>
        <w:spacing w:line="360" w:lineRule="auto"/>
        <w:jc w:val="both"/>
        <w:rPr>
          <w:rFonts w:eastAsia="Calibri"/>
        </w:rPr>
      </w:pPr>
      <w:r w:rsidRPr="00A831E7">
        <w:rPr>
          <w:rFonts w:eastAsia="Calibri"/>
        </w:rPr>
        <w:tab/>
      </w:r>
      <w:r w:rsidR="003C0D0F" w:rsidRPr="00A831E7">
        <w:rPr>
          <w:rFonts w:eastAsia="Calibri"/>
        </w:rPr>
        <w:t>Η δυνατότητα ανακατασκευής με</w:t>
      </w:r>
      <w:r w:rsidRPr="00A831E7">
        <w:rPr>
          <w:rFonts w:eastAsia="Calibri"/>
        </w:rPr>
        <w:t xml:space="preserve"> τη χρήση ML και DL αλγορίθμων </w:t>
      </w:r>
      <w:r w:rsidR="003C0D0F" w:rsidRPr="00A831E7">
        <w:rPr>
          <w:rFonts w:eastAsia="Calibri"/>
        </w:rPr>
        <w:t xml:space="preserve">έχει αυξημένη κλινική προσφορά καθώς βελτιώνεται η εμπιστοσύνη στη διάγνωση και η διαχείριση χρόνου </w:t>
      </w:r>
      <w:r w:rsidR="003C0D0F" w:rsidRPr="00A831E7">
        <w:rPr>
          <w:rFonts w:eastAsia="Calibri"/>
        </w:rPr>
        <w:fldChar w:fldCharType="begin"/>
      </w:r>
      <w:r w:rsidR="003C0D0F" w:rsidRPr="00A831E7">
        <w:rPr>
          <w:rFonts w:eastAsia="Calibri"/>
        </w:rPr>
        <w:instrText xml:space="preserve"> ADDIN ZOTERO_ITEM CSL_CITATION {"citationID":"1bskSwis","properties":{"formattedCitation":"[26]","plainCitation":"[26]","noteIndex":0},"citationItems":[{"id":1211,"uris":["http://zotero.org/users/local/mfHf28QG/items/9FUW65EX"],"itemData":{"id":1211,"type":"article-journal","abstract":"Artificial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003C0D0F" w:rsidRPr="00A831E7">
        <w:rPr>
          <w:rFonts w:eastAsia="Calibri"/>
        </w:rPr>
        <w:fldChar w:fldCharType="separate"/>
      </w:r>
      <w:r w:rsidR="003C0D0F" w:rsidRPr="00A831E7">
        <w:rPr>
          <w:rFonts w:eastAsia="Calibri"/>
        </w:rPr>
        <w:t>[26]</w:t>
      </w:r>
      <w:r w:rsidR="003C0D0F" w:rsidRPr="00A831E7">
        <w:rPr>
          <w:rFonts w:eastAsia="Calibri"/>
        </w:rPr>
        <w:fldChar w:fldCharType="end"/>
      </w:r>
      <w:r w:rsidR="003C0D0F" w:rsidRPr="00A831E7">
        <w:rPr>
          <w:rFonts w:eastAsia="Calibri"/>
        </w:rPr>
        <w:t xml:space="preserve">. Η ενσωμάτωση της τεχνητής νοημοσύνης στη διάγνωση επιτυγχάνει τη μείωση του συνολικού χρόνου σάρωσης και τη βελτίωση της ποιότητας των εικόνων. Στον </w:t>
      </w:r>
      <w:r w:rsidR="0011104D" w:rsidRPr="00A831E7">
        <w:rPr>
          <w:rFonts w:eastAsia="Calibri"/>
          <w:i/>
          <w:iCs/>
        </w:rPr>
        <w:t>Π</w:t>
      </w:r>
      <w:r w:rsidR="003C0D0F" w:rsidRPr="00A831E7">
        <w:rPr>
          <w:rFonts w:eastAsia="Calibri"/>
          <w:i/>
          <w:iCs/>
        </w:rPr>
        <w:t xml:space="preserve">ίνακα </w:t>
      </w:r>
      <w:r w:rsidR="0011104D" w:rsidRPr="00A831E7">
        <w:rPr>
          <w:rFonts w:eastAsia="Calibri"/>
          <w:i/>
          <w:iCs/>
        </w:rPr>
        <w:t>6</w:t>
      </w:r>
      <w:r w:rsidR="003C0D0F" w:rsidRPr="00A831E7">
        <w:rPr>
          <w:rFonts w:eastAsia="Calibri"/>
        </w:rPr>
        <w:t xml:space="preserve"> παρουσιάζονται πρόσφατες έρευνες και </w:t>
      </w:r>
      <w:r w:rsidR="00070D4C" w:rsidRPr="00A831E7">
        <w:rPr>
          <w:rFonts w:eastAsia="Calibri"/>
        </w:rPr>
        <w:t>τα σχετικά αποτελέσματα αυτών</w:t>
      </w:r>
      <w:r w:rsidR="00E436EB" w:rsidRPr="00A831E7">
        <w:rPr>
          <w:rFonts w:eastAsia="Calibri"/>
        </w:rPr>
        <w:t xml:space="preserve"> ως προς την ανακατασκευή απεικονιστικών δεδομένων.</w:t>
      </w:r>
      <w:r w:rsidR="005D2F29" w:rsidRPr="00A831E7">
        <w:rPr>
          <w:rFonts w:eastAsia="Calibri"/>
        </w:rPr>
        <w:t xml:space="preserve"> </w:t>
      </w:r>
      <w:r w:rsidR="00E436EB" w:rsidRPr="00A831E7">
        <w:rPr>
          <w:rFonts w:eastAsia="Calibri"/>
        </w:rPr>
        <w:t>Ωστόσο</w:t>
      </w:r>
      <w:r w:rsidR="005D2F29" w:rsidRPr="00A831E7">
        <w:rPr>
          <w:rFonts w:eastAsia="Calibri"/>
        </w:rPr>
        <w:t xml:space="preserve"> πρέπει να σημειωθεί ότι υπάρχουν ενδοιασμοί και χρειάζεται περεταίρω έρευνα για το κατά πόσο τα AI μοντέλα μπορούν με ακρίβεια να ανασυνθέσουν δεδομένα παθολογιών που δεν περιέχονται στα σετ δεδομένων εκπαίδευσης τους </w:t>
      </w:r>
      <w:r w:rsidR="005D2F29" w:rsidRPr="00A831E7">
        <w:rPr>
          <w:rFonts w:eastAsia="Calibri"/>
        </w:rPr>
        <w:fldChar w:fldCharType="begin"/>
      </w:r>
      <w:r w:rsidR="005D2F29" w:rsidRPr="00A831E7">
        <w:rPr>
          <w:rFonts w:eastAsia="Calibri"/>
        </w:rPr>
        <w:instrText xml:space="preserve"> ADDIN ZOTERO_ITEM CSL_CITATION {"citationID":"EKIHAjyY","properties":{"formattedCitation":"[26]","plainCitation":"[26]","noteIndex":0},"citationItems":[{"id":1211,"uris":["http://zotero.org/users/local/mfHf28QG/items/9FUW65EX"],"itemData":{"id":1211,"type":"article-journal","abstract":"Artificial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005D2F29" w:rsidRPr="00A831E7">
        <w:rPr>
          <w:rFonts w:eastAsia="Calibri"/>
        </w:rPr>
        <w:fldChar w:fldCharType="separate"/>
      </w:r>
      <w:r w:rsidR="005D2F29" w:rsidRPr="00A831E7">
        <w:rPr>
          <w:rFonts w:eastAsia="Calibri"/>
        </w:rPr>
        <w:t>[26]</w:t>
      </w:r>
      <w:r w:rsidR="005D2F29" w:rsidRPr="00A831E7">
        <w:rPr>
          <w:rFonts w:eastAsia="Calibri"/>
        </w:rPr>
        <w:fldChar w:fldCharType="end"/>
      </w:r>
      <w:r w:rsidR="005D2F29" w:rsidRPr="00A831E7">
        <w:rPr>
          <w:rFonts w:eastAsia="Calibri"/>
        </w:rPr>
        <w:t>.</w:t>
      </w:r>
    </w:p>
    <w:p w14:paraId="231E4620" w14:textId="77777777" w:rsidR="00716132" w:rsidRPr="00A831E7" w:rsidRDefault="00716132" w:rsidP="0057069D">
      <w:pPr>
        <w:spacing w:line="360" w:lineRule="auto"/>
        <w:jc w:val="both"/>
        <w:rPr>
          <w:rFonts w:eastAsia="Calibri"/>
        </w:rPr>
      </w:pPr>
    </w:p>
    <w:p w14:paraId="15342F2F" w14:textId="273E0760" w:rsidR="00444A1E" w:rsidRPr="00A831E7" w:rsidRDefault="000128CC" w:rsidP="0057069D">
      <w:pPr>
        <w:pStyle w:val="af5"/>
        <w:keepNext/>
        <w:spacing w:line="360" w:lineRule="auto"/>
        <w:jc w:val="center"/>
        <w:rPr>
          <w:b/>
          <w:bCs/>
          <w:color w:val="auto"/>
          <w:sz w:val="20"/>
          <w:szCs w:val="20"/>
        </w:rPr>
      </w:pPr>
      <w:bookmarkStart w:id="85" w:name="_Toc199787741"/>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6</w:t>
      </w:r>
      <w:r w:rsidRPr="00A831E7">
        <w:rPr>
          <w:b/>
          <w:bCs/>
          <w:color w:val="auto"/>
          <w:sz w:val="20"/>
          <w:szCs w:val="20"/>
        </w:rPr>
        <w:fldChar w:fldCharType="end"/>
      </w:r>
      <w:r w:rsidRPr="00A831E7">
        <w:rPr>
          <w:rFonts w:eastAsia="Calibri"/>
          <w:b/>
          <w:bCs/>
          <w:color w:val="auto"/>
          <w:sz w:val="20"/>
          <w:szCs w:val="20"/>
        </w:rPr>
        <w:t>: Πρόοδος Ερευνών στην Ανακατασκευή Εικόνας</w:t>
      </w:r>
      <w:r w:rsidR="008A6745" w:rsidRPr="00A831E7">
        <w:rPr>
          <w:rFonts w:eastAsia="Calibri"/>
          <w:b/>
          <w:bCs/>
          <w:color w:val="auto"/>
          <w:sz w:val="20"/>
          <w:szCs w:val="20"/>
        </w:rPr>
        <w:t xml:space="preserve">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{"citationID":"fMRsHoew","properties":{"formattedCitation":"[26]","plainCitation":"[26]","noteIndex":0},"citationItems":[{"id":1211,"uris":["http://zotero.org/users/local/mfHf28QG/items/9FUW65EX"],"itemData":{"id":1211,"type":"article-journal","abstract":"Artificial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[26]</w:t>
      </w:r>
      <w:bookmarkEnd w:id="85"/>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1255"/>
        <w:gridCol w:w="7047"/>
      </w:tblGrid>
      <w:tr w:rsidR="00E436EB" w:rsidRPr="00A831E7" w14:paraId="5A0786A1" w14:textId="77777777" w:rsidTr="0057069D">
        <w:tc>
          <w:tcPr>
            <w:tcW w:w="1255" w:type="dxa"/>
            <w:shd w:val="clear" w:color="auto" w:fill="D9D9D9" w:themeFill="background1" w:themeFillShade="D9"/>
          </w:tcPr>
          <w:p w14:paraId="44277973" w14:textId="0D97BB40" w:rsidR="00E436EB" w:rsidRPr="00A831E7" w:rsidRDefault="00E436EB" w:rsidP="00716132">
            <w:pPr>
              <w:spacing w:line="360" w:lineRule="auto"/>
              <w:jc w:val="center"/>
              <w:rPr>
                <w:rFonts w:eastAsia="Calibri"/>
                <w:b/>
                <w:bCs/>
                <w:sz w:val="20"/>
                <w:szCs w:val="20"/>
              </w:rPr>
            </w:pPr>
            <w:r w:rsidRPr="00A831E7">
              <w:rPr>
                <w:rFonts w:eastAsia="Calibri"/>
                <w:b/>
                <w:bCs/>
                <w:sz w:val="20"/>
                <w:szCs w:val="20"/>
              </w:rPr>
              <w:t>Αναφορά</w:t>
            </w:r>
          </w:p>
        </w:tc>
        <w:tc>
          <w:tcPr>
            <w:tcW w:w="7047" w:type="dxa"/>
            <w:shd w:val="clear" w:color="auto" w:fill="D9D9D9" w:themeFill="background1" w:themeFillShade="D9"/>
          </w:tcPr>
          <w:p w14:paraId="396B0765" w14:textId="58FBE412" w:rsidR="00E436EB" w:rsidRPr="00A831E7" w:rsidRDefault="00E436EB" w:rsidP="00716132">
            <w:pPr>
              <w:spacing w:line="360" w:lineRule="auto"/>
              <w:jc w:val="center"/>
              <w:rPr>
                <w:rFonts w:eastAsia="Calibri"/>
                <w:b/>
                <w:bCs/>
                <w:sz w:val="20"/>
                <w:szCs w:val="20"/>
              </w:rPr>
            </w:pPr>
            <w:r w:rsidRPr="00A831E7">
              <w:rPr>
                <w:rFonts w:eastAsia="Calibri"/>
                <w:b/>
                <w:bCs/>
                <w:sz w:val="20"/>
                <w:szCs w:val="20"/>
              </w:rPr>
              <w:t>Αποτελέσματα</w:t>
            </w:r>
          </w:p>
        </w:tc>
      </w:tr>
      <w:tr w:rsidR="00E436EB" w:rsidRPr="00A831E7" w14:paraId="67B95EE5" w14:textId="77777777" w:rsidTr="004A5383">
        <w:tc>
          <w:tcPr>
            <w:tcW w:w="1255" w:type="dxa"/>
          </w:tcPr>
          <w:p w14:paraId="6DC4BFA1" w14:textId="162C080E" w:rsidR="00E436EB" w:rsidRPr="00547F04" w:rsidRDefault="00E436EB" w:rsidP="00B07E2B">
            <w:pPr>
              <w:spacing w:line="276" w:lineRule="auto"/>
              <w:jc w:val="center"/>
              <w:rPr>
                <w:rFonts w:eastAsia="Calibri"/>
                <w:sz w:val="20"/>
                <w:szCs w:val="20"/>
              </w:rPr>
            </w:pPr>
            <w:r w:rsidRPr="00547F04">
              <w:rPr>
                <w:rFonts w:eastAsiaTheme="majorEastAsia"/>
                <w:sz w:val="20"/>
                <w:szCs w:val="20"/>
              </w:rPr>
              <w:t xml:space="preserve">Jin et al.  </w:t>
            </w:r>
            <w:r w:rsidRPr="00547F04">
              <w:rPr>
                <w:rFonts w:eastAsiaTheme="majorEastAsia"/>
                <w:sz w:val="20"/>
                <w:szCs w:val="20"/>
              </w:rPr>
              <w:fldChar w:fldCharType="begin"/>
            </w:r>
            <w:r w:rsidRPr="00547F04">
              <w:rPr>
                <w:rFonts w:eastAsiaTheme="majorEastAsia"/>
                <w:sz w:val="20"/>
                <w:szCs w:val="20"/>
              </w:rPr>
              <w:instrText xml:space="preserve"> ADDIN ZOTERO_ITEM CSL_CITATION {"citationID":"cjmCI7J2","properties":{"formattedCitation":"[36]","plainCitation":"[36]","noteIndex":0},"citationItems":[{"id":1604,"uris":["http://zotero.org/users/local/mfHf28QG/items/NZUNCZ8W"],"itemData":{"id":1604,"type":"article-journal","abstract":"In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 512 image on the GPU.","container-title":"IEEE Transactions on Image Processing","DOI":"10.1109/TIP.2017.2713099","ISSN":"1941-0042","issue":"9","page":"4509-4522","source":"IEEE Xplore","title":"Deep Convolutional Neural Network for Inverse Problems in Imaging","volume":"26","author":[{"family":"Jin","given":"Kyong Hwan"},{"family":"McCann","given":"Michael T."},{"family":"Froustey","given":"Emmanuel"},{"family":"Unser","given":"Michael"}],"issued":{"date-parts":[["2017",9]]}},"suppress-author":true}],"schema":"https://github.com/citation-style-language/schema/raw/master/csl-citation.json"} </w:instrText>
            </w:r>
            <w:r w:rsidRPr="00547F04">
              <w:rPr>
                <w:rFonts w:eastAsiaTheme="majorEastAsia"/>
                <w:sz w:val="20"/>
                <w:szCs w:val="20"/>
              </w:rPr>
              <w:fldChar w:fldCharType="separate"/>
            </w:r>
            <w:r w:rsidRPr="00547F04">
              <w:rPr>
                <w:rFonts w:eastAsiaTheme="majorEastAsia"/>
                <w:sz w:val="20"/>
                <w:szCs w:val="20"/>
              </w:rPr>
              <w:t>[36]</w:t>
            </w:r>
            <w:r w:rsidRPr="00547F04">
              <w:rPr>
                <w:rFonts w:eastAsiaTheme="majorEastAsia"/>
                <w:sz w:val="20"/>
                <w:szCs w:val="20"/>
              </w:rPr>
              <w:fldChar w:fldCharType="end"/>
            </w:r>
          </w:p>
        </w:tc>
        <w:tc>
          <w:tcPr>
            <w:tcW w:w="7047" w:type="dxa"/>
          </w:tcPr>
          <w:p w14:paraId="2FF867F8" w14:textId="3E00A98C" w:rsidR="00E436EB" w:rsidRPr="006A467F" w:rsidRDefault="00E436EB" w:rsidP="00B07E2B">
            <w:pPr>
              <w:spacing w:line="276" w:lineRule="auto"/>
              <w:jc w:val="both"/>
              <w:rPr>
                <w:rFonts w:eastAsia="Calibri"/>
                <w:sz w:val="18"/>
                <w:szCs w:val="18"/>
              </w:rPr>
            </w:pPr>
            <w:r w:rsidRPr="006A467F">
              <w:rPr>
                <w:rFonts w:eastAsia="Calibri"/>
                <w:sz w:val="18"/>
                <w:szCs w:val="18"/>
              </w:rPr>
              <w:t>Ανάπτυξη CNN(Convolutional Neural Network) αλγορίθμου που ξεπέρασε τις παραδοσιακές μεθόδους ανακατασκευής, αποκαθιστώντας διαγνωστικές εικόνες CT σε λιγότερο από 1 δευτερόλεπτο.</w:t>
            </w:r>
          </w:p>
        </w:tc>
      </w:tr>
      <w:tr w:rsidR="00E436EB" w:rsidRPr="00A831E7" w14:paraId="1CA912E1" w14:textId="77777777" w:rsidTr="004A5383">
        <w:tc>
          <w:tcPr>
            <w:tcW w:w="1255" w:type="dxa"/>
          </w:tcPr>
          <w:p w14:paraId="4D7A742C" w14:textId="53C87EFA" w:rsidR="00E436EB" w:rsidRPr="00547F04" w:rsidRDefault="00E436EB" w:rsidP="00B07E2B">
            <w:pPr>
              <w:spacing w:line="276" w:lineRule="auto"/>
              <w:jc w:val="center"/>
              <w:rPr>
                <w:rFonts w:eastAsia="Calibri"/>
                <w:sz w:val="20"/>
                <w:szCs w:val="20"/>
              </w:rPr>
            </w:pPr>
            <w:r w:rsidRPr="00547F04">
              <w:rPr>
                <w:rFonts w:eastAsiaTheme="majorEastAsia"/>
                <w:sz w:val="20"/>
                <w:szCs w:val="20"/>
              </w:rPr>
              <w:t xml:space="preserve">Zhu et al. </w:t>
            </w:r>
            <w:r w:rsidRPr="00547F04">
              <w:rPr>
                <w:rFonts w:eastAsiaTheme="majorEastAsia"/>
                <w:sz w:val="20"/>
                <w:szCs w:val="20"/>
              </w:rPr>
              <w:fldChar w:fldCharType="begin"/>
            </w:r>
            <w:r w:rsidRPr="00547F04">
              <w:rPr>
                <w:rFonts w:eastAsiaTheme="majorEastAsia"/>
                <w:sz w:val="20"/>
                <w:szCs w:val="20"/>
              </w:rPr>
              <w:instrText xml:space="preserve"> ADDIN ZOTERO_ITEM CSL_CITATION {"citationID":"wz1oJaRV","properties":{"formattedCitation":"[37]","plainCitation":"[37]","noteIndex":0},"citationItems":[{"id":1606,"uris":["http://zotero.org/users/local/mfHf28QG/items/LPLIARJC"],"itemData":{"id":1606,"type":"article-journal","abstract":"Image reconstruction is reformulated using a data-driven, supervised machine learning framework that allows a mapping between sensor and image domains to emerge from even noisy and undersampled data, improving accuracy and reducing image artefacts.","container-title":"Nature","DOI":"10.1038/nature25988","ISSN":"1476-4687","issue":"7697","language":"en","license":"2018 Macmillan Publishers Limited, part of Springer Nature. All rights reserved.","note":"publisher: Nature Publishing Group","page":"487-492","source":"www.nature.com","title":"Image reconstruction by domain-transform manifold learning","volume":"555","author":[{"family":"Zhu","given":"Bo"},{"family":"Liu","given":"Jeremiah Z."},{"family":"Cauley","given":"Stephen F."},{"family":"Rosen","given":"Bruce R."},{"family":"Rosen","given":"Matthew S."}],"issued":{"date-parts":[["2018",3]]}},"suppress-author":true}],"schema":"https://github.com/citation-style-language/schema/raw/master/csl-citation.json"} </w:instrText>
            </w:r>
            <w:r w:rsidRPr="00547F04">
              <w:rPr>
                <w:rFonts w:eastAsiaTheme="majorEastAsia"/>
                <w:sz w:val="20"/>
                <w:szCs w:val="20"/>
              </w:rPr>
              <w:fldChar w:fldCharType="separate"/>
            </w:r>
            <w:r w:rsidRPr="00547F04">
              <w:rPr>
                <w:rFonts w:eastAsiaTheme="majorEastAsia"/>
                <w:sz w:val="20"/>
                <w:szCs w:val="20"/>
              </w:rPr>
              <w:t>[37]</w:t>
            </w:r>
            <w:r w:rsidRPr="00547F04">
              <w:rPr>
                <w:rFonts w:eastAsiaTheme="majorEastAsia"/>
                <w:sz w:val="20"/>
                <w:szCs w:val="20"/>
              </w:rPr>
              <w:fldChar w:fldCharType="end"/>
            </w:r>
          </w:p>
        </w:tc>
        <w:tc>
          <w:tcPr>
            <w:tcW w:w="7047" w:type="dxa"/>
            <w:vAlign w:val="center"/>
          </w:tcPr>
          <w:p w14:paraId="6DC794EC" w14:textId="1FD1DCFA" w:rsidR="00E436EB" w:rsidRPr="006A467F" w:rsidRDefault="00E436EB" w:rsidP="00B07E2B">
            <w:pPr>
              <w:spacing w:line="276" w:lineRule="auto"/>
              <w:jc w:val="both"/>
              <w:rPr>
                <w:rFonts w:eastAsia="Calibri"/>
                <w:sz w:val="18"/>
                <w:szCs w:val="18"/>
              </w:rPr>
            </w:pPr>
            <w:r w:rsidRPr="006A467F">
              <w:rPr>
                <w:sz w:val="18"/>
                <w:szCs w:val="18"/>
              </w:rPr>
              <w:t>Εφαρμογή μεθόδου “AUTOMAP” σε απεικονίσεις MRI εγκεφάλου, πέτυχε  μείωση του θορύβου και των artifacts σε σύγκριση με συμβατικές μεθόδους.</w:t>
            </w:r>
          </w:p>
        </w:tc>
      </w:tr>
      <w:tr w:rsidR="00E436EB" w:rsidRPr="00A831E7" w14:paraId="06704051" w14:textId="77777777" w:rsidTr="004A5383">
        <w:tc>
          <w:tcPr>
            <w:tcW w:w="1255" w:type="dxa"/>
          </w:tcPr>
          <w:p w14:paraId="1D460002" w14:textId="5ED8C0AB" w:rsidR="00E436EB" w:rsidRPr="00547F04" w:rsidRDefault="00E436EB" w:rsidP="00B07E2B">
            <w:pPr>
              <w:spacing w:line="276" w:lineRule="auto"/>
              <w:jc w:val="center"/>
              <w:rPr>
                <w:rFonts w:eastAsia="Calibri"/>
                <w:sz w:val="20"/>
                <w:szCs w:val="20"/>
              </w:rPr>
            </w:pPr>
            <w:r w:rsidRPr="00547F04">
              <w:rPr>
                <w:rFonts w:eastAsiaTheme="majorEastAsia"/>
                <w:sz w:val="20"/>
                <w:szCs w:val="20"/>
              </w:rPr>
              <w:t xml:space="preserve">Han et al. </w:t>
            </w:r>
            <w:r w:rsidRPr="00547F04">
              <w:rPr>
                <w:rFonts w:eastAsiaTheme="majorEastAsia"/>
                <w:sz w:val="20"/>
                <w:szCs w:val="20"/>
              </w:rPr>
              <w:fldChar w:fldCharType="begin"/>
            </w:r>
            <w:r w:rsidRPr="00547F04">
              <w:rPr>
                <w:rFonts w:eastAsiaTheme="majorEastAsia"/>
                <w:sz w:val="20"/>
                <w:szCs w:val="20"/>
              </w:rPr>
              <w:instrText xml:space="preserve"> ADDIN ZOTERO_ITEM CSL_CITATION {"citationID":"3r22FiFW","properties":{"formattedCitation":"[38]","plainCitation":"[38]","noteIndex":0},"citationItems":[{"id":1607,"uris":["http://zotero.org/users/local/mfHf28QG/items/Z9SI3ZVV"],"itemData":{"id":1607,"type":"article-journal","abstract":"Purpose The radial k-space trajectory is a well-established sampling trajectory used in conjunction with magnetic resonance imaging. However, the radial k-space trajectory requires a large number of radial lines for high-resolution reconstruction. Increasing the number of radial lines causes longer acquisition time, making it more difficult for routine clinical use. On the other hand, if we reduce the number of radial lines, streaking artifact patterns are unavoidable. To solve this problem, we propose a novel deep learning approach with domain adaptation to restore high-resolution MR images from under-sampled k-space data. Methods The proposed deep network removes the streaking artifacts from the artifact corrupted images. To address the situation given the limited available data, we propose a domain adaptation scheme that employs a pre-trained network using a large number of X-ray computed tomography (CT) or synthesized radial MR datasets, which is then fine-tuned with only a few radial MR datasets. Results The proposed method outperforms existing compressed sensing algorithms, such as the total variation and PR-FOCUSS methods. In addition, the calculation time is several orders of magnitude faster than the total variation and PR-FOCUSS methods. Moreover, we found that pre-training using CT or MR data from similar organ data is more important than pre-training using data from the same modality for different organ. Conclusion We demonstrate the possibility of a domain-adaptation when only a limited amount of MR data is available. The proposed method surpasses the existing compressed sensing algorithms in terms of the image quality and computation time.","container-title":"Magnetic Resonance in Medicine","DOI":"10.1002/mrm.27106","ISSN":"1522-2594","issue":"3","language":"en","license":"© 2018 International Society for Magnetic Resonance in Medicine","note":"_eprint: https://onlinelibrary.wiley.com/doi/pdf/10.1002/mrm.27106","page":"1189-1205","source":"Wiley Online Library","title":"Deep learning with domain adaptation for accelerated projection-reconstruction MR","volume":"80","author":[{"family":"Han","given":"Yoseob"},{"family":"Yoo","given":"Jaejun"},{"family":"Kim","given":"Hak Hee"},{"family":"Shin","given":"Hee Jung"},{"family":"Sung","given":"Kyunghyun"},{"family":"Ye","given":"Jong Chul"}],"issued":{"date-parts":[["2018"]]}},"suppress-author":true}],"schema":"https://github.com/citation-style-language/schema/raw/master/csl-citation.json"} </w:instrText>
            </w:r>
            <w:r w:rsidRPr="00547F04">
              <w:rPr>
                <w:rFonts w:eastAsiaTheme="majorEastAsia"/>
                <w:sz w:val="20"/>
                <w:szCs w:val="20"/>
              </w:rPr>
              <w:fldChar w:fldCharType="separate"/>
            </w:r>
            <w:r w:rsidRPr="00547F04">
              <w:rPr>
                <w:rFonts w:eastAsiaTheme="majorEastAsia"/>
                <w:sz w:val="20"/>
                <w:szCs w:val="20"/>
              </w:rPr>
              <w:t>[38]</w:t>
            </w:r>
            <w:r w:rsidRPr="00547F04">
              <w:rPr>
                <w:rFonts w:eastAsiaTheme="majorEastAsia"/>
                <w:sz w:val="20"/>
                <w:szCs w:val="20"/>
              </w:rPr>
              <w:fldChar w:fldCharType="end"/>
            </w:r>
          </w:p>
        </w:tc>
        <w:tc>
          <w:tcPr>
            <w:tcW w:w="7047" w:type="dxa"/>
          </w:tcPr>
          <w:p w14:paraId="217AFE08" w14:textId="02B899FE" w:rsidR="00E436EB" w:rsidRPr="006A467F" w:rsidRDefault="00E436EB" w:rsidP="00B07E2B">
            <w:pPr>
              <w:spacing w:line="276" w:lineRule="auto"/>
              <w:jc w:val="both"/>
              <w:rPr>
                <w:rFonts w:eastAsia="Calibri"/>
                <w:sz w:val="18"/>
                <w:szCs w:val="18"/>
              </w:rPr>
            </w:pPr>
            <w:r w:rsidRPr="006A467F">
              <w:rPr>
                <w:sz w:val="18"/>
                <w:szCs w:val="18"/>
              </w:rPr>
              <w:t>Χρήση προσαρμοσμένου CNN αλγορίθμου και πλήθος από σετ δεδομένων εκπαίδευσης CT και MRI, για τη δημιουργία διαγνωστικών εικόνων από υποδειγματοληπτικά δεδομένα σε μόλις 0,05 δευτερόλεπτα.</w:t>
            </w:r>
          </w:p>
        </w:tc>
      </w:tr>
      <w:tr w:rsidR="00E436EB" w:rsidRPr="00A831E7" w14:paraId="60D0DC23" w14:textId="77777777" w:rsidTr="004A5383">
        <w:tc>
          <w:tcPr>
            <w:tcW w:w="1255" w:type="dxa"/>
          </w:tcPr>
          <w:p w14:paraId="6B3E3A48" w14:textId="5253BE09" w:rsidR="00E436EB" w:rsidRPr="00547F04" w:rsidRDefault="00E436EB" w:rsidP="00B07E2B">
            <w:pPr>
              <w:spacing w:line="276" w:lineRule="auto"/>
              <w:jc w:val="center"/>
              <w:rPr>
                <w:rFonts w:eastAsiaTheme="majorEastAsia"/>
                <w:sz w:val="20"/>
                <w:szCs w:val="20"/>
              </w:rPr>
            </w:pPr>
            <w:r w:rsidRPr="00547F04">
              <w:rPr>
                <w:rFonts w:eastAsiaTheme="majorEastAsia"/>
                <w:sz w:val="20"/>
                <w:szCs w:val="20"/>
              </w:rPr>
              <w:t xml:space="preserve">Gong et al. </w:t>
            </w:r>
            <w:r w:rsidRPr="00547F04">
              <w:rPr>
                <w:rFonts w:eastAsiaTheme="majorEastAsia"/>
                <w:sz w:val="20"/>
                <w:szCs w:val="20"/>
              </w:rPr>
              <w:fldChar w:fldCharType="begin"/>
            </w:r>
            <w:r w:rsidR="00C90120" w:rsidRPr="00547F04">
              <w:rPr>
                <w:rFonts w:eastAsiaTheme="majorEastAsia"/>
                <w:sz w:val="20"/>
                <w:szCs w:val="20"/>
              </w:rPr>
              <w:instrText xml:space="preserve"> ADDIN ZOTERO_ITEM CSL_CITATION {"citationID":"6SHrHJTW","properties":{"formattedCitation":"[39]","plainCitation":"[39]","noteIndex":0},"citationItems":[{"id":1612,"uris":["http://zotero.org/users/local/mfHf28QG/items/TLZYUYYN"],"itemData":{"id":1612,"type":"article-journal","abstract":"Background There are concerns over gadolinium deposition from gadolinium-based contrast agents (GBCA) administration. Purpose To reduce gadolinium dose in contrast-enhanced brain MRI using a deep learning method. Study type Retrospective, crossover. Population Sixty patients receiving clinically indicated contrast-enhanced brain MRI. Sequence 3D T1-weighted inversion-recovery prepped fast-spoiled-gradient-echo (IR-FSPGR) imaging was acquired at both 1.5T and 3T. In 60 brain MRI exams, the IR-FSPGR sequence was obtained under three conditions: precontrast, postcontrast images with 10% low-dose (0.01mmol/kg) and 100% full-dose (0.1 mmol/kg) of gadobenate dimeglumine. We trained a deep learning model using the first 10 cases (with mixed indications) to approximate full-dose images from the precontrast and low-dose images. Synthesized full-dose images were created using the trained model in two test sets: 20 patients with mixed indications and 30 patients with glioma. Assessment For both test sets, low-dose, true full-dose, and the synthesized full-dose postcontrast image sets were compared quantitatively using peak-signal-to-noise-ratios (PSNR) and structural-similarity-index (SSIM). For the test set comprised of 20 patients with mixed indications, two neuroradiologists scored blindly and independently for the three postcontrast image sets, evaluating image quality, motion-artifact suppression, and contrast enhancement compared with precontrast images. Statistical Analysis Results were assessed using paired t-tests and noninferiority tests. Results The proposed deep learning method yielded significant (n = 50, P &lt; 0.001) improvements over the low-dose images (&gt;5 dB PSNR gains and &gt;11.0% SSIM). Ratings on image quality (n = 20, P = 0.003) and contrast enhancement (n = 20, P &lt; 0.001) were significantly increased. Compared to true full-dose images, the synthesized full-dose images have a slight but not significant reduction in image quality (n = 20, P = 0.083) and contrast enhancement (n = 20, P = 0.068). Slightly better (n = 20, P = 0.039) motion-artifact suppression was noted in the synthesized images. The noninferiority test rejects the inferiority of the synthesized to true full-dose images for image quality (95% CI: –14–9%), artifacts suppression (95% CI: –5–20%), and contrast enhancement (95% CI: –13–6%). Data Conclusion With the proposed deep learning method, gadolinium dose can be reduced 10-fold while preserving contrast information and avoiding significant image quality degradation. Level of Evidence: 3 Technical Efficacy: Stage 5 J. MAGN. RESON. IMAGING 2018;48:330–340.","container-title":"Journal of Magnetic Resonance Imaging","DOI":"10.1002/jmri.25970","ISSN":"1522-2586","issue":"2","language":"en","license":"© 2018 International Society for Magnetic Resonance in Medicine","note":"_eprint: https://onlinelibrary.wiley.com/doi/pdf/10.1002/jmri.25970","page":"330-340","source":"Wiley Online Library","title":"Deep learning enables reduced gadolinium dose for contrast-enhanced brain MRI","volume":"48","author":[{"family":"Gong","given":"Enhao"},{"family":"Pauly","given":"John M."},{"family":"Wintermark","given":"Max"},{"family":"Zaharchuk","given":"Greg"}],"issued":{"date-parts":[["2018"]]}}}],"schema":"https://github.com/citation-style-language/schema/raw/master/csl-citation.json"} </w:instrText>
            </w:r>
            <w:r w:rsidRPr="00547F04">
              <w:rPr>
                <w:rFonts w:eastAsiaTheme="majorEastAsia"/>
                <w:sz w:val="20"/>
                <w:szCs w:val="20"/>
              </w:rPr>
              <w:fldChar w:fldCharType="separate"/>
            </w:r>
            <w:r w:rsidR="00C90120" w:rsidRPr="00547F04">
              <w:rPr>
                <w:rFonts w:eastAsiaTheme="majorEastAsia"/>
                <w:sz w:val="20"/>
                <w:szCs w:val="20"/>
              </w:rPr>
              <w:t>[39]</w:t>
            </w:r>
            <w:r w:rsidRPr="00547F04">
              <w:rPr>
                <w:rFonts w:eastAsiaTheme="majorEastAsia"/>
                <w:sz w:val="20"/>
                <w:szCs w:val="20"/>
              </w:rPr>
              <w:fldChar w:fldCharType="end"/>
            </w:r>
          </w:p>
        </w:tc>
        <w:tc>
          <w:tcPr>
            <w:tcW w:w="7047" w:type="dxa"/>
          </w:tcPr>
          <w:p w14:paraId="4D4EBDB6" w14:textId="4C91A320" w:rsidR="00E436EB" w:rsidRPr="006A467F" w:rsidRDefault="00E436EB" w:rsidP="00B07E2B">
            <w:pPr>
              <w:spacing w:line="276" w:lineRule="auto"/>
              <w:jc w:val="both"/>
              <w:rPr>
                <w:rFonts w:eastAsia="Calibri"/>
                <w:sz w:val="18"/>
                <w:szCs w:val="18"/>
              </w:rPr>
            </w:pPr>
            <w:r w:rsidRPr="006A467F">
              <w:rPr>
                <w:sz w:val="18"/>
                <w:szCs w:val="18"/>
              </w:rPr>
              <w:t xml:space="preserve">Χρήση DL  τεχνικών για την επιτυχημένη ανακατασκευή εικόνων </w:t>
            </w:r>
            <w:r w:rsidR="002F25E2" w:rsidRPr="006A467F">
              <w:rPr>
                <w:sz w:val="18"/>
                <w:szCs w:val="18"/>
              </w:rPr>
              <w:t>από</w:t>
            </w:r>
            <w:r w:rsidRPr="006A467F">
              <w:rPr>
                <w:sz w:val="18"/>
                <w:szCs w:val="18"/>
              </w:rPr>
              <w:t xml:space="preserve"> αρχικές με μόλις 10% χορήγηση γαδολίνιου χωρίς απώλεια ποιότητας και αντίθεσης σε σχέση με εικόνες που προκύπτουν </w:t>
            </w:r>
            <w:r w:rsidR="005403E6" w:rsidRPr="006A467F">
              <w:rPr>
                <w:sz w:val="18"/>
                <w:szCs w:val="18"/>
              </w:rPr>
              <w:t>από</w:t>
            </w:r>
            <w:r w:rsidRPr="006A467F">
              <w:rPr>
                <w:sz w:val="18"/>
                <w:szCs w:val="18"/>
              </w:rPr>
              <w:t xml:space="preserve"> 100% χορήγηση γαδολινίου.</w:t>
            </w:r>
          </w:p>
        </w:tc>
      </w:tr>
    </w:tbl>
    <w:p w14:paraId="4E6A2509" w14:textId="77777777" w:rsidR="00444A1E" w:rsidRDefault="00444A1E" w:rsidP="00E436EB">
      <w:pPr>
        <w:spacing w:line="360" w:lineRule="auto"/>
        <w:jc w:val="both"/>
        <w:rPr>
          <w:rFonts w:eastAsia="Calibri"/>
        </w:rPr>
      </w:pPr>
    </w:p>
    <w:p w14:paraId="0890C0EA" w14:textId="77777777" w:rsidR="00547F04" w:rsidRDefault="00547F04" w:rsidP="00E436EB">
      <w:pPr>
        <w:spacing w:line="360" w:lineRule="auto"/>
        <w:jc w:val="both"/>
        <w:rPr>
          <w:rFonts w:eastAsia="Calibri"/>
        </w:rPr>
      </w:pPr>
    </w:p>
    <w:p w14:paraId="6934E383" w14:textId="77777777" w:rsidR="00547F04" w:rsidRDefault="00547F04" w:rsidP="00E436EB">
      <w:pPr>
        <w:spacing w:line="360" w:lineRule="auto"/>
        <w:jc w:val="both"/>
        <w:rPr>
          <w:rFonts w:eastAsia="Calibri"/>
        </w:rPr>
      </w:pPr>
    </w:p>
    <w:p w14:paraId="4CF8643C" w14:textId="77777777" w:rsidR="00547F04" w:rsidRPr="00A831E7" w:rsidRDefault="00547F04" w:rsidP="00E436EB">
      <w:pPr>
        <w:spacing w:line="360" w:lineRule="auto"/>
        <w:jc w:val="both"/>
        <w:rPr>
          <w:rFonts w:eastAsia="Calibri"/>
        </w:rPr>
      </w:pPr>
    </w:p>
    <w:p w14:paraId="6A6956B2" w14:textId="5A34CFE4" w:rsidR="003C0D0F" w:rsidRPr="00A831E7" w:rsidRDefault="002265D7" w:rsidP="00F32EEE">
      <w:pPr>
        <w:pStyle w:val="4"/>
        <w:spacing w:line="360" w:lineRule="auto"/>
        <w:rPr>
          <w:rFonts w:eastAsia="Calibri"/>
          <w:b w:val="0"/>
          <w:bCs/>
        </w:rPr>
      </w:pPr>
      <w:r w:rsidRPr="00A831E7">
        <w:rPr>
          <w:rFonts w:eastAsia="Calibri"/>
          <w:bCs/>
        </w:rPr>
        <w:lastRenderedPageBreak/>
        <w:t>Αποθορυβοποίηση</w:t>
      </w:r>
    </w:p>
    <w:p w14:paraId="77608A7A" w14:textId="067D128D" w:rsidR="00B07E2B" w:rsidRDefault="005C3C1B" w:rsidP="00B07E2B">
      <w:pPr>
        <w:spacing w:line="360" w:lineRule="auto"/>
        <w:ind w:firstLine="720"/>
        <w:jc w:val="both"/>
        <w:rPr>
          <w:rFonts w:eastAsia="Calibri"/>
        </w:rPr>
      </w:pPr>
      <w:r w:rsidRPr="00A831E7">
        <w:rPr>
          <w:rFonts w:eastAsia="Calibri"/>
        </w:rPr>
        <w:t xml:space="preserve">Η αποθορυβοποίηση  και η μείωση θορύβου είναι μέθοδοι προεπεξεργασίας με την οποία ο θόρυβος αφαιρείται ή μειώνεται χωρίς να επηρεάζεται το αρχικό σήμα. Αυτή η διαδικασία έχει σημαντική κλινική αξία στην αξονική τομογραφία (CT), καθώς επιτρέπει τη μείωση της δόσης ακτινοβολίας </w:t>
      </w:r>
      <w:r w:rsidRPr="00A831E7">
        <w:rPr>
          <w:rFonts w:eastAsia="Calibri"/>
        </w:rPr>
        <w:fldChar w:fldCharType="begin"/>
      </w:r>
      <w:r w:rsidRPr="00A831E7">
        <w:rPr>
          <w:rFonts w:eastAsia="Calibri"/>
        </w:rPr>
        <w:instrText xml:space="preserve"> ADDIN ZOTERO_ITEM CSL_CITATION {"citationID":"V0OemEHx","properties":{"formattedCitation":"[26]","plainCitation":"[26]","noteIndex":0},"citationItems":[{"id":1211,"uris":["http://zotero.org/users/local/mfHf28QG/items/9FUW65EX"],"itemData":{"id":1211,"type":"article-journal","abstract":"Artificial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Pr="00A831E7">
        <w:rPr>
          <w:rFonts w:eastAsia="Calibri"/>
        </w:rPr>
        <w:fldChar w:fldCharType="separate"/>
      </w:r>
      <w:r w:rsidRPr="00A831E7">
        <w:rPr>
          <w:rFonts w:eastAsia="Calibri"/>
        </w:rPr>
        <w:t>[26]</w:t>
      </w:r>
      <w:r w:rsidRPr="00A831E7">
        <w:rPr>
          <w:rFonts w:eastAsia="Calibri"/>
        </w:rPr>
        <w:fldChar w:fldCharType="end"/>
      </w:r>
      <w:r w:rsidRPr="00A831E7">
        <w:rPr>
          <w:rFonts w:eastAsia="Calibri"/>
        </w:rPr>
        <w:t xml:space="preserve">. Παράλληλα, προσφέρει οφέλη και στη μαγνητική τομογραφία (MRI), όπου η μείωση του χρόνου απόκτησης εικόνας οδηγεί συνήθως σε εικόνες με χαμηλότερο σηματοθορυβικό λόγο (SNR) σε σύγκριση με εικόνες που χρειάζονται μεγαλύτερους χρόνους σάρωσης </w:t>
      </w:r>
      <w:r w:rsidRPr="00A831E7">
        <w:rPr>
          <w:rFonts w:eastAsia="Calibri"/>
        </w:rPr>
        <w:fldChar w:fldCharType="begin"/>
      </w:r>
      <w:r w:rsidRPr="00A831E7">
        <w:rPr>
          <w:rFonts w:eastAsia="Calibri"/>
        </w:rPr>
        <w:instrText xml:space="preserve"> ADDIN ZOTERO_ITEM CSL_CITATION {"citationID":"k40SP0gE","properties":{"formattedCitation":"[26]","plainCitation":"[26]","noteIndex":0},"citationItems":[{"id":1211,"uris":["http://zotero.org/users/local/mfHf28QG/items/9FUW65EX"],"itemData":{"id":1211,"type":"article-journal","abstract":"Artificial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Pr="00A831E7">
        <w:rPr>
          <w:rFonts w:eastAsia="Calibri"/>
        </w:rPr>
        <w:fldChar w:fldCharType="separate"/>
      </w:r>
      <w:r w:rsidRPr="00A831E7">
        <w:rPr>
          <w:rFonts w:eastAsia="Calibri"/>
        </w:rPr>
        <w:t>[26]</w:t>
      </w:r>
      <w:r w:rsidRPr="00A831E7">
        <w:rPr>
          <w:rFonts w:eastAsia="Calibri"/>
        </w:rPr>
        <w:fldChar w:fldCharType="end"/>
      </w:r>
      <w:r w:rsidRPr="00A831E7">
        <w:rPr>
          <w:rFonts w:eastAsia="Calibri"/>
        </w:rPr>
        <w:t>.</w:t>
      </w:r>
      <w:r w:rsidRPr="00A831E7">
        <w:t xml:space="preserve"> </w:t>
      </w:r>
      <w:r w:rsidRPr="00A831E7">
        <w:rPr>
          <w:rFonts w:eastAsia="Calibri"/>
        </w:rPr>
        <w:t xml:space="preserve">Οι μελέτες του </w:t>
      </w:r>
      <w:r w:rsidRPr="00A831E7">
        <w:rPr>
          <w:rFonts w:eastAsia="Calibri"/>
          <w:i/>
          <w:iCs/>
        </w:rPr>
        <w:t xml:space="preserve">Πίνακα </w:t>
      </w:r>
      <w:r w:rsidR="0011104D" w:rsidRPr="00A831E7">
        <w:rPr>
          <w:rFonts w:eastAsia="Calibri"/>
          <w:i/>
          <w:iCs/>
        </w:rPr>
        <w:t>7</w:t>
      </w:r>
      <w:r w:rsidRPr="00A831E7">
        <w:rPr>
          <w:rFonts w:eastAsia="Calibri"/>
        </w:rPr>
        <w:t xml:space="preserve"> έχουν επιδείξει σημαντικά αποτελέσματα στη μείωση θορύβου σε εικόνες CT και MRI μέσω DL αλγορίθμων, βελτιώνοντας την ποιότητα και τη διαγνωστική ακρίβεια. </w:t>
      </w:r>
    </w:p>
    <w:p w14:paraId="74C7B195" w14:textId="77777777" w:rsidR="00EE0F79" w:rsidRPr="00A831E7" w:rsidRDefault="00EE0F79" w:rsidP="00B07E2B">
      <w:pPr>
        <w:spacing w:line="360" w:lineRule="auto"/>
        <w:ind w:firstLine="720"/>
        <w:jc w:val="both"/>
        <w:rPr>
          <w:rFonts w:eastAsia="Calibri"/>
        </w:rPr>
      </w:pPr>
    </w:p>
    <w:p w14:paraId="607963E9" w14:textId="41D8B065" w:rsidR="00444A1E" w:rsidRPr="00A831E7" w:rsidRDefault="00716132" w:rsidP="00F32EEE">
      <w:pPr>
        <w:pStyle w:val="af5"/>
        <w:keepNext/>
        <w:spacing w:line="360" w:lineRule="auto"/>
        <w:jc w:val="center"/>
        <w:rPr>
          <w:b/>
          <w:bCs/>
          <w:color w:val="auto"/>
          <w:sz w:val="20"/>
          <w:szCs w:val="20"/>
        </w:rPr>
      </w:pPr>
      <w:bookmarkStart w:id="86" w:name="_Toc199787742"/>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7</w:t>
      </w:r>
      <w:r w:rsidRPr="00A831E7">
        <w:rPr>
          <w:b/>
          <w:bCs/>
          <w:color w:val="auto"/>
          <w:sz w:val="20"/>
          <w:szCs w:val="20"/>
        </w:rPr>
        <w:fldChar w:fldCharType="end"/>
      </w:r>
      <w:r w:rsidRPr="00A831E7">
        <w:rPr>
          <w:rFonts w:eastAsia="Calibri"/>
          <w:b/>
          <w:bCs/>
          <w:color w:val="auto"/>
          <w:sz w:val="20"/>
          <w:szCs w:val="20"/>
        </w:rPr>
        <w:t>: Μελέτες για τη Μείωση Απεικονιστικού Θορύβου</w:t>
      </w:r>
      <w:r w:rsidR="008A6745" w:rsidRPr="00A831E7">
        <w:rPr>
          <w:rFonts w:eastAsia="Calibri"/>
          <w:b/>
          <w:bCs/>
          <w:color w:val="auto"/>
          <w:sz w:val="20"/>
          <w:szCs w:val="20"/>
        </w:rPr>
        <w:t xml:space="preserve">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{"citationID":"bgh8CHSb","properties":{"formattedCitation":"[26]","plainCitation":"[26]","noteIndex":0},"citationItems":[{"id":1211,"uris":["http://zotero.org/users/local/mfHf28QG/items/9FUW65EX"],"itemData":{"id":1211,"type":"article-journal","abstract":"Artificial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[26]</w:t>
      </w:r>
      <w:bookmarkEnd w:id="86"/>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1255"/>
        <w:gridCol w:w="7047"/>
      </w:tblGrid>
      <w:tr w:rsidR="000C1070" w:rsidRPr="00A831E7" w14:paraId="4871EB6B" w14:textId="77777777" w:rsidTr="0057069D">
        <w:tc>
          <w:tcPr>
            <w:tcW w:w="1255" w:type="dxa"/>
            <w:shd w:val="clear" w:color="auto" w:fill="D9D9D9" w:themeFill="background1" w:themeFillShade="D9"/>
          </w:tcPr>
          <w:p w14:paraId="4E997BA2" w14:textId="77777777" w:rsidR="000C1070" w:rsidRPr="00A831E7" w:rsidRDefault="000C1070" w:rsidP="008A6745">
            <w:pPr>
              <w:spacing w:line="360" w:lineRule="auto"/>
              <w:jc w:val="center"/>
              <w:rPr>
                <w:rFonts w:eastAsia="Calibri"/>
                <w:b/>
                <w:bCs/>
                <w:sz w:val="20"/>
                <w:szCs w:val="20"/>
              </w:rPr>
            </w:pPr>
            <w:r w:rsidRPr="00A831E7">
              <w:rPr>
                <w:rFonts w:eastAsia="Calibri"/>
                <w:b/>
                <w:bCs/>
                <w:sz w:val="20"/>
                <w:szCs w:val="20"/>
              </w:rPr>
              <w:t>Αναφορά</w:t>
            </w:r>
          </w:p>
        </w:tc>
        <w:tc>
          <w:tcPr>
            <w:tcW w:w="7047" w:type="dxa"/>
            <w:shd w:val="clear" w:color="auto" w:fill="D9D9D9" w:themeFill="background1" w:themeFillShade="D9"/>
          </w:tcPr>
          <w:p w14:paraId="7128E1F8" w14:textId="77777777" w:rsidR="000C1070" w:rsidRPr="00A831E7" w:rsidRDefault="000C1070" w:rsidP="008A6745">
            <w:pPr>
              <w:spacing w:line="360" w:lineRule="auto"/>
              <w:jc w:val="center"/>
              <w:rPr>
                <w:rFonts w:eastAsia="Calibri"/>
                <w:b/>
                <w:bCs/>
                <w:sz w:val="20"/>
                <w:szCs w:val="20"/>
              </w:rPr>
            </w:pPr>
            <w:r w:rsidRPr="00A831E7">
              <w:rPr>
                <w:rFonts w:eastAsia="Calibri"/>
                <w:b/>
                <w:bCs/>
                <w:sz w:val="20"/>
                <w:szCs w:val="20"/>
              </w:rPr>
              <w:t>Αποτελέσματα</w:t>
            </w:r>
          </w:p>
        </w:tc>
      </w:tr>
      <w:tr w:rsidR="000C1070" w:rsidRPr="00A831E7" w14:paraId="02B02F06" w14:textId="77777777" w:rsidTr="00AC1D7E">
        <w:tc>
          <w:tcPr>
            <w:tcW w:w="1255" w:type="dxa"/>
          </w:tcPr>
          <w:p w14:paraId="55613951" w14:textId="7E48077B" w:rsidR="000C1070" w:rsidRPr="00547F04" w:rsidRDefault="000C1070" w:rsidP="00B07E2B">
            <w:pPr>
              <w:spacing w:line="276" w:lineRule="auto"/>
              <w:jc w:val="center"/>
              <w:rPr>
                <w:rFonts w:eastAsia="Calibri"/>
                <w:sz w:val="20"/>
                <w:szCs w:val="20"/>
              </w:rPr>
            </w:pPr>
            <w:r w:rsidRPr="00547F04">
              <w:rPr>
                <w:rFonts w:eastAsia="Calibri"/>
                <w:sz w:val="20"/>
                <w:szCs w:val="20"/>
              </w:rPr>
              <w:t xml:space="preserve">Chen et al. </w:t>
            </w:r>
            <w:r w:rsidR="008C4903" w:rsidRPr="00547F04">
              <w:rPr>
                <w:rFonts w:eastAsia="Calibri"/>
                <w:sz w:val="20"/>
                <w:szCs w:val="20"/>
              </w:rPr>
              <w:fldChar w:fldCharType="begin"/>
            </w:r>
            <w:r w:rsidR="00C90120" w:rsidRPr="00547F04">
              <w:rPr>
                <w:rFonts w:eastAsia="Calibri"/>
                <w:sz w:val="20"/>
                <w:szCs w:val="20"/>
              </w:rPr>
              <w:instrText xml:space="preserve"> ADDIN ZOTERO_ITEM CSL_CITATION {"citationID":"6nkFV0Tx","properties":{"formattedCitation":"[40]","plainCitation":"[40]","noteIndex":0},"citationItems":[{"id":1622,"uris":["http://zotero.org/users/local/mfHf28QG/items/XIRJFIV9"],"itemData":{"id":1622,"type":"article-journal","abstract":"In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methods.","container-title":"Biomedical Optics Express","DOI":"10.1364/BOE.8.000679","ISSN":"2156-7085","issue":"2","journalAbbreviation":"Biomed. Opt. Express, BOE","language":"EN","license":"© 2017 Optical Society of America","note":"publisher: Optica Publishing Group","page":"679-694","source":"opg.optica.org","title":"Low-dose CT via convolutional neural network","volume":"8","author":[{"family":"Chen","given":"Hu"},{"family":"Zhang","given":"Yi"},{"family":"Zhang","given":"Weihua"},{"family":"Liao","given":"Peixi"},{"family":"Li","given":"Ke"},{"family":"Zhou","given":"Jiliu"},{"family":"Wang","given":"Ge"}],"issued":{"date-parts":[["2017",2,1]]}},"suppress-author":true}],"schema":"https://github.com/citation-style-language/schema/raw/master/csl-citation.json"} </w:instrText>
            </w:r>
            <w:r w:rsidR="008C4903" w:rsidRPr="00547F04">
              <w:rPr>
                <w:rFonts w:eastAsia="Calibri"/>
                <w:sz w:val="20"/>
                <w:szCs w:val="20"/>
              </w:rPr>
              <w:fldChar w:fldCharType="separate"/>
            </w:r>
            <w:r w:rsidR="00C90120" w:rsidRPr="00547F04">
              <w:rPr>
                <w:rFonts w:eastAsia="Calibri"/>
                <w:sz w:val="20"/>
                <w:szCs w:val="20"/>
              </w:rPr>
              <w:t>[40]</w:t>
            </w:r>
            <w:r w:rsidR="008C4903" w:rsidRPr="00547F04">
              <w:rPr>
                <w:rFonts w:eastAsia="Calibri"/>
                <w:sz w:val="20"/>
                <w:szCs w:val="20"/>
              </w:rPr>
              <w:fldChar w:fldCharType="end"/>
            </w:r>
          </w:p>
        </w:tc>
        <w:tc>
          <w:tcPr>
            <w:tcW w:w="7047" w:type="dxa"/>
          </w:tcPr>
          <w:p w14:paraId="0DE0C347" w14:textId="232303CF" w:rsidR="000C1070" w:rsidRPr="006A467F" w:rsidRDefault="000C1070" w:rsidP="00B07E2B">
            <w:pPr>
              <w:spacing w:line="276" w:lineRule="auto"/>
              <w:jc w:val="both"/>
              <w:rPr>
                <w:rFonts w:eastAsia="Calibri"/>
                <w:sz w:val="18"/>
                <w:szCs w:val="18"/>
              </w:rPr>
            </w:pPr>
            <w:r w:rsidRPr="006A467F">
              <w:rPr>
                <w:rFonts w:eastAsia="Calibri"/>
                <w:sz w:val="18"/>
                <w:szCs w:val="18"/>
              </w:rPr>
              <w:t>Χρήση CNN αλγορίθμων για τη μετατροπή συνόλων δεδομένων σε υψηλότερης ποιότητας εικόνες, μειώνοντας τον θόρυβο χωρίς απώλεια διαγνωστικής ακρίβειας.</w:t>
            </w:r>
          </w:p>
        </w:tc>
      </w:tr>
      <w:tr w:rsidR="000C1070" w:rsidRPr="00A831E7" w14:paraId="079E43FB" w14:textId="77777777" w:rsidTr="00AC1D7E">
        <w:tc>
          <w:tcPr>
            <w:tcW w:w="1255" w:type="dxa"/>
          </w:tcPr>
          <w:p w14:paraId="3C089D72" w14:textId="4533F830" w:rsidR="000C1070" w:rsidRPr="00547F04" w:rsidRDefault="000C1070" w:rsidP="00B07E2B">
            <w:pPr>
              <w:spacing w:line="276" w:lineRule="auto"/>
              <w:jc w:val="center"/>
              <w:rPr>
                <w:rFonts w:eastAsia="Calibri"/>
                <w:sz w:val="20"/>
                <w:szCs w:val="20"/>
              </w:rPr>
            </w:pPr>
            <w:r w:rsidRPr="00547F04">
              <w:rPr>
                <w:rFonts w:eastAsia="Calibri"/>
                <w:sz w:val="20"/>
                <w:szCs w:val="20"/>
              </w:rPr>
              <w:t xml:space="preserve">Du et al. </w:t>
            </w:r>
            <w:r w:rsidR="008C4903" w:rsidRPr="00547F04">
              <w:rPr>
                <w:rFonts w:eastAsia="Calibri"/>
                <w:sz w:val="20"/>
                <w:szCs w:val="20"/>
              </w:rPr>
              <w:fldChar w:fldCharType="begin"/>
            </w:r>
            <w:r w:rsidR="00C90120" w:rsidRPr="00547F04">
              <w:rPr>
                <w:rFonts w:eastAsia="Calibri"/>
                <w:sz w:val="20"/>
                <w:szCs w:val="20"/>
              </w:rPr>
              <w:instrText xml:space="preserve"> ADDIN ZOTERO_ITEM CSL_CITATION {"citationID":"LvMQf4YU","properties":{"formattedCitation":"[41]","plainCitation":"[41]","noteIndex":0},"citationItems":[{"id":1624,"uris":["http://zotero.org/users/local/mfHf28QG/items/KAFSEDQS"],"itemData":{"id":1624,"type":"article-journal","abstract":"Since absorption of X-ray radiation has the possibility of inducing cancerous, genetic and other diseases to patients, researches usually attempt to reduce the radiation dose. However, reduction of the radiation dose associated with CT scans will unavoidably increase the severity of noise and artifacts, which can seriously affect diagnostic confidence. Due to the outstanding performance of deep neural networks in image processing, in this paper, we proposed a Stacked Competitive Network (SCN) approach to noise reduction, which stacks several successive Competitive Blocks (CB). The carefully handcrafted design of the competitive blocks was inspired by the idea of multi-scale processing and improvement the network’s capacity. Qualitative and quantitative evaluations demonstrate the competitive performance of the proposed method in noise suppression, structural preservation, and lesion detection.","container-title":"PLOS ONE","DOI":"10.1371/journal.pone.0190069","ISSN":"1932-6203","issue":"12","journalAbbreviation":"PLOS ONE","language":"en","note":"publisher: Public Library of Science","page":"e0190069","source":"PLoS Journals","title":"Stacked competitive networks for noise reduction in low-dose CT","volume":"12","author":[{"family":"Du","given":"Wenchao"},{"family":"Chen","given":"Hu"},{"family":"Wu","given":"Zhihong"},{"family":"Sun","given":"Huaiqiang"},{"family":"Liao","given":"Peixi"},{"family":"Zhang","given":"Yi"}],"issued":{"date-parts":[["2017",12,21]]}},"suppress-author":true}],"schema":"https://github.com/citation-style-language/schema/raw/master/csl-citation.json"} </w:instrText>
            </w:r>
            <w:r w:rsidR="008C4903" w:rsidRPr="00547F04">
              <w:rPr>
                <w:rFonts w:eastAsia="Calibri"/>
                <w:sz w:val="20"/>
                <w:szCs w:val="20"/>
              </w:rPr>
              <w:fldChar w:fldCharType="separate"/>
            </w:r>
            <w:r w:rsidR="00C90120" w:rsidRPr="00547F04">
              <w:rPr>
                <w:rFonts w:eastAsia="Calibri"/>
                <w:sz w:val="20"/>
                <w:szCs w:val="20"/>
              </w:rPr>
              <w:t>[41]</w:t>
            </w:r>
            <w:r w:rsidR="008C4903" w:rsidRPr="00547F04">
              <w:rPr>
                <w:rFonts w:eastAsia="Calibri"/>
                <w:sz w:val="20"/>
                <w:szCs w:val="20"/>
              </w:rPr>
              <w:fldChar w:fldCharType="end"/>
            </w:r>
          </w:p>
        </w:tc>
        <w:tc>
          <w:tcPr>
            <w:tcW w:w="7047" w:type="dxa"/>
            <w:vAlign w:val="center"/>
          </w:tcPr>
          <w:p w14:paraId="318CF4F6" w14:textId="450A2AFF" w:rsidR="000C1070" w:rsidRPr="00FA6923" w:rsidRDefault="000C1070" w:rsidP="00B07E2B">
            <w:pPr>
              <w:spacing w:line="276" w:lineRule="auto"/>
              <w:jc w:val="both"/>
              <w:rPr>
                <w:rFonts w:eastAsia="Calibri"/>
                <w:sz w:val="18"/>
                <w:szCs w:val="18"/>
                <w:lang w:val="en-US"/>
              </w:rPr>
            </w:pPr>
            <w:r w:rsidRPr="006A467F">
              <w:rPr>
                <w:rFonts w:eastAsia="Calibri"/>
                <w:sz w:val="18"/>
                <w:szCs w:val="18"/>
              </w:rPr>
              <w:t>Βελτίωση εικόνων CT χαμηλής δόσης μέσω CNN αλγορίθμων, αυξάνοντας την οπτική ευκρίνεια χωρίς επιπλέον ακτινοβολία.</w:t>
            </w:r>
          </w:p>
        </w:tc>
      </w:tr>
      <w:tr w:rsidR="000C1070" w:rsidRPr="00A831E7" w14:paraId="6517D73A" w14:textId="77777777" w:rsidTr="00AC1D7E">
        <w:tc>
          <w:tcPr>
            <w:tcW w:w="1255" w:type="dxa"/>
          </w:tcPr>
          <w:p w14:paraId="0A97A935" w14:textId="79C9E620" w:rsidR="000C1070" w:rsidRPr="00547F04" w:rsidRDefault="000C1070" w:rsidP="00B07E2B">
            <w:pPr>
              <w:spacing w:line="276" w:lineRule="auto"/>
              <w:jc w:val="center"/>
              <w:rPr>
                <w:rFonts w:eastAsiaTheme="majorEastAsia"/>
                <w:sz w:val="20"/>
                <w:szCs w:val="20"/>
              </w:rPr>
            </w:pPr>
            <w:r w:rsidRPr="00547F04">
              <w:rPr>
                <w:rFonts w:eastAsiaTheme="majorEastAsia"/>
                <w:sz w:val="20"/>
                <w:szCs w:val="20"/>
              </w:rPr>
              <w:t xml:space="preserve">Jiang et al. </w:t>
            </w:r>
            <w:r w:rsidR="008C4903" w:rsidRPr="00547F04">
              <w:rPr>
                <w:rFonts w:eastAsiaTheme="majorEastAsia"/>
                <w:sz w:val="20"/>
                <w:szCs w:val="20"/>
              </w:rPr>
              <w:fldChar w:fldCharType="begin"/>
            </w:r>
            <w:r w:rsidR="00C90120" w:rsidRPr="00547F04">
              <w:rPr>
                <w:rFonts w:eastAsiaTheme="majorEastAsia"/>
                <w:sz w:val="20"/>
                <w:szCs w:val="20"/>
              </w:rPr>
              <w:instrText xml:space="preserve"> ADDIN ZOTERO_ITEM CSL_CITATION {"citationID":"rqkEftbG","properties":{"formattedCitation":"[42]","plainCitation":"[42]","noteIndex":0},"citationItems":[{"id":1630,"uris":["http://zotero.org/users/local/mfHf28QG/items/ZL7T3ACC"],"itemData":{"id":1630,"type":"article-journal","abstract":"To test if the proposed deep learning based denoising method denoising convolutional neural networks (DnCNN) with residual learning and multi-channel strategy can denoise three dimensional MR images with Rician noise robustly.","container-title":"Japanese Journal of Radiology","DOI":"10.1007/s11604-018-0758-8","ISSN":"1867-108X","issue":"9","journalAbbreviation":"Jpn J Radiol","language":"en","page":"566-574","source":"Springer Link","title":"Denoising of 3D magnetic resonance images with multi-channel residual learning of convolutional neural network","volume":"36","author":[{"family":"Jiang","given":"Dongsheng"},{"family":"Dou","given":"Weiqiang"},{"family":"Vosters","given":"Luc"},{"family":"Xu","given":"Xiayu"},{"family":"Sun","given":"Yue"},{"family":"Tan","given":"Tao"}],"issued":{"date-parts":[["2018",9,1]]}},"suppress-author":true}],"schema":"https://github.com/citation-style-language/schema/raw/master/csl-citation.json"} </w:instrText>
            </w:r>
            <w:r w:rsidR="008C4903" w:rsidRPr="00547F04">
              <w:rPr>
                <w:rFonts w:eastAsiaTheme="majorEastAsia"/>
                <w:sz w:val="20"/>
                <w:szCs w:val="20"/>
              </w:rPr>
              <w:fldChar w:fldCharType="separate"/>
            </w:r>
            <w:r w:rsidR="00C90120" w:rsidRPr="00547F04">
              <w:rPr>
                <w:rFonts w:eastAsiaTheme="majorEastAsia"/>
                <w:sz w:val="20"/>
                <w:szCs w:val="20"/>
              </w:rPr>
              <w:t>[42]</w:t>
            </w:r>
            <w:r w:rsidR="008C4903" w:rsidRPr="00547F04">
              <w:rPr>
                <w:rFonts w:eastAsiaTheme="majorEastAsia"/>
                <w:sz w:val="20"/>
                <w:szCs w:val="20"/>
              </w:rPr>
              <w:fldChar w:fldCharType="end"/>
            </w:r>
          </w:p>
        </w:tc>
        <w:tc>
          <w:tcPr>
            <w:tcW w:w="7047" w:type="dxa"/>
          </w:tcPr>
          <w:p w14:paraId="77431F62" w14:textId="02F23C97" w:rsidR="000C1070" w:rsidRPr="006A467F" w:rsidRDefault="000C1070" w:rsidP="00B07E2B">
            <w:pPr>
              <w:spacing w:line="276" w:lineRule="auto"/>
              <w:jc w:val="both"/>
              <w:rPr>
                <w:rFonts w:eastAsia="Calibri"/>
                <w:sz w:val="18"/>
                <w:szCs w:val="18"/>
              </w:rPr>
            </w:pPr>
            <w:r w:rsidRPr="006A467F">
              <w:rPr>
                <w:rFonts w:eastAsia="Calibri"/>
                <w:sz w:val="18"/>
                <w:szCs w:val="18"/>
              </w:rPr>
              <w:t>Αποθορυβοποίηση 3D εγκεφαλικών εικόνων MRI</w:t>
            </w:r>
            <w:r w:rsidR="002265D7" w:rsidRPr="006A467F">
              <w:rPr>
                <w:rFonts w:eastAsia="Calibri"/>
                <w:sz w:val="18"/>
                <w:szCs w:val="18"/>
              </w:rPr>
              <w:t xml:space="preserve"> των όποιων η λήψη έγινε σε πεδίο με δύναμη</w:t>
            </w:r>
            <w:r w:rsidRPr="006A467F">
              <w:rPr>
                <w:rFonts w:eastAsia="Calibri"/>
                <w:sz w:val="18"/>
                <w:szCs w:val="18"/>
              </w:rPr>
              <w:t xml:space="preserve"> 1.5</w:t>
            </w:r>
            <w:r w:rsidR="00444A1E" w:rsidRPr="006A467F">
              <w:rPr>
                <w:rFonts w:eastAsia="Calibri"/>
                <w:sz w:val="18"/>
                <w:szCs w:val="18"/>
              </w:rPr>
              <w:t xml:space="preserve"> - </w:t>
            </w:r>
            <w:r w:rsidRPr="006A467F">
              <w:rPr>
                <w:rFonts w:eastAsia="Calibri"/>
                <w:sz w:val="18"/>
                <w:szCs w:val="18"/>
              </w:rPr>
              <w:t>3</w:t>
            </w:r>
            <w:r w:rsidR="00444A1E" w:rsidRPr="006A467F">
              <w:rPr>
                <w:rFonts w:eastAsia="Calibri"/>
                <w:sz w:val="18"/>
                <w:szCs w:val="18"/>
              </w:rPr>
              <w:t xml:space="preserve"> </w:t>
            </w:r>
            <w:r w:rsidRPr="006A467F">
              <w:rPr>
                <w:rFonts w:eastAsia="Calibri"/>
                <w:sz w:val="18"/>
                <w:szCs w:val="18"/>
              </w:rPr>
              <w:t>T</w:t>
            </w:r>
            <w:r w:rsidR="00444A1E" w:rsidRPr="006A467F">
              <w:rPr>
                <w:rFonts w:eastAsia="Calibri"/>
                <w:sz w:val="18"/>
                <w:szCs w:val="18"/>
              </w:rPr>
              <w:t>esla</w:t>
            </w:r>
            <w:r w:rsidRPr="006A467F">
              <w:rPr>
                <w:rFonts w:eastAsia="Calibri"/>
                <w:sz w:val="18"/>
                <w:szCs w:val="18"/>
              </w:rPr>
              <w:t xml:space="preserve"> μέσω CNNs, προσφέροντας μια δυνητικά γενικεύσιμη τεχνική.</w:t>
            </w:r>
          </w:p>
        </w:tc>
      </w:tr>
    </w:tbl>
    <w:p w14:paraId="5FF6696B" w14:textId="77777777" w:rsidR="00444A1E" w:rsidRPr="00A831E7" w:rsidRDefault="00444A1E" w:rsidP="001D68F2">
      <w:pPr>
        <w:spacing w:line="360" w:lineRule="auto"/>
        <w:jc w:val="both"/>
        <w:rPr>
          <w:rFonts w:eastAsia="Calibri"/>
        </w:rPr>
      </w:pPr>
    </w:p>
    <w:p w14:paraId="22C87FB6" w14:textId="4C26DB40" w:rsidR="008C4903" w:rsidRPr="00A831E7" w:rsidRDefault="008C4903" w:rsidP="00F32EEE">
      <w:pPr>
        <w:pStyle w:val="4"/>
        <w:spacing w:line="360" w:lineRule="auto"/>
        <w:rPr>
          <w:rFonts w:eastAsia="Calibri"/>
          <w:b w:val="0"/>
          <w:bCs/>
        </w:rPr>
      </w:pPr>
      <w:r w:rsidRPr="00A831E7">
        <w:rPr>
          <w:rFonts w:eastAsia="Calibri"/>
          <w:bCs/>
        </w:rPr>
        <w:t xml:space="preserve">Μείωση των Απεικονιστικών </w:t>
      </w:r>
      <w:r w:rsidR="00DF3B6E">
        <w:rPr>
          <w:rFonts w:eastAsia="Calibri"/>
          <w:bCs/>
        </w:rPr>
        <w:t>«</w:t>
      </w:r>
      <w:r w:rsidRPr="00A831E7">
        <w:rPr>
          <w:rFonts w:eastAsia="Calibri"/>
          <w:bCs/>
        </w:rPr>
        <w:t>Artifacts</w:t>
      </w:r>
      <w:r w:rsidR="00DF3B6E">
        <w:rPr>
          <w:rFonts w:eastAsia="Calibri"/>
          <w:bCs/>
        </w:rPr>
        <w:t>»</w:t>
      </w:r>
    </w:p>
    <w:p w14:paraId="7EC79394" w14:textId="3D97FEAE" w:rsidR="00C90120" w:rsidRDefault="008C4903" w:rsidP="00F32EEE">
      <w:pPr>
        <w:spacing w:line="360" w:lineRule="auto"/>
        <w:jc w:val="both"/>
        <w:rPr>
          <w:rFonts w:eastAsia="Calibri"/>
        </w:rPr>
      </w:pPr>
      <w:bookmarkStart w:id="87" w:name="_Hlk198130898"/>
      <w:r w:rsidRPr="00A831E7">
        <w:rPr>
          <w:rFonts w:eastAsia="Calibri"/>
        </w:rPr>
        <w:tab/>
        <w:t xml:space="preserve">Η μείωση των </w:t>
      </w:r>
      <w:r w:rsidR="00DF3B6E">
        <w:rPr>
          <w:rFonts w:eastAsia="Calibri"/>
        </w:rPr>
        <w:t>«</w:t>
      </w:r>
      <w:r w:rsidRPr="00A831E7">
        <w:rPr>
          <w:rFonts w:eastAsia="Calibri"/>
        </w:rPr>
        <w:t>artifacts</w:t>
      </w:r>
      <w:r w:rsidR="00DF3B6E">
        <w:rPr>
          <w:rFonts w:eastAsia="Calibri"/>
        </w:rPr>
        <w:t>»</w:t>
      </w:r>
      <w:r w:rsidRPr="00A831E7">
        <w:rPr>
          <w:rFonts w:eastAsia="Calibri"/>
        </w:rPr>
        <w:t xml:space="preserve"> σε απεικονιστικά δεδομένα αποτελεί μια σημαντική εφαρμογή της βαθιάς μάθησης</w:t>
      </w:r>
      <w:r w:rsidR="00C76CF8">
        <w:rPr>
          <w:rFonts w:eastAsia="Calibri"/>
        </w:rPr>
        <w:t xml:space="preserve"> </w:t>
      </w:r>
      <w:r w:rsidRPr="00A831E7">
        <w:rPr>
          <w:rFonts w:eastAsia="Calibri"/>
        </w:rPr>
        <w:t xml:space="preserve">(DL) στην ιατρική απεικόνιση, καθώς τα </w:t>
      </w:r>
      <w:r w:rsidR="00DF3B6E">
        <w:rPr>
          <w:rFonts w:eastAsia="Calibri"/>
        </w:rPr>
        <w:t>«</w:t>
      </w:r>
      <w:r w:rsidR="00B84C60" w:rsidRPr="00A831E7">
        <w:rPr>
          <w:rFonts w:eastAsia="Calibri"/>
        </w:rPr>
        <w:t>artifacts</w:t>
      </w:r>
      <w:r w:rsidR="00DF3B6E">
        <w:rPr>
          <w:rFonts w:eastAsia="Calibri"/>
        </w:rPr>
        <w:t>»</w:t>
      </w:r>
      <w:r w:rsidRPr="00A831E7">
        <w:rPr>
          <w:rFonts w:eastAsia="Calibri"/>
        </w:rPr>
        <w:t xml:space="preserve"> συχνά μειώνουν την ποιότητα των εικόνων και μπορεί να τις καταστήσουν μη αξιοποιήσιμες, οδηγώντας σε επιπλέον κόστος και χρόνο για νέα σάρωση. Στην αξονική τομογραφία, μεταλλικά εμφυτεύματα, όπως </w:t>
      </w:r>
      <w:r w:rsidR="00DF3B6E">
        <w:rPr>
          <w:rFonts w:eastAsia="Calibri"/>
        </w:rPr>
        <w:t>«</w:t>
      </w:r>
      <w:r w:rsidR="00B84C60" w:rsidRPr="00A831E7">
        <w:rPr>
          <w:rFonts w:eastAsia="Calibri"/>
        </w:rPr>
        <w:t>aneurysm</w:t>
      </w:r>
      <w:r w:rsidRPr="00A831E7">
        <w:rPr>
          <w:rFonts w:eastAsia="Calibri"/>
        </w:rPr>
        <w:t xml:space="preserve"> coils</w:t>
      </w:r>
      <w:r w:rsidR="00DF3B6E">
        <w:rPr>
          <w:rFonts w:eastAsia="Calibri"/>
        </w:rPr>
        <w:t>»</w:t>
      </w:r>
      <w:r w:rsidRPr="00A831E7">
        <w:rPr>
          <w:rFonts w:eastAsia="Calibri"/>
        </w:rPr>
        <w:t xml:space="preserve"> ή σφραγίσματα δοντιών, προκαλούν </w:t>
      </w:r>
      <w:r w:rsidR="00DF3B6E">
        <w:rPr>
          <w:rFonts w:eastAsia="Calibri"/>
        </w:rPr>
        <w:t>«</w:t>
      </w:r>
      <w:r w:rsidR="00B84C60" w:rsidRPr="00A831E7">
        <w:rPr>
          <w:rFonts w:eastAsia="Calibri"/>
        </w:rPr>
        <w:t>artifacts</w:t>
      </w:r>
      <w:r w:rsidR="00DF3B6E">
        <w:rPr>
          <w:rFonts w:eastAsia="Calibri"/>
        </w:rPr>
        <w:t>»</w:t>
      </w:r>
      <w:r w:rsidR="00B84C60" w:rsidRPr="00A831E7">
        <w:rPr>
          <w:rFonts w:eastAsia="Calibri"/>
        </w:rPr>
        <w:t xml:space="preserve"> </w:t>
      </w:r>
      <w:r w:rsidRPr="00A831E7">
        <w:rPr>
          <w:rFonts w:eastAsia="Calibri"/>
        </w:rPr>
        <w:t>λόγω σκλήρυνσης της δέσμης ή απορρόφησης φωτονίων, με αποτέλεσμα υποβαθμισμένες</w:t>
      </w:r>
      <w:r w:rsidR="00B84C60" w:rsidRPr="00A831E7">
        <w:rPr>
          <w:rFonts w:eastAsia="Calibri"/>
        </w:rPr>
        <w:t xml:space="preserve"> ποιοτικά</w:t>
      </w:r>
      <w:r w:rsidRPr="00A831E7">
        <w:rPr>
          <w:rFonts w:eastAsia="Calibri"/>
        </w:rPr>
        <w:t xml:space="preserve"> εικόνες</w:t>
      </w:r>
      <w:r w:rsidR="00B84C60" w:rsidRPr="00A831E7">
        <w:rPr>
          <w:rFonts w:eastAsia="Calibri"/>
        </w:rPr>
        <w:t xml:space="preserve"> </w:t>
      </w:r>
      <w:r w:rsidR="00B84C60" w:rsidRPr="00A831E7">
        <w:rPr>
          <w:rFonts w:eastAsia="Calibri"/>
        </w:rPr>
        <w:fldChar w:fldCharType="begin"/>
      </w:r>
      <w:r w:rsidR="00B84C60" w:rsidRPr="00A831E7">
        <w:rPr>
          <w:rFonts w:eastAsia="Calibri"/>
        </w:rPr>
        <w:instrText xml:space="preserve"> ADDIN ZOTERO_ITEM CSL_CITATION {"citationID":"9p6ZlrR8","properties":{"formattedCitation":"[26]","plainCitation":"[26]","noteIndex":0},"citationItems":[{"id":1211,"uris":["http://zotero.org/users/local/mfHf28QG/items/9FUW65EX"],"itemData":{"id":1211,"type":"article-journal","abstract":"Artificial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00B84C60" w:rsidRPr="00A831E7">
        <w:rPr>
          <w:rFonts w:eastAsia="Calibri"/>
        </w:rPr>
        <w:fldChar w:fldCharType="separate"/>
      </w:r>
      <w:r w:rsidR="00B84C60" w:rsidRPr="00A831E7">
        <w:rPr>
          <w:rFonts w:eastAsia="Calibri"/>
        </w:rPr>
        <w:t>[26]</w:t>
      </w:r>
      <w:r w:rsidR="00B84C60" w:rsidRPr="00A831E7">
        <w:rPr>
          <w:rFonts w:eastAsia="Calibri"/>
        </w:rPr>
        <w:fldChar w:fldCharType="end"/>
      </w:r>
      <w:r w:rsidRPr="00A831E7">
        <w:rPr>
          <w:rFonts w:eastAsia="Calibri"/>
        </w:rPr>
        <w:t xml:space="preserve">. Στη μαγνητική τομογραφία (MRI), η μείωση </w:t>
      </w:r>
      <w:r w:rsidR="00DF3B6E">
        <w:rPr>
          <w:rFonts w:eastAsia="Calibri"/>
        </w:rPr>
        <w:t>«</w:t>
      </w:r>
      <w:r w:rsidR="00B84C60" w:rsidRPr="00A831E7">
        <w:rPr>
          <w:rFonts w:eastAsia="Calibri"/>
        </w:rPr>
        <w:t>artifacts</w:t>
      </w:r>
      <w:r w:rsidR="00DF3B6E">
        <w:rPr>
          <w:rFonts w:eastAsia="Calibri"/>
        </w:rPr>
        <w:t>»</w:t>
      </w:r>
      <w:r w:rsidR="00B84C60" w:rsidRPr="00A831E7">
        <w:rPr>
          <w:rFonts w:eastAsia="Calibri"/>
        </w:rPr>
        <w:t xml:space="preserve"> </w:t>
      </w:r>
      <w:r w:rsidRPr="00A831E7">
        <w:rPr>
          <w:rFonts w:eastAsia="Calibri"/>
        </w:rPr>
        <w:t>έχει γίνει αντικείμενο αυξημένου ενδιαφέροντος, ιδιαίτερα για την απεικόνιση εγκεφάλου.</w:t>
      </w:r>
      <w:r w:rsidR="00B84C60" w:rsidRPr="00A831E7">
        <w:rPr>
          <w:rFonts w:eastAsia="Calibri"/>
        </w:rPr>
        <w:t xml:space="preserve"> Στον </w:t>
      </w:r>
      <w:r w:rsidR="00B84C60" w:rsidRPr="00A831E7">
        <w:rPr>
          <w:rFonts w:eastAsia="Calibri"/>
          <w:i/>
          <w:iCs/>
        </w:rPr>
        <w:t xml:space="preserve">Πίνακα </w:t>
      </w:r>
      <w:r w:rsidR="0011104D" w:rsidRPr="00A831E7">
        <w:rPr>
          <w:rFonts w:eastAsia="Calibri"/>
          <w:i/>
          <w:iCs/>
        </w:rPr>
        <w:t>8</w:t>
      </w:r>
      <w:r w:rsidR="00B84C60" w:rsidRPr="00A831E7">
        <w:rPr>
          <w:rFonts w:eastAsia="Calibri"/>
        </w:rPr>
        <w:t xml:space="preserve"> παρο</w:t>
      </w:r>
      <w:bookmarkEnd w:id="87"/>
      <w:r w:rsidR="00B84C60" w:rsidRPr="00A831E7">
        <w:rPr>
          <w:rFonts w:eastAsia="Calibri"/>
        </w:rPr>
        <w:t xml:space="preserve">υσιάζονται μελέτες που έχουν εστιάσει στη μείωση </w:t>
      </w:r>
      <w:r w:rsidR="00DF3B6E">
        <w:rPr>
          <w:rFonts w:eastAsia="Calibri"/>
        </w:rPr>
        <w:t>«</w:t>
      </w:r>
      <w:r w:rsidR="00B84C60" w:rsidRPr="00A831E7">
        <w:rPr>
          <w:rFonts w:eastAsia="Calibri"/>
        </w:rPr>
        <w:t>artifacts</w:t>
      </w:r>
      <w:r w:rsidR="00DF3B6E">
        <w:rPr>
          <w:rFonts w:eastAsia="Calibri"/>
        </w:rPr>
        <w:t>»</w:t>
      </w:r>
      <w:r w:rsidR="00B84C60" w:rsidRPr="00A831E7">
        <w:rPr>
          <w:rFonts w:eastAsia="Calibri"/>
        </w:rPr>
        <w:t xml:space="preserve"> μέσω CNN αλγορίθμων.</w:t>
      </w:r>
    </w:p>
    <w:p w14:paraId="25A3583E" w14:textId="77777777" w:rsidR="00B07E2B" w:rsidRPr="00A831E7" w:rsidRDefault="00B07E2B" w:rsidP="00F32EEE">
      <w:pPr>
        <w:spacing w:line="360" w:lineRule="auto"/>
        <w:jc w:val="both"/>
        <w:rPr>
          <w:rFonts w:eastAsia="Calibri"/>
        </w:rPr>
      </w:pPr>
    </w:p>
    <w:p w14:paraId="1603C9D0" w14:textId="35B289AE" w:rsidR="008A6745" w:rsidRPr="00A831E7" w:rsidRDefault="008A6745" w:rsidP="00F32EEE">
      <w:pPr>
        <w:pStyle w:val="af5"/>
        <w:keepNext/>
        <w:spacing w:line="360" w:lineRule="auto"/>
        <w:jc w:val="center"/>
        <w:rPr>
          <w:rFonts w:eastAsia="Calibri"/>
          <w:b/>
          <w:bCs/>
          <w:color w:val="auto"/>
          <w:sz w:val="20"/>
          <w:szCs w:val="20"/>
        </w:rPr>
      </w:pPr>
      <w:bookmarkStart w:id="88" w:name="_Toc199787743"/>
      <w:r w:rsidRPr="00A831E7">
        <w:rPr>
          <w:b/>
          <w:bCs/>
          <w:color w:val="auto"/>
          <w:sz w:val="20"/>
          <w:szCs w:val="20"/>
        </w:rPr>
        <w:lastRenderedPageBreak/>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8</w:t>
      </w:r>
      <w:r w:rsidRPr="00A831E7">
        <w:rPr>
          <w:b/>
          <w:bCs/>
          <w:color w:val="auto"/>
          <w:sz w:val="20"/>
          <w:szCs w:val="20"/>
        </w:rPr>
        <w:fldChar w:fldCharType="end"/>
      </w:r>
      <w:r w:rsidRPr="00A831E7">
        <w:rPr>
          <w:rFonts w:eastAsia="Calibri"/>
          <w:b/>
          <w:bCs/>
          <w:color w:val="auto"/>
          <w:sz w:val="20"/>
          <w:szCs w:val="20"/>
        </w:rPr>
        <w:t>:</w:t>
      </w:r>
      <w:r w:rsidRPr="00A831E7">
        <w:rPr>
          <w:b/>
          <w:bCs/>
          <w:color w:val="auto"/>
          <w:sz w:val="20"/>
          <w:szCs w:val="20"/>
        </w:rPr>
        <w:t xml:space="preserve"> </w:t>
      </w:r>
      <w:r w:rsidRPr="00A831E7">
        <w:rPr>
          <w:rFonts w:eastAsia="Calibri"/>
          <w:b/>
          <w:bCs/>
          <w:color w:val="auto"/>
          <w:sz w:val="20"/>
          <w:szCs w:val="20"/>
        </w:rPr>
        <w:t xml:space="preserve">Μελέτες χρήσης CNN αλγορίθμων για μείωση του </w:t>
      </w:r>
      <w:r w:rsidR="00DF3B6E">
        <w:rPr>
          <w:rFonts w:eastAsia="Calibri"/>
          <w:b/>
          <w:bCs/>
          <w:color w:val="auto"/>
          <w:sz w:val="20"/>
          <w:szCs w:val="20"/>
        </w:rPr>
        <w:t>«</w:t>
      </w:r>
      <w:r w:rsidRPr="00A831E7">
        <w:rPr>
          <w:rFonts w:eastAsia="Calibri"/>
          <w:b/>
          <w:bCs/>
          <w:color w:val="auto"/>
          <w:sz w:val="20"/>
          <w:szCs w:val="20"/>
        </w:rPr>
        <w:t>Artifacting</w:t>
      </w:r>
      <w:r w:rsidR="00DF3B6E">
        <w:rPr>
          <w:rFonts w:eastAsia="Calibri"/>
          <w:b/>
          <w:bCs/>
          <w:color w:val="auto"/>
          <w:sz w:val="20"/>
          <w:szCs w:val="20"/>
        </w:rPr>
        <w:t>»</w:t>
      </w:r>
      <w:r w:rsidRPr="00A831E7">
        <w:rPr>
          <w:rFonts w:eastAsia="Calibri"/>
          <w:b/>
          <w:bCs/>
          <w:color w:val="auto"/>
          <w:sz w:val="20"/>
          <w:szCs w:val="20"/>
        </w:rPr>
        <w:t xml:space="preserve">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{"citationID":"1fbQVhq3","properties":{"formattedCitation":"[26]","plainCitation":"[26]","noteIndex":0},"citationItems":[{"id":1211,"uris":["http://zotero.org/users/local/mfHf28QG/items/9FUW65EX"],"itemData":{"id":1211,"type":"article-journal","abstract":"Artificial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[26]</w:t>
      </w:r>
      <w:bookmarkEnd w:id="88"/>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1345"/>
        <w:gridCol w:w="6957"/>
      </w:tblGrid>
      <w:tr w:rsidR="00B84C60" w:rsidRPr="00A831E7" w14:paraId="28868509" w14:textId="77777777" w:rsidTr="0057069D">
        <w:trPr>
          <w:tblHeader/>
        </w:trPr>
        <w:tc>
          <w:tcPr>
            <w:tcW w:w="1345" w:type="dxa"/>
            <w:shd w:val="clear" w:color="auto" w:fill="D9D9D9" w:themeFill="background1" w:themeFillShade="D9"/>
          </w:tcPr>
          <w:p w14:paraId="728EBA4C" w14:textId="77777777" w:rsidR="00B84C60" w:rsidRPr="00A831E7" w:rsidRDefault="00B84C60" w:rsidP="008A6745">
            <w:pPr>
              <w:spacing w:line="360" w:lineRule="auto"/>
              <w:jc w:val="center"/>
              <w:rPr>
                <w:rFonts w:eastAsia="Calibri"/>
                <w:b/>
                <w:bCs/>
                <w:sz w:val="20"/>
                <w:szCs w:val="20"/>
              </w:rPr>
            </w:pPr>
            <w:r w:rsidRPr="00A831E7">
              <w:rPr>
                <w:rFonts w:eastAsia="Calibri"/>
                <w:b/>
                <w:bCs/>
                <w:sz w:val="20"/>
                <w:szCs w:val="20"/>
              </w:rPr>
              <w:t>Αναφορά</w:t>
            </w:r>
          </w:p>
        </w:tc>
        <w:tc>
          <w:tcPr>
            <w:tcW w:w="6957" w:type="dxa"/>
            <w:shd w:val="clear" w:color="auto" w:fill="D9D9D9" w:themeFill="background1" w:themeFillShade="D9"/>
          </w:tcPr>
          <w:p w14:paraId="688DF1EA" w14:textId="77777777" w:rsidR="00B84C60" w:rsidRPr="00A831E7" w:rsidRDefault="00B84C60" w:rsidP="008A6745">
            <w:pPr>
              <w:spacing w:line="360" w:lineRule="auto"/>
              <w:jc w:val="center"/>
              <w:rPr>
                <w:rFonts w:eastAsia="Calibri"/>
                <w:b/>
                <w:bCs/>
                <w:sz w:val="20"/>
                <w:szCs w:val="20"/>
              </w:rPr>
            </w:pPr>
            <w:r w:rsidRPr="00A831E7">
              <w:rPr>
                <w:rFonts w:eastAsia="Calibri"/>
                <w:b/>
                <w:bCs/>
                <w:sz w:val="20"/>
                <w:szCs w:val="20"/>
              </w:rPr>
              <w:t>Αποτελέσματα</w:t>
            </w:r>
          </w:p>
        </w:tc>
      </w:tr>
      <w:tr w:rsidR="00B84C60" w:rsidRPr="00A831E7" w14:paraId="66C13E86" w14:textId="77777777" w:rsidTr="00172BAD">
        <w:tc>
          <w:tcPr>
            <w:tcW w:w="1345" w:type="dxa"/>
          </w:tcPr>
          <w:p w14:paraId="4BAA7ABE" w14:textId="49323906" w:rsidR="00B84C60" w:rsidRPr="00547F04" w:rsidRDefault="00B84C60" w:rsidP="00B07E2B">
            <w:pPr>
              <w:spacing w:line="276" w:lineRule="auto"/>
              <w:jc w:val="center"/>
              <w:rPr>
                <w:rFonts w:eastAsia="Calibri"/>
                <w:sz w:val="20"/>
                <w:szCs w:val="20"/>
              </w:rPr>
            </w:pPr>
            <w:r w:rsidRPr="00547F04">
              <w:rPr>
                <w:rFonts w:eastAsia="Calibri"/>
                <w:sz w:val="20"/>
                <w:szCs w:val="20"/>
              </w:rPr>
              <w:t xml:space="preserve">Zhang et al. </w:t>
            </w:r>
            <w:r w:rsidR="00172BAD" w:rsidRPr="00547F04">
              <w:rPr>
                <w:rFonts w:eastAsia="Calibri"/>
                <w:sz w:val="20"/>
                <w:szCs w:val="20"/>
              </w:rPr>
              <w:fldChar w:fldCharType="begin"/>
            </w:r>
            <w:r w:rsidR="00C90120" w:rsidRPr="00547F04">
              <w:rPr>
                <w:rFonts w:eastAsia="Calibri"/>
                <w:sz w:val="20"/>
                <w:szCs w:val="20"/>
              </w:rPr>
              <w:instrText xml:space="preserve"> ADDIN ZOTERO_ITEM CSL_CITATION {"citationID":"V5RMK3xN","properties":{"formattedCitation":"[43]","plainCitation":"[43]","noteIndex":0},"citationItems":[{"id":1631,"uris":["http://zotero.org/users/local/mfHf28QG/items/EBEV38EM"],"itemData":{"id":1631,"type":"article-journal","abstract":"In the presence of metal implants, metal artifacts are introduced to x-ray computed tomography CT images. Although a large number of metal artifact reduction (MAR) methods have been proposed in the past decades, MAR is still one of the major problems in clinical x-ray CT. In this paper, we develop a convolutional neural network (CNN)-based open MAR framework, which fuses the information from the original and corrected images to suppress artifacts. The proposed approach consists of two phases. In the CNN training phase, we build a database consisting of metal-free, metal-inserted and pre-corrected CT images, and image patches are extracted and used for CNN training. In the MAR phase, the uncorrected and pre-corrected images are used as the input of the trained CNN to generate a CNN image with reduced artifacts. To further reduce the remaining artifacts, water equivalent tissues in a CNN image are set to a uniform value to yield a CNN prior, whose forward projections are used to replace the metal-affected projections, followed by the FBP reconstruction. The effectiveness of the proposed method is validated on both simulated and real data. Experimental results demonstrate the superior MAR capability of the proposed method to its competitors in terms of artifact suppression and preservation of anatomical structures in the vicinity of metal implants.","container-title":"IEEE Transactions on Medical Imaging","DOI":"10.1109/TMI.2018.2823083","ISSN":"1558-254X","issue":"6","page":"1370-1381","source":"IEEE Xplore","title":"Convolutional Neural Network Based Metal Artifact Reduction in X-Ray Computed Tomography","volume":"37","author":[{"family":"Zhang","given":"Yanbo"},{"family":"Yu","given":"Hengyong"}],"issued":{"date-parts":[["2018",6]]}},"suppress-author":true}],"schema":"https://github.com/citation-style-language/schema/raw/master/csl-citation.json"} </w:instrText>
            </w:r>
            <w:r w:rsidR="00172BAD" w:rsidRPr="00547F04">
              <w:rPr>
                <w:rFonts w:eastAsia="Calibri"/>
                <w:sz w:val="20"/>
                <w:szCs w:val="20"/>
              </w:rPr>
              <w:fldChar w:fldCharType="separate"/>
            </w:r>
            <w:r w:rsidR="00C90120" w:rsidRPr="00547F04">
              <w:rPr>
                <w:rFonts w:eastAsia="Calibri"/>
                <w:sz w:val="20"/>
                <w:szCs w:val="20"/>
              </w:rPr>
              <w:t>[43]</w:t>
            </w:r>
            <w:r w:rsidR="00172BAD" w:rsidRPr="00547F04">
              <w:rPr>
                <w:rFonts w:eastAsia="Calibri"/>
                <w:sz w:val="20"/>
                <w:szCs w:val="20"/>
              </w:rPr>
              <w:fldChar w:fldCharType="end"/>
            </w:r>
          </w:p>
        </w:tc>
        <w:tc>
          <w:tcPr>
            <w:tcW w:w="6957" w:type="dxa"/>
          </w:tcPr>
          <w:p w14:paraId="6633A802" w14:textId="388BBFDB" w:rsidR="00B84C60" w:rsidRPr="00B07E2B" w:rsidRDefault="00B84C60" w:rsidP="00B07E2B">
            <w:pPr>
              <w:spacing w:line="276" w:lineRule="auto"/>
              <w:jc w:val="both"/>
              <w:rPr>
                <w:rFonts w:eastAsia="Calibri"/>
                <w:sz w:val="18"/>
                <w:szCs w:val="18"/>
              </w:rPr>
            </w:pPr>
            <w:r w:rsidRPr="00B07E2B">
              <w:rPr>
                <w:rFonts w:eastAsia="Calibri"/>
                <w:sz w:val="18"/>
                <w:szCs w:val="18"/>
              </w:rPr>
              <w:t>Δημιουργία διορθωμένων εικόνων CT μέσω CNNs, χρησιμοποιώντας βάση δεδομένων</w:t>
            </w:r>
            <w:r w:rsidR="00245314" w:rsidRPr="00B07E2B">
              <w:rPr>
                <w:rFonts w:eastAsia="Calibri"/>
                <w:sz w:val="18"/>
                <w:szCs w:val="18"/>
              </w:rPr>
              <w:t xml:space="preserve"> με</w:t>
            </w:r>
            <w:r w:rsidRPr="00B07E2B">
              <w:rPr>
                <w:rFonts w:eastAsia="Calibri"/>
                <w:sz w:val="18"/>
                <w:szCs w:val="18"/>
              </w:rPr>
              <w:t xml:space="preserve"> εικόν</w:t>
            </w:r>
            <w:r w:rsidR="00245314" w:rsidRPr="00B07E2B">
              <w:rPr>
                <w:rFonts w:eastAsia="Calibri"/>
                <w:sz w:val="18"/>
                <w:szCs w:val="18"/>
              </w:rPr>
              <w:t>ες από ασθενείς</w:t>
            </w:r>
            <w:r w:rsidRPr="00B07E2B">
              <w:rPr>
                <w:rFonts w:eastAsia="Calibri"/>
                <w:sz w:val="18"/>
                <w:szCs w:val="18"/>
              </w:rPr>
              <w:t xml:space="preserve"> χωρίς</w:t>
            </w:r>
            <w:r w:rsidR="00245314" w:rsidRPr="00B07E2B">
              <w:rPr>
                <w:rFonts w:eastAsia="Calibri"/>
                <w:sz w:val="18"/>
                <w:szCs w:val="18"/>
              </w:rPr>
              <w:t xml:space="preserve"> παρουσία</w:t>
            </w:r>
            <w:r w:rsidRPr="00B07E2B">
              <w:rPr>
                <w:rFonts w:eastAsia="Calibri"/>
                <w:sz w:val="18"/>
                <w:szCs w:val="18"/>
              </w:rPr>
              <w:t xml:space="preserve"> μ</w:t>
            </w:r>
            <w:r w:rsidR="00245314" w:rsidRPr="00B07E2B">
              <w:rPr>
                <w:rFonts w:eastAsia="Calibri"/>
                <w:sz w:val="18"/>
                <w:szCs w:val="18"/>
              </w:rPr>
              <w:t>ε</w:t>
            </w:r>
            <w:r w:rsidRPr="00B07E2B">
              <w:rPr>
                <w:rFonts w:eastAsia="Calibri"/>
                <w:sz w:val="18"/>
                <w:szCs w:val="18"/>
              </w:rPr>
              <w:t>ταλλ</w:t>
            </w:r>
            <w:r w:rsidR="00245314" w:rsidRPr="00B07E2B">
              <w:rPr>
                <w:rFonts w:eastAsia="Calibri"/>
                <w:sz w:val="18"/>
                <w:szCs w:val="18"/>
              </w:rPr>
              <w:t>ικών εμφυτευμάτων/συσκευών</w:t>
            </w:r>
            <w:r w:rsidRPr="00B07E2B">
              <w:rPr>
                <w:rFonts w:eastAsia="Calibri"/>
                <w:sz w:val="18"/>
                <w:szCs w:val="18"/>
              </w:rPr>
              <w:t xml:space="preserve">, με </w:t>
            </w:r>
            <w:r w:rsidR="00245314" w:rsidRPr="00B07E2B">
              <w:rPr>
                <w:rFonts w:eastAsia="Calibri"/>
                <w:sz w:val="18"/>
                <w:szCs w:val="18"/>
              </w:rPr>
              <w:t>παρουσία αυτών</w:t>
            </w:r>
            <w:r w:rsidRPr="00B07E2B">
              <w:rPr>
                <w:rFonts w:eastAsia="Calibri"/>
                <w:sz w:val="18"/>
                <w:szCs w:val="18"/>
              </w:rPr>
              <w:t xml:space="preserve"> και προδιορθωμένων εικόνων.</w:t>
            </w:r>
          </w:p>
        </w:tc>
      </w:tr>
      <w:tr w:rsidR="00B84C60" w:rsidRPr="00A831E7" w14:paraId="3056279F" w14:textId="77777777" w:rsidTr="00172BAD">
        <w:tc>
          <w:tcPr>
            <w:tcW w:w="1345" w:type="dxa"/>
          </w:tcPr>
          <w:p w14:paraId="1E8886CE" w14:textId="77CED18C" w:rsidR="00B84C60" w:rsidRPr="00547F04" w:rsidRDefault="00B84C60" w:rsidP="00B07E2B">
            <w:pPr>
              <w:spacing w:line="276" w:lineRule="auto"/>
              <w:jc w:val="center"/>
              <w:rPr>
                <w:rFonts w:eastAsia="Calibri"/>
                <w:sz w:val="20"/>
                <w:szCs w:val="20"/>
              </w:rPr>
            </w:pPr>
            <w:r w:rsidRPr="00547F04">
              <w:rPr>
                <w:rFonts w:eastAsia="Calibri"/>
                <w:sz w:val="20"/>
                <w:szCs w:val="20"/>
              </w:rPr>
              <w:t xml:space="preserve">Pawar et al. </w:t>
            </w:r>
            <w:r w:rsidR="00172BAD" w:rsidRPr="00547F04">
              <w:rPr>
                <w:rFonts w:eastAsia="Calibri"/>
                <w:sz w:val="20"/>
                <w:szCs w:val="20"/>
              </w:rPr>
              <w:fldChar w:fldCharType="begin"/>
            </w:r>
            <w:r w:rsidR="00C90120" w:rsidRPr="00547F04">
              <w:rPr>
                <w:rFonts w:eastAsia="Calibri"/>
                <w:sz w:val="20"/>
                <w:szCs w:val="20"/>
              </w:rPr>
              <w:instrText xml:space="preserve"> ADDIN ZOTERO_ITEM CSL_CITATION {"citationID":"DbGWd62k","properties":{"formattedCitation":"[44]","plainCitation":"[44]","noteIndex":0},"citationItems":[{"id":1634,"uris":["http://zotero.org/users/local/mfHf28QG/items/JNMFIQIY"],"itemData":{"id":1634,"type":"article-journal","abstract":"Purpose: The suppression of motion artefacts from MR images is a challenging task. The purpose of this paper is to develop a standalone novel technique to suppress motion artefacts from MR images using a data-driven deep learning approach. Methods: A deep learning convolutional neural network (CNN) was developed to remove motion artefacts in brain MR images. A CNN was trained on simulated motion corrupted images to identify and suppress artefacts due to the motion. The network was an encoder-decoder CNN architecture where the encoder decomposed the motion corrupted images into a set of feature maps. The feature maps were then combined by the decoder network to generate a motion-corrected image. The network was tested on an unseen simulated dataset and an experimental, motion corrupted in vivo brain dataset. Results: The trained network was able to suppress the motion artefacts in the simulated motion corrupted images, and the mean percentage error in the motion corrected images was 2.69 % with a standard deviation of 0.95 %. The network was able to effectively suppress the motion artefacts from the experimental dataset, demonstrating the generalisation capability of the trained network. Conclusion: A novel and generic motion correction technique has been developed that can suppress motion artefacts from motion corrupted MR images. The proposed technique is a standalone post-processing method that does not interfere with data acquisition or reconstruction parameters, thus making it suitable for a multitude of MR sequences.","container-title":"NMR in Biomedicine","DOI":"10.1002/nbm.4225","ISSN":"0952-3480, 1099-1492","issue":"4","journalAbbreviation":"NMR in Biomedicine","note":"arXiv:1807.10831 [eess]","page":"e4225","source":"arXiv.org","title":"MoCoNet: Motion Correction in 3D MPRAGE images using a Convolutional Neural Network approach","title-short":"MoCoNet","volume":"35","author":[{"family":"Pawar","given":"Kamlesh"},{"family":"Chen","given":"Zhaolin"},{"family":"Shah","given":"N. Jon"},{"family":"Egan","given":"Gary F."}],"issued":{"date-parts":[["2022",4]]}},"suppress-author":true}],"schema":"https://github.com/citation-style-language/schema/raw/master/csl-citation.json"} </w:instrText>
            </w:r>
            <w:r w:rsidR="00172BAD" w:rsidRPr="00547F04">
              <w:rPr>
                <w:rFonts w:eastAsia="Calibri"/>
                <w:sz w:val="20"/>
                <w:szCs w:val="20"/>
              </w:rPr>
              <w:fldChar w:fldCharType="separate"/>
            </w:r>
            <w:r w:rsidR="00C90120" w:rsidRPr="00547F04">
              <w:rPr>
                <w:rFonts w:eastAsia="Calibri"/>
                <w:sz w:val="20"/>
                <w:szCs w:val="20"/>
              </w:rPr>
              <w:t>[44]</w:t>
            </w:r>
            <w:r w:rsidR="00172BAD" w:rsidRPr="00547F04">
              <w:rPr>
                <w:rFonts w:eastAsia="Calibri"/>
                <w:sz w:val="20"/>
                <w:szCs w:val="20"/>
              </w:rPr>
              <w:fldChar w:fldCharType="end"/>
            </w:r>
          </w:p>
        </w:tc>
        <w:tc>
          <w:tcPr>
            <w:tcW w:w="6957" w:type="dxa"/>
            <w:vAlign w:val="center"/>
          </w:tcPr>
          <w:p w14:paraId="76A8446E" w14:textId="17C6C1A7" w:rsidR="00B84C60" w:rsidRPr="00B07E2B" w:rsidRDefault="00B84C60" w:rsidP="00B07E2B">
            <w:pPr>
              <w:spacing w:line="276" w:lineRule="auto"/>
              <w:jc w:val="both"/>
              <w:rPr>
                <w:rFonts w:eastAsia="Calibri"/>
                <w:sz w:val="18"/>
                <w:szCs w:val="18"/>
              </w:rPr>
            </w:pPr>
            <w:r w:rsidRPr="00B07E2B">
              <w:rPr>
                <w:rFonts w:eastAsia="Calibri"/>
                <w:sz w:val="18"/>
                <w:szCs w:val="18"/>
              </w:rPr>
              <w:t xml:space="preserve">Εκπαίδευση μοντέλου CNN κωδικοποίησης-αποκωδικοποίησης για την καταστολή artifacts κίνησης σε </w:t>
            </w:r>
            <w:r w:rsidR="00245314" w:rsidRPr="00B07E2B">
              <w:rPr>
                <w:rFonts w:eastAsia="Calibri"/>
                <w:sz w:val="18"/>
                <w:szCs w:val="18"/>
              </w:rPr>
              <w:t>3D</w:t>
            </w:r>
            <w:r w:rsidRPr="00B07E2B">
              <w:rPr>
                <w:rFonts w:eastAsia="Calibri"/>
                <w:sz w:val="18"/>
                <w:szCs w:val="18"/>
              </w:rPr>
              <w:t xml:space="preserve"> εικόνες εγκεφάλου </w:t>
            </w:r>
            <w:r w:rsidR="00245314" w:rsidRPr="00B07E2B">
              <w:rPr>
                <w:rFonts w:eastAsia="Calibri"/>
                <w:sz w:val="18"/>
                <w:szCs w:val="18"/>
              </w:rPr>
              <w:t xml:space="preserve">από </w:t>
            </w:r>
            <w:r w:rsidRPr="00B07E2B">
              <w:rPr>
                <w:rFonts w:eastAsia="Calibri"/>
                <w:sz w:val="18"/>
                <w:szCs w:val="18"/>
              </w:rPr>
              <w:t>MRI.</w:t>
            </w:r>
          </w:p>
        </w:tc>
      </w:tr>
      <w:tr w:rsidR="00B84C60" w:rsidRPr="00A831E7" w14:paraId="3E65AF32" w14:textId="77777777" w:rsidTr="00172BAD">
        <w:tc>
          <w:tcPr>
            <w:tcW w:w="1345" w:type="dxa"/>
          </w:tcPr>
          <w:p w14:paraId="743ADBBF" w14:textId="50E928B2" w:rsidR="00B84C60" w:rsidRPr="00547F04" w:rsidRDefault="00B84C60" w:rsidP="00B07E2B">
            <w:pPr>
              <w:spacing w:line="276" w:lineRule="auto"/>
              <w:jc w:val="center"/>
              <w:rPr>
                <w:rFonts w:eastAsia="Calibri"/>
                <w:sz w:val="20"/>
                <w:szCs w:val="20"/>
              </w:rPr>
            </w:pPr>
            <w:r w:rsidRPr="00547F04">
              <w:rPr>
                <w:rFonts w:eastAsia="Calibri"/>
                <w:sz w:val="20"/>
                <w:szCs w:val="20"/>
              </w:rPr>
              <w:t xml:space="preserve">Duffy et al. </w:t>
            </w:r>
            <w:r w:rsidR="00172BAD" w:rsidRPr="00547F04">
              <w:rPr>
                <w:rFonts w:eastAsia="Calibri"/>
                <w:sz w:val="20"/>
                <w:szCs w:val="20"/>
              </w:rPr>
              <w:fldChar w:fldCharType="begin"/>
            </w:r>
            <w:r w:rsidR="00C90120" w:rsidRPr="00547F04">
              <w:rPr>
                <w:rFonts w:eastAsia="Calibri"/>
                <w:sz w:val="20"/>
                <w:szCs w:val="20"/>
              </w:rPr>
              <w:instrText xml:space="preserve"> ADDIN ZOTERO_ITEM CSL_CITATION {"citationID":"10JvF1Oj","properties":{"formattedCitation":"[45]","plainCitation":"[45]","noteIndex":0},"citationItems":[{"id":1637,"uris":["http://zotero.org/users/local/mfHf28QG/items/YP8GTCAK"],"itemData":{"id":1637,"type":"paper-conference","abstract":"Head motion during MRI acquisition presents significant problems for subsequent neuroimaging analyses. In this work, we propose to use convolutional neural networks (CNNs) to correct motion-corrupted images as well as investigate a possible improvement by augmenting L1 loss with adversarial loss. For training, in order to gain access to a ground-truth, we first selected a large number of motion-free images from the ABIDE dataset. We then added simulated motion artifacts on these images to produce motion corrupted data and a 3D regression CNN was trained to predict the motion-free volume as the output. We tested the CNN on unseen simulated data as well as real motion affected data. Quantitative evaluation was carried out using metrics such as Structural Similarity (SSIM) index, Correlation Coefficient (CC), and Tissue Contrast T-score (TCT). It was found that Gaussian smoothing as a conventional method did not significantly differ in SSIM, CC and RMSE from the uncorrected data. On the other hand, the two CNN models successfully removed the motion-related artifact as their SSIM and CC significantly increased after their correction and the error was reduced. The CNN displayed significantly larger TCT compared to the uncorrected images whereas the adversarial network, while improved did not show a significantly increased TCT, which may be explained also by its over-enhancement of edges. Our results suggest that the proposed CNN framework enables the network to generalize well to both unseen simulated motion artifacts as well as real motion artifact-affected data. The proposed method could easily be adapted to estimate a motion severity score, which could be used as a score of quality control or as a nuisance covariate in subsequent statistical analyses.","event-title":"Medical Imaging with Deep Learning","language":"en","source":"openreview.net","title":"Retrospective correction of motion artifact affected structural MRI images using deep learning of simulated motion","URL":"https://openreview.net/forum?id=H1hWfZnjM","author":[{"family":"Duffy","given":"Ben A."},{"family":"Zhang","given":"Wenlu"},{"family":"Tang","given":"Haoteng"},{"family":"Zhao","given":"Lu"},{"family":"Law","given":"Meng"},{"family":"Toga","given":"Arthur W."},{"family":"Kim","given":"Hosung"}],"accessed":{"date-parts":[["2025",5,14]]},"issued":{"date-parts":[["2022",7,11]]}},"suppress-author":true}],"schema":"https://github.com/citation-style-language/schema/raw/master/csl-citation.json"} </w:instrText>
            </w:r>
            <w:r w:rsidR="00172BAD" w:rsidRPr="00547F04">
              <w:rPr>
                <w:rFonts w:eastAsia="Calibri"/>
                <w:sz w:val="20"/>
                <w:szCs w:val="20"/>
              </w:rPr>
              <w:fldChar w:fldCharType="separate"/>
            </w:r>
            <w:r w:rsidR="00C90120" w:rsidRPr="00547F04">
              <w:rPr>
                <w:rFonts w:eastAsia="Calibri"/>
                <w:sz w:val="20"/>
                <w:szCs w:val="20"/>
              </w:rPr>
              <w:t>[45]</w:t>
            </w:r>
            <w:r w:rsidR="00172BAD" w:rsidRPr="00547F04">
              <w:rPr>
                <w:rFonts w:eastAsia="Calibri"/>
                <w:sz w:val="20"/>
                <w:szCs w:val="20"/>
              </w:rPr>
              <w:fldChar w:fldCharType="end"/>
            </w:r>
          </w:p>
        </w:tc>
        <w:tc>
          <w:tcPr>
            <w:tcW w:w="6957" w:type="dxa"/>
          </w:tcPr>
          <w:p w14:paraId="110D1830" w14:textId="4E9BDF93" w:rsidR="00B84C60" w:rsidRPr="00B07E2B" w:rsidRDefault="00B84C60" w:rsidP="00B07E2B">
            <w:pPr>
              <w:spacing w:line="276" w:lineRule="auto"/>
              <w:jc w:val="both"/>
              <w:rPr>
                <w:rFonts w:eastAsia="Calibri"/>
                <w:sz w:val="18"/>
                <w:szCs w:val="18"/>
              </w:rPr>
            </w:pPr>
            <w:r w:rsidRPr="00B07E2B">
              <w:rPr>
                <w:rFonts w:eastAsia="Calibri"/>
                <w:sz w:val="18"/>
                <w:szCs w:val="18"/>
              </w:rPr>
              <w:t>Ανάπτυξη βάσης δεδομένων</w:t>
            </w:r>
            <w:r w:rsidR="00245314" w:rsidRPr="00B07E2B">
              <w:rPr>
                <w:rFonts w:eastAsia="Calibri"/>
                <w:sz w:val="18"/>
                <w:szCs w:val="18"/>
              </w:rPr>
              <w:t xml:space="preserve"> εικόνων</w:t>
            </w:r>
            <w:r w:rsidRPr="00B07E2B">
              <w:rPr>
                <w:rFonts w:eastAsia="Calibri"/>
                <w:sz w:val="18"/>
                <w:szCs w:val="18"/>
              </w:rPr>
              <w:t xml:space="preserve"> εγκεφ</w:t>
            </w:r>
            <w:r w:rsidR="00245314" w:rsidRPr="00B07E2B">
              <w:rPr>
                <w:rFonts w:eastAsia="Calibri"/>
                <w:sz w:val="18"/>
                <w:szCs w:val="18"/>
              </w:rPr>
              <w:t xml:space="preserve">άλου </w:t>
            </w:r>
            <w:r w:rsidR="005403E6" w:rsidRPr="00B07E2B">
              <w:rPr>
                <w:rFonts w:eastAsia="Calibri"/>
                <w:sz w:val="18"/>
                <w:szCs w:val="18"/>
              </w:rPr>
              <w:t>από</w:t>
            </w:r>
            <w:r w:rsidRPr="00B07E2B">
              <w:rPr>
                <w:rFonts w:eastAsia="Calibri"/>
                <w:sz w:val="18"/>
                <w:szCs w:val="18"/>
              </w:rPr>
              <w:t xml:space="preserve"> MRI με τεχνητά παραμορφωμένες λόγω κίνησης εικόνες και εκπαίδευση CNNs για την επεξεργασία </w:t>
            </w:r>
            <w:r w:rsidR="00172BAD" w:rsidRPr="00B07E2B">
              <w:rPr>
                <w:rFonts w:eastAsia="Calibri"/>
                <w:sz w:val="18"/>
                <w:szCs w:val="18"/>
              </w:rPr>
              <w:t>τους χρησιμοποιώντας ως ground truth καθαρές από artifacts κίνησης εικόνες.</w:t>
            </w:r>
            <w:r w:rsidRPr="00B07E2B">
              <w:rPr>
                <w:rFonts w:eastAsia="Calibri"/>
                <w:sz w:val="18"/>
                <w:szCs w:val="18"/>
              </w:rPr>
              <w:t xml:space="preserve"> </w:t>
            </w:r>
            <w:r w:rsidR="00172BAD" w:rsidRPr="00B07E2B">
              <w:rPr>
                <w:rFonts w:eastAsia="Calibri"/>
                <w:sz w:val="18"/>
                <w:szCs w:val="18"/>
              </w:rPr>
              <w:t>Υπήρξε β</w:t>
            </w:r>
            <w:r w:rsidRPr="00B07E2B">
              <w:rPr>
                <w:rFonts w:eastAsia="Calibri"/>
                <w:sz w:val="18"/>
                <w:szCs w:val="18"/>
              </w:rPr>
              <w:t>ελτίωση της αντίθεσης</w:t>
            </w:r>
            <w:r w:rsidR="00172BAD" w:rsidRPr="00B07E2B">
              <w:rPr>
                <w:rFonts w:eastAsia="Calibri"/>
                <w:sz w:val="18"/>
                <w:szCs w:val="18"/>
              </w:rPr>
              <w:t xml:space="preserve"> των εγκεφαλικών</w:t>
            </w:r>
            <w:r w:rsidRPr="00B07E2B">
              <w:rPr>
                <w:rFonts w:eastAsia="Calibri"/>
                <w:sz w:val="18"/>
                <w:szCs w:val="18"/>
              </w:rPr>
              <w:t xml:space="preserve"> ιστών</w:t>
            </w:r>
            <w:r w:rsidR="00172BAD" w:rsidRPr="00B07E2B">
              <w:rPr>
                <w:rFonts w:eastAsia="Calibri"/>
                <w:sz w:val="18"/>
                <w:szCs w:val="18"/>
              </w:rPr>
              <w:t xml:space="preserve"> και δομική ομοιότητα μεταξύ των διορθωμένων και των εξαρχής καθαρών εικόνων.</w:t>
            </w:r>
          </w:p>
        </w:tc>
      </w:tr>
    </w:tbl>
    <w:p w14:paraId="180AA12B" w14:textId="77777777" w:rsidR="00444A1E" w:rsidRPr="00A831E7" w:rsidRDefault="00444A1E" w:rsidP="001D68F2">
      <w:pPr>
        <w:spacing w:line="360" w:lineRule="auto"/>
        <w:jc w:val="both"/>
        <w:rPr>
          <w:rFonts w:eastAsia="Calibri"/>
        </w:rPr>
      </w:pPr>
    </w:p>
    <w:p w14:paraId="4B205051" w14:textId="1C1DEAC1" w:rsidR="00172BAD" w:rsidRPr="00A831E7" w:rsidRDefault="00172BAD" w:rsidP="00F32EEE">
      <w:pPr>
        <w:pStyle w:val="4"/>
        <w:spacing w:line="360" w:lineRule="auto"/>
        <w:rPr>
          <w:rFonts w:eastAsia="Calibri"/>
          <w:b w:val="0"/>
          <w:bCs/>
        </w:rPr>
      </w:pPr>
      <w:r w:rsidRPr="00A831E7">
        <w:rPr>
          <w:rFonts w:eastAsia="Calibri"/>
          <w:bCs/>
        </w:rPr>
        <w:t>Βελτίωση Ανάλυσης Εικόνας</w:t>
      </w:r>
    </w:p>
    <w:p w14:paraId="741459E6" w14:textId="3079DCE5" w:rsidR="00D121D9" w:rsidRPr="00A831E7" w:rsidRDefault="00EB5036" w:rsidP="00F32EEE">
      <w:pPr>
        <w:spacing w:line="360" w:lineRule="auto"/>
        <w:jc w:val="both"/>
        <w:rPr>
          <w:rFonts w:eastAsia="Calibri"/>
        </w:rPr>
      </w:pPr>
      <w:bookmarkStart w:id="89" w:name="_Hlk198130880"/>
      <w:r w:rsidRPr="00A831E7">
        <w:rPr>
          <w:rFonts w:eastAsia="Calibri"/>
        </w:rPr>
        <w:tab/>
        <w:t xml:space="preserve">Εκτός από τη μείωση θορύβου και </w:t>
      </w:r>
      <w:r w:rsidR="00DF3B6E">
        <w:rPr>
          <w:rFonts w:eastAsia="Calibri"/>
        </w:rPr>
        <w:t>«</w:t>
      </w:r>
      <w:r w:rsidRPr="00A831E7">
        <w:rPr>
          <w:rFonts w:eastAsia="Calibri"/>
        </w:rPr>
        <w:t>artifacts</w:t>
      </w:r>
      <w:r w:rsidR="00DF3B6E">
        <w:rPr>
          <w:rFonts w:eastAsia="Calibri"/>
        </w:rPr>
        <w:t>»</w:t>
      </w:r>
      <w:r w:rsidRPr="00A831E7">
        <w:rPr>
          <w:rFonts w:eastAsia="Calibri"/>
        </w:rPr>
        <w:t>, η αύξηση της ανάλυσης των ιατρικών εικόνων αποτελ</w:t>
      </w:r>
      <w:bookmarkEnd w:id="89"/>
      <w:r w:rsidRPr="00A831E7">
        <w:rPr>
          <w:rFonts w:eastAsia="Calibri"/>
        </w:rPr>
        <w:t xml:space="preserve">εί μια ακόμα ενεργή ερευνητική περιοχή για εφαρμογές AI, ιδιαίτερα στη διαγνωστική απεικόνιση εγκεφαλικών επεισοδίων. </w:t>
      </w:r>
      <w:r w:rsidR="00D121D9" w:rsidRPr="00A831E7">
        <w:rPr>
          <w:rFonts w:eastAsia="Calibri"/>
        </w:rPr>
        <w:t>Στη βιβλιογραφία έχουν εξερευνηθεί αρκετές τεχνικές</w:t>
      </w:r>
      <w:r w:rsidR="0011104D" w:rsidRPr="00A831E7">
        <w:rPr>
          <w:rFonts w:eastAsia="Calibri"/>
        </w:rPr>
        <w:t xml:space="preserve"> </w:t>
      </w:r>
      <w:r w:rsidR="00D121D9" w:rsidRPr="00A831E7">
        <w:rPr>
          <w:rFonts w:eastAsia="Calibri"/>
          <w:i/>
          <w:iCs/>
        </w:rPr>
        <w:t xml:space="preserve">(Πίνακας </w:t>
      </w:r>
      <w:r w:rsidR="0011104D" w:rsidRPr="00A831E7">
        <w:rPr>
          <w:rFonts w:eastAsia="Calibri"/>
          <w:i/>
          <w:iCs/>
        </w:rPr>
        <w:t>9</w:t>
      </w:r>
      <w:r w:rsidR="00D121D9" w:rsidRPr="00A831E7">
        <w:rPr>
          <w:rFonts w:eastAsia="Calibri"/>
          <w:i/>
          <w:iCs/>
        </w:rPr>
        <w:t>)</w:t>
      </w:r>
      <w:r w:rsidR="00D121D9" w:rsidRPr="00A831E7">
        <w:rPr>
          <w:rFonts w:eastAsia="Calibri"/>
        </w:rPr>
        <w:t xml:space="preserve"> ωστόσο καμία μελέτη δεν αφορούσε αποκλειστικά εφαρμογές σε περιστατικά εγκεφαλικού επεισοδίου.</w:t>
      </w:r>
    </w:p>
    <w:p w14:paraId="235BEC5D" w14:textId="77777777" w:rsidR="00444A1E" w:rsidRPr="00A831E7" w:rsidRDefault="00444A1E" w:rsidP="00F32EEE">
      <w:pPr>
        <w:spacing w:line="360" w:lineRule="auto"/>
        <w:jc w:val="both"/>
        <w:rPr>
          <w:rFonts w:eastAsia="Calibri"/>
          <w:i/>
          <w:iCs/>
        </w:rPr>
      </w:pPr>
    </w:p>
    <w:p w14:paraId="5B90660E" w14:textId="544437A4" w:rsidR="008A6745" w:rsidRPr="00A831E7" w:rsidRDefault="008A6745" w:rsidP="00F32EEE">
      <w:pPr>
        <w:pStyle w:val="af5"/>
        <w:keepNext/>
        <w:spacing w:line="360" w:lineRule="auto"/>
        <w:jc w:val="center"/>
        <w:rPr>
          <w:b/>
          <w:bCs/>
          <w:color w:val="auto"/>
          <w:sz w:val="20"/>
          <w:szCs w:val="20"/>
        </w:rPr>
      </w:pPr>
      <w:bookmarkStart w:id="90" w:name="_Toc199787744"/>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9</w:t>
      </w:r>
      <w:r w:rsidRPr="00A831E7">
        <w:rPr>
          <w:b/>
          <w:bCs/>
          <w:color w:val="auto"/>
          <w:sz w:val="20"/>
          <w:szCs w:val="20"/>
        </w:rPr>
        <w:fldChar w:fldCharType="end"/>
      </w:r>
      <w:r w:rsidRPr="00A831E7">
        <w:rPr>
          <w:rFonts w:eastAsia="Calibri"/>
          <w:b/>
          <w:bCs/>
          <w:color w:val="auto"/>
          <w:sz w:val="20"/>
          <w:szCs w:val="20"/>
        </w:rPr>
        <w:t>:</w:t>
      </w:r>
      <w:r w:rsidRPr="00A831E7">
        <w:rPr>
          <w:b/>
          <w:bCs/>
          <w:color w:val="auto"/>
          <w:sz w:val="20"/>
          <w:szCs w:val="20"/>
        </w:rPr>
        <w:t xml:space="preserve"> </w:t>
      </w:r>
      <w:r w:rsidRPr="00A831E7">
        <w:rPr>
          <w:rFonts w:eastAsia="Calibri"/>
          <w:b/>
          <w:bCs/>
          <w:color w:val="auto"/>
          <w:sz w:val="20"/>
          <w:szCs w:val="20"/>
        </w:rPr>
        <w:t>Μελέτες χρήσης CNN αλγορίθμων για Βελτίωση Ανάλυσης</w:t>
      </w:r>
      <w:r w:rsidR="002B7A5E" w:rsidRPr="00A831E7">
        <w:rPr>
          <w:rFonts w:eastAsia="Calibri"/>
          <w:b/>
          <w:bCs/>
          <w:color w:val="auto"/>
          <w:sz w:val="20"/>
          <w:szCs w:val="20"/>
        </w:rPr>
        <w:t xml:space="preserve">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{"citationID":"ogUWuHe1","properties":{"formattedCitation":"[26]","plainCitation":"[26]","noteIndex":0},"citationItems":[{"id":1211,"uris":["http://zotero.org/users/local/mfHf28QG/items/9FUW65EX"],"itemData":{"id":1211,"type":"article-journal","abstract":"Artificial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[26]</w:t>
      </w:r>
      <w:bookmarkEnd w:id="90"/>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1345"/>
        <w:gridCol w:w="6957"/>
      </w:tblGrid>
      <w:tr w:rsidR="002C0FDB" w:rsidRPr="00A831E7" w14:paraId="7E0C5701" w14:textId="77777777" w:rsidTr="0057069D">
        <w:trPr>
          <w:tblHeader/>
        </w:trPr>
        <w:tc>
          <w:tcPr>
            <w:tcW w:w="1345" w:type="dxa"/>
            <w:shd w:val="clear" w:color="auto" w:fill="D9D9D9" w:themeFill="background1" w:themeFillShade="D9"/>
          </w:tcPr>
          <w:p w14:paraId="769C9242" w14:textId="77777777" w:rsidR="002C0FDB" w:rsidRPr="00A831E7" w:rsidRDefault="002C0FDB" w:rsidP="008A6745">
            <w:pPr>
              <w:spacing w:line="360" w:lineRule="auto"/>
              <w:jc w:val="center"/>
              <w:rPr>
                <w:rFonts w:eastAsia="Calibri"/>
                <w:b/>
                <w:bCs/>
                <w:sz w:val="20"/>
                <w:szCs w:val="20"/>
              </w:rPr>
            </w:pPr>
            <w:r w:rsidRPr="00A831E7">
              <w:rPr>
                <w:rFonts w:eastAsia="Calibri"/>
                <w:b/>
                <w:bCs/>
                <w:sz w:val="20"/>
                <w:szCs w:val="20"/>
              </w:rPr>
              <w:t>Αναφορά</w:t>
            </w:r>
          </w:p>
        </w:tc>
        <w:tc>
          <w:tcPr>
            <w:tcW w:w="6957" w:type="dxa"/>
            <w:shd w:val="clear" w:color="auto" w:fill="D9D9D9" w:themeFill="background1" w:themeFillShade="D9"/>
          </w:tcPr>
          <w:p w14:paraId="6FA3E81B" w14:textId="77777777" w:rsidR="002C0FDB" w:rsidRPr="00A831E7" w:rsidRDefault="002C0FDB" w:rsidP="008A6745">
            <w:pPr>
              <w:spacing w:line="360" w:lineRule="auto"/>
              <w:jc w:val="center"/>
              <w:rPr>
                <w:rFonts w:eastAsia="Calibri"/>
                <w:b/>
                <w:bCs/>
                <w:sz w:val="20"/>
                <w:szCs w:val="20"/>
              </w:rPr>
            </w:pPr>
            <w:r w:rsidRPr="00A831E7">
              <w:rPr>
                <w:rFonts w:eastAsia="Calibri"/>
                <w:b/>
                <w:bCs/>
                <w:sz w:val="20"/>
                <w:szCs w:val="20"/>
              </w:rPr>
              <w:t>Αποτελέσματα</w:t>
            </w:r>
          </w:p>
        </w:tc>
      </w:tr>
      <w:tr w:rsidR="002C0FDB" w:rsidRPr="00A831E7" w14:paraId="42BC0988" w14:textId="77777777" w:rsidTr="00AC1D7E">
        <w:tc>
          <w:tcPr>
            <w:tcW w:w="1345" w:type="dxa"/>
          </w:tcPr>
          <w:p w14:paraId="3A72C3AA" w14:textId="464D453A" w:rsidR="002C0FDB" w:rsidRPr="00547F04" w:rsidRDefault="002C0FDB" w:rsidP="00B07E2B">
            <w:pPr>
              <w:spacing w:line="276" w:lineRule="auto"/>
              <w:jc w:val="center"/>
              <w:rPr>
                <w:rFonts w:eastAsia="Calibri"/>
                <w:sz w:val="20"/>
                <w:szCs w:val="20"/>
              </w:rPr>
            </w:pPr>
            <w:r w:rsidRPr="00547F04">
              <w:rPr>
                <w:rFonts w:eastAsia="Calibri"/>
                <w:sz w:val="20"/>
                <w:szCs w:val="20"/>
              </w:rPr>
              <w:t xml:space="preserve">Park et al. </w:t>
            </w:r>
            <w:r w:rsidRPr="00547F04">
              <w:rPr>
                <w:rFonts w:eastAsia="Calibri"/>
                <w:sz w:val="20"/>
                <w:szCs w:val="20"/>
              </w:rPr>
              <w:fldChar w:fldCharType="begin"/>
            </w:r>
            <w:r w:rsidR="00C90120" w:rsidRPr="00547F04">
              <w:rPr>
                <w:rFonts w:eastAsia="Calibri"/>
                <w:sz w:val="20"/>
                <w:szCs w:val="20"/>
              </w:rPr>
              <w:instrText xml:space="preserve"> ADDIN ZOTERO_ITEM CSL_CITATION {"citationID":"UZhWcT9B","properties":{"formattedCitation":"[46]","plainCitation":"[46]","noteIndex":0},"citationItems":[{"id":1639,"uris":["http://zotero.org/users/local/mfHf28QG/items/7W4RLAD8"],"itemData":{"id":1639,"type":"article-journal","abstract":"The objective of this study is to develop a convolutional neural network (CNN) for computed tomography (CT) image super-resolution. The network learns an end-to-end mapping between low (thick-slice thickness) and high (thin-slice thickness) resolution images using the modified U-Net. To verify the proposed method, we train and test the CNN using axially averaged data of existing thin-slice CT images as input and their middle slice as the label. Fifty-two CT studies are used as the CNN training set, and 13 CT studies are used as the test set. We perform five-fold cross-validation to confirm the performance consistency. Because all input and output images are used in two-dimensional slice format, the total number of slices for training the CNN is 7670. We assess the performance of the proposed method with respect to the resolution and contrast, as well as the noise properties. The CNN generates output images that are virtually equivalent to the ground truth. The most remarkable image-recovery improvement by the CNN is deblurring of boundaries of bone structures and air cavities. The CNN output yields an approximately 10% higher peak signal-to-noise ratio and lower normalized root mean square error than the input (thicker slices). The CNN output noise level is lower than the ground truth and equivalent to the iterative image reconstruction result. The proposed deep learning method is useful for both super-resolution and de-noising.","container-title":"Physics in Medicine &amp; Biology","DOI":"10.1088/1361-6560/aacdd4","ISSN":"0031-9155","issue":"14","journalAbbreviation":"Phys. Med. Biol.","language":"en","note":"publisher: IOP Publishing","page":"145011","source":"Institute of Physics","title":"Computed tomography super-resolution using deep convolutional neural network","volume":"63","author":[{"family":"Park","given":"Junyoung"},{"family":"Hwang","given":"Donghwi"},{"family":"Kim","given":"Kyeong Yun"},{"family":"Kang","given":"Seung Kwan"},{"family":"Kim","given":"Yu Kyeong"},{"family":"Lee","given":"Jae Sung"}],"issued":{"date-parts":[["2018",7]]}},"suppress-author":true}],"schema":"https://github.com/citation-style-language/schema/raw/master/csl-citation.json"} </w:instrText>
            </w:r>
            <w:r w:rsidRPr="00547F04">
              <w:rPr>
                <w:rFonts w:eastAsia="Calibri"/>
                <w:sz w:val="20"/>
                <w:szCs w:val="20"/>
              </w:rPr>
              <w:fldChar w:fldCharType="separate"/>
            </w:r>
            <w:r w:rsidR="00C90120" w:rsidRPr="00547F04">
              <w:rPr>
                <w:rFonts w:eastAsia="Calibri"/>
                <w:sz w:val="20"/>
                <w:szCs w:val="20"/>
              </w:rPr>
              <w:t>[46]</w:t>
            </w:r>
            <w:r w:rsidRPr="00547F04">
              <w:rPr>
                <w:rFonts w:eastAsia="Calibri"/>
                <w:sz w:val="20"/>
                <w:szCs w:val="20"/>
              </w:rPr>
              <w:fldChar w:fldCharType="end"/>
            </w:r>
          </w:p>
        </w:tc>
        <w:tc>
          <w:tcPr>
            <w:tcW w:w="6957" w:type="dxa"/>
          </w:tcPr>
          <w:p w14:paraId="5FC925CD" w14:textId="7F668088" w:rsidR="002C0FDB" w:rsidRPr="00B07E2B" w:rsidRDefault="002C0FDB" w:rsidP="00B07E2B">
            <w:pPr>
              <w:spacing w:line="276" w:lineRule="auto"/>
              <w:jc w:val="both"/>
              <w:rPr>
                <w:rFonts w:eastAsia="Calibri"/>
                <w:sz w:val="18"/>
                <w:szCs w:val="18"/>
              </w:rPr>
            </w:pPr>
            <w:r w:rsidRPr="00B07E2B">
              <w:rPr>
                <w:rFonts w:eastAsia="Calibri"/>
                <w:sz w:val="18"/>
                <w:szCs w:val="18"/>
              </w:rPr>
              <w:t>Σύνθεση εικόνων CT υψηλής ανάλυσης μέσω CNNs, χρησιμοποιώντας μέση τιμή 3mm</w:t>
            </w:r>
            <w:r w:rsidR="00FC4A3E" w:rsidRPr="00B07E2B">
              <w:rPr>
                <w:rFonts w:eastAsia="Calibri"/>
                <w:sz w:val="18"/>
                <w:szCs w:val="18"/>
              </w:rPr>
              <w:t xml:space="preserve"> </w:t>
            </w:r>
            <w:r w:rsidR="00444A1E" w:rsidRPr="00B07E2B">
              <w:rPr>
                <w:rFonts w:eastAsia="Calibri"/>
                <w:sz w:val="18"/>
                <w:szCs w:val="18"/>
              </w:rPr>
              <w:t>για τις τομές</w:t>
            </w:r>
            <w:r w:rsidRPr="00B07E2B">
              <w:rPr>
                <w:rFonts w:eastAsia="Calibri"/>
                <w:sz w:val="18"/>
                <w:szCs w:val="18"/>
              </w:rPr>
              <w:t xml:space="preserve"> </w:t>
            </w:r>
            <w:r w:rsidR="00444A1E" w:rsidRPr="00B07E2B">
              <w:rPr>
                <w:rFonts w:eastAsia="Calibri"/>
                <w:sz w:val="18"/>
                <w:szCs w:val="18"/>
              </w:rPr>
              <w:t>ώστε να προκύψουν τομές στα 15mm</w:t>
            </w:r>
            <w:r w:rsidRPr="00B07E2B">
              <w:rPr>
                <w:rFonts w:eastAsia="Calibri"/>
                <w:sz w:val="18"/>
                <w:szCs w:val="18"/>
              </w:rPr>
              <w:t>, με αποτέλεσμα σχεδόν ισοδύναμη ποιότητα με εικόνες υψηλής ανάλυσης.</w:t>
            </w:r>
          </w:p>
        </w:tc>
      </w:tr>
      <w:tr w:rsidR="002C0FDB" w:rsidRPr="00A831E7" w14:paraId="131DCCFF" w14:textId="77777777" w:rsidTr="00AC1D7E">
        <w:tc>
          <w:tcPr>
            <w:tcW w:w="1345" w:type="dxa"/>
          </w:tcPr>
          <w:p w14:paraId="42C67B00" w14:textId="13091A86" w:rsidR="002C0FDB" w:rsidRPr="00547F04" w:rsidRDefault="002C0FDB" w:rsidP="00B07E2B">
            <w:pPr>
              <w:spacing w:line="276" w:lineRule="auto"/>
              <w:jc w:val="center"/>
              <w:rPr>
                <w:rFonts w:eastAsia="Calibri"/>
                <w:sz w:val="20"/>
                <w:szCs w:val="20"/>
              </w:rPr>
            </w:pPr>
            <w:r w:rsidRPr="00547F04">
              <w:rPr>
                <w:rFonts w:eastAsia="Calibri"/>
                <w:sz w:val="20"/>
                <w:szCs w:val="20"/>
              </w:rPr>
              <w:t xml:space="preserve">Liu et al. </w:t>
            </w:r>
            <w:r w:rsidRPr="00547F04">
              <w:rPr>
                <w:rFonts w:eastAsia="Calibri"/>
                <w:sz w:val="20"/>
                <w:szCs w:val="20"/>
              </w:rPr>
              <w:fldChar w:fldCharType="begin"/>
            </w:r>
            <w:r w:rsidR="00C90120" w:rsidRPr="00547F04">
              <w:rPr>
                <w:rFonts w:eastAsia="Calibri"/>
                <w:sz w:val="20"/>
                <w:szCs w:val="20"/>
              </w:rPr>
              <w:instrText xml:space="preserve"> ADDIN ZOTERO_ITEM CSL_CITATION {"citationID":"wfg5dkIm","properties":{"formattedCitation":"[47]","plainCitation":"[47]","noteIndex":0},"citationItems":[{"id":1640,"uris":["http://zotero.org/users/local/mfHf28QG/items/VE3GBJP8"],"itemData":{"id":1640,"type":"article-journal","abstract":"Magnetic resonance (MR) images are usually limited by low spatial resolution, which leads to errors in post-processing procedures. Recently, learning-based super-resolution methods, such as sparse coding and super-resolution convolution neural network, have achieved promising reconstruction results in scene images. However, these methods remain insufficient for recovering detailed information from low-resolution MR images due to the limited size of training dataset.","container-title":"BioMedical Engineering OnLine","DOI":"10.1186/s12938-018-0546-9","ISSN":"1475-925X","issue":"1","journalAbbreviation":"BioMedical Engineering OnLine","page":"114","source":"BioMed Central","title":"Fusing multi-scale information in convolution network for MR image super-resolution reconstruction","volume":"17","author":[{"family":"Liu","given":"Chang"},{"family":"Wu","given":"Xi"},{"family":"Yu","given":"Xi"},{"family":"Tang","given":"YuanYan"},{"family":"Zhang","given":"Jian"},{"family":"Zhou","given":"JiLiu"}],"issued":{"date-parts":[["2018",8,25]]}},"suppress-author":true}],"schema":"https://github.com/citation-style-language/schema/raw/master/csl-citation.json"} </w:instrText>
            </w:r>
            <w:r w:rsidRPr="00547F04">
              <w:rPr>
                <w:rFonts w:eastAsia="Calibri"/>
                <w:sz w:val="20"/>
                <w:szCs w:val="20"/>
              </w:rPr>
              <w:fldChar w:fldCharType="separate"/>
            </w:r>
            <w:r w:rsidR="00C90120" w:rsidRPr="00547F04">
              <w:rPr>
                <w:rFonts w:eastAsia="Calibri"/>
                <w:sz w:val="20"/>
                <w:szCs w:val="20"/>
              </w:rPr>
              <w:t>[47]</w:t>
            </w:r>
            <w:r w:rsidRPr="00547F04">
              <w:rPr>
                <w:rFonts w:eastAsia="Calibri"/>
                <w:sz w:val="20"/>
                <w:szCs w:val="20"/>
              </w:rPr>
              <w:fldChar w:fldCharType="end"/>
            </w:r>
          </w:p>
        </w:tc>
        <w:tc>
          <w:tcPr>
            <w:tcW w:w="6957" w:type="dxa"/>
            <w:vAlign w:val="center"/>
          </w:tcPr>
          <w:p w14:paraId="53698B9C" w14:textId="2E4A9E87" w:rsidR="002C0FDB" w:rsidRPr="00B07E2B" w:rsidRDefault="002C0FDB" w:rsidP="00B07E2B">
            <w:pPr>
              <w:spacing w:line="276" w:lineRule="auto"/>
              <w:jc w:val="both"/>
              <w:rPr>
                <w:rFonts w:eastAsia="Calibri"/>
                <w:sz w:val="18"/>
                <w:szCs w:val="18"/>
              </w:rPr>
            </w:pPr>
            <w:r w:rsidRPr="00B07E2B">
              <w:rPr>
                <w:rFonts w:eastAsia="Calibri"/>
                <w:sz w:val="18"/>
                <w:szCs w:val="18"/>
              </w:rPr>
              <w:t xml:space="preserve">Ανάπτυξη </w:t>
            </w:r>
            <w:r w:rsidR="00FC4A3E" w:rsidRPr="00B07E2B">
              <w:rPr>
                <w:rFonts w:eastAsia="Calibri"/>
                <w:sz w:val="18"/>
                <w:szCs w:val="18"/>
              </w:rPr>
              <w:t xml:space="preserve">multiscale </w:t>
            </w:r>
            <w:r w:rsidRPr="00B07E2B">
              <w:rPr>
                <w:rFonts w:eastAsia="Calibri"/>
                <w:sz w:val="18"/>
                <w:szCs w:val="18"/>
              </w:rPr>
              <w:t>CNN μοντέλου που χρησιμοποιεί multi-fusion units αντί συμβατικών συνελικτικών στρωμάτων, βελτιώνοντας τη</w:t>
            </w:r>
            <w:r w:rsidR="00FC4A3E" w:rsidRPr="00B07E2B">
              <w:rPr>
                <w:rFonts w:eastAsia="Calibri"/>
                <w:sz w:val="18"/>
                <w:szCs w:val="18"/>
              </w:rPr>
              <w:t>ν ικανότητα</w:t>
            </w:r>
            <w:r w:rsidRPr="00B07E2B">
              <w:rPr>
                <w:rFonts w:eastAsia="Calibri"/>
                <w:sz w:val="18"/>
                <w:szCs w:val="18"/>
              </w:rPr>
              <w:t xml:space="preserve"> διατήρησ</w:t>
            </w:r>
            <w:r w:rsidR="00FC4A3E" w:rsidRPr="00B07E2B">
              <w:rPr>
                <w:rFonts w:eastAsia="Calibri"/>
                <w:sz w:val="18"/>
                <w:szCs w:val="18"/>
              </w:rPr>
              <w:t>ης</w:t>
            </w:r>
            <w:r w:rsidRPr="00B07E2B">
              <w:rPr>
                <w:rFonts w:eastAsia="Calibri"/>
                <w:sz w:val="18"/>
                <w:szCs w:val="18"/>
              </w:rPr>
              <w:t xml:space="preserve"> λεπτομερειών της εικόνας MRI</w:t>
            </w:r>
            <w:r w:rsidR="00FC4A3E" w:rsidRPr="00B07E2B">
              <w:rPr>
                <w:rFonts w:eastAsia="Calibri"/>
                <w:sz w:val="18"/>
                <w:szCs w:val="18"/>
              </w:rPr>
              <w:t xml:space="preserve"> σε σχέση με συμβατικές λύσεις</w:t>
            </w:r>
            <w:r w:rsidRPr="00B07E2B">
              <w:rPr>
                <w:rFonts w:eastAsia="Calibri"/>
                <w:sz w:val="18"/>
                <w:szCs w:val="18"/>
              </w:rPr>
              <w:t>.</w:t>
            </w:r>
          </w:p>
        </w:tc>
      </w:tr>
      <w:tr w:rsidR="002C0FDB" w:rsidRPr="00A831E7" w14:paraId="233BDED4" w14:textId="77777777" w:rsidTr="00AC1D7E">
        <w:tc>
          <w:tcPr>
            <w:tcW w:w="1345" w:type="dxa"/>
          </w:tcPr>
          <w:p w14:paraId="5280A156" w14:textId="061A500B" w:rsidR="002C0FDB" w:rsidRPr="00547F04" w:rsidRDefault="002C0FDB" w:rsidP="00B07E2B">
            <w:pPr>
              <w:spacing w:line="276" w:lineRule="auto"/>
              <w:jc w:val="center"/>
              <w:rPr>
                <w:rFonts w:eastAsia="Calibri"/>
                <w:sz w:val="20"/>
                <w:szCs w:val="20"/>
              </w:rPr>
            </w:pPr>
            <w:r w:rsidRPr="00547F04">
              <w:rPr>
                <w:rFonts w:eastAsia="Calibri"/>
                <w:sz w:val="20"/>
                <w:szCs w:val="20"/>
              </w:rPr>
              <w:t xml:space="preserve">Chen et al. </w:t>
            </w:r>
            <w:r w:rsidRPr="00547F04">
              <w:rPr>
                <w:rFonts w:eastAsia="Calibri"/>
                <w:sz w:val="20"/>
                <w:szCs w:val="20"/>
              </w:rPr>
              <w:fldChar w:fldCharType="begin"/>
            </w:r>
            <w:r w:rsidR="00C90120" w:rsidRPr="00547F04">
              <w:rPr>
                <w:rFonts w:eastAsia="Calibri"/>
                <w:sz w:val="20"/>
                <w:szCs w:val="20"/>
              </w:rPr>
              <w:instrText xml:space="preserve"> ADDIN ZOTERO_ITEM CSL_CITATION {"citationID":"OcV4kKZQ","properties":{"formattedCitation":"[48]","plainCitation":"[48]","noteIndex":0},"citationItems":[{"id":1643,"uris":["http://zotero.org/users/local/mfHf28QG/items/KLF5MM25"],"itemData":{"id":1643,"type":"paper-conference","abstract":"Magnetic resonance image (MRI) in high spatial resolution provides detailed anatomical information and is often necessary for accurate quantitative analysis. However, high spatial resolution typically comes at the expense of longer scan time, less spatial coverage, and lower signal to noise ratio (SNR). Single Image Super-Resolution (SISR), a technique aimed to restore high-resolution (HR) details from one single low-resolution (LR) input image, has been improved dramatically by recent breakthroughs in deep learning. In this paper, we introduce a new neural network architecture, 3D Densely Connected Super-Resolution Networks (DCSRN) to restore HR features of structural brain MR images. Through experiments on a dataset with 1,113 subjects, we demonstrate that our network outperforms bicubic interpolation as well as other deep learning methods in restoring 4× resolution-reduced images.","container-title":"2018 IEEE 15th International Symposium on Biomedical Imaging (ISBI 2018)","DOI":"10.1109/ISBI.2018.8363679","event-title":"2018 IEEE 15th International Symposium on Biomedical Imaging (ISBI 2018)","note":"ISSN: 1945-8452","page":"739-742","source":"IEEE Xplore","title":"Brain MRI super resolution using 3D deep densely connected neural networks","URL":"https://ieeexplore.ieee.org/document/8363679","author":[{"family":"Chen","given":"Yuhua"},{"family":"Xie","given":"Yibin"},{"family":"Zhou","given":"Zhengwei"},{"family":"Shi","given":"Feng"},{"family":"Christodoulou","given":"Anthony G."},{"family":"Li","given":"Debiao"}],"accessed":{"date-parts":[["2025",5,14]]},"issued":{"date-parts":[["2018",4]]}},"suppress-author":true}],"schema":"https://github.com/citation-style-language/schema/raw/master/csl-citation.json"} </w:instrText>
            </w:r>
            <w:r w:rsidRPr="00547F04">
              <w:rPr>
                <w:rFonts w:eastAsia="Calibri"/>
                <w:sz w:val="20"/>
                <w:szCs w:val="20"/>
              </w:rPr>
              <w:fldChar w:fldCharType="separate"/>
            </w:r>
            <w:r w:rsidR="00C90120" w:rsidRPr="00547F04">
              <w:rPr>
                <w:rFonts w:eastAsia="Calibri"/>
                <w:sz w:val="20"/>
                <w:szCs w:val="20"/>
              </w:rPr>
              <w:t>[48]</w:t>
            </w:r>
            <w:r w:rsidRPr="00547F04">
              <w:rPr>
                <w:rFonts w:eastAsia="Calibri"/>
                <w:sz w:val="20"/>
                <w:szCs w:val="20"/>
              </w:rPr>
              <w:fldChar w:fldCharType="end"/>
            </w:r>
          </w:p>
        </w:tc>
        <w:tc>
          <w:tcPr>
            <w:tcW w:w="6957" w:type="dxa"/>
            <w:vAlign w:val="center"/>
          </w:tcPr>
          <w:p w14:paraId="2BBA4027" w14:textId="4DDD8735" w:rsidR="002C0FDB" w:rsidRPr="00B07E2B" w:rsidRDefault="002C0FDB" w:rsidP="00B07E2B">
            <w:pPr>
              <w:spacing w:line="276" w:lineRule="auto"/>
              <w:jc w:val="both"/>
              <w:rPr>
                <w:rFonts w:eastAsia="Calibri"/>
                <w:sz w:val="18"/>
                <w:szCs w:val="18"/>
              </w:rPr>
            </w:pPr>
            <w:r w:rsidRPr="00B07E2B">
              <w:rPr>
                <w:rFonts w:eastAsia="Calibri"/>
                <w:sz w:val="18"/>
                <w:szCs w:val="18"/>
              </w:rPr>
              <w:t>Βελτίωση ανάλυσης εγκεφαλικών MRI εικόνων μέσω 3D CNNs</w:t>
            </w:r>
            <w:r w:rsidR="00444A1E" w:rsidRPr="00B07E2B">
              <w:rPr>
                <w:rFonts w:eastAsia="Calibri"/>
                <w:sz w:val="18"/>
                <w:szCs w:val="18"/>
              </w:rPr>
              <w:t>. Αυξημένη</w:t>
            </w:r>
            <w:r w:rsidRPr="00B07E2B">
              <w:rPr>
                <w:rFonts w:eastAsia="Calibri"/>
                <w:sz w:val="18"/>
                <w:szCs w:val="18"/>
              </w:rPr>
              <w:t xml:space="preserve"> ανάλυση έως και τέσσερις φορές σε σύγκριση με άλλες 2D και 3D τεχνικές</w:t>
            </w:r>
            <w:r w:rsidR="0009484F" w:rsidRPr="00B07E2B">
              <w:rPr>
                <w:rFonts w:eastAsia="Calibri"/>
                <w:sz w:val="18"/>
                <w:szCs w:val="18"/>
              </w:rPr>
              <w:t>.</w:t>
            </w:r>
          </w:p>
        </w:tc>
      </w:tr>
      <w:tr w:rsidR="002C0FDB" w:rsidRPr="00A831E7" w14:paraId="532AA7F4" w14:textId="77777777" w:rsidTr="00AC1D7E">
        <w:tc>
          <w:tcPr>
            <w:tcW w:w="1345" w:type="dxa"/>
          </w:tcPr>
          <w:p w14:paraId="794E06A2" w14:textId="15FFCEAF" w:rsidR="002C0FDB" w:rsidRPr="00547F04" w:rsidRDefault="002C0FDB" w:rsidP="00B07E2B">
            <w:pPr>
              <w:spacing w:line="276" w:lineRule="auto"/>
              <w:jc w:val="center"/>
              <w:rPr>
                <w:rFonts w:eastAsia="Calibri"/>
                <w:sz w:val="20"/>
                <w:szCs w:val="20"/>
              </w:rPr>
            </w:pPr>
            <w:r w:rsidRPr="00547F04">
              <w:rPr>
                <w:rFonts w:eastAsia="Calibri"/>
                <w:sz w:val="20"/>
                <w:szCs w:val="20"/>
              </w:rPr>
              <w:t xml:space="preserve">Bahrami et al. </w:t>
            </w:r>
            <w:r w:rsidRPr="00547F04">
              <w:rPr>
                <w:rFonts w:eastAsia="Calibri"/>
                <w:sz w:val="20"/>
                <w:szCs w:val="20"/>
              </w:rPr>
              <w:fldChar w:fldCharType="begin"/>
            </w:r>
            <w:r w:rsidR="00C90120" w:rsidRPr="00547F04">
              <w:rPr>
                <w:rFonts w:eastAsia="Calibri"/>
                <w:sz w:val="20"/>
                <w:szCs w:val="20"/>
              </w:rPr>
              <w:instrText xml:space="preserve"> ADDIN ZOTERO_ITEM CSL_CITATION {"citationID":"XNceqTEr","properties":{"formattedCitation":"[49]","plainCitation":"[49]","noteIndex":0},"citationItems":[{"id":1646,"uris":["http://zotero.org/users/local/mfHf28QG/items/I7CSERMQ"],"itemData":{"id":1646,"type":"article-journal","abstract":"In the recent MRI scanning, ultra-high-field (7T) MR imaging provides higher resolution and better tissue contrast compared to routine 3T MRI, which may help in more accurate and early brain diseases diagnosis. However, currently, 7T MRI scanners are more expensive and less available at clinical and research centers. These motivate us to propose a method for the reconstruction of images close to the quality of 7T MRI, called 7T-like images, from 3T MRI, to improve the quality in terms of resolution and contrast. By doing so, the post-processing tasks, such as tissue segmentation, can be done more accurately and brain tissues details can be seen with higher resolution and contrast. To do this, we have acquired a unique dataset which includes paired 3T and 7T images scanned from same subjects, and then propose a hierarchical reconstruction based on group sparsity in a novel multi-level Canonical Correlation Analysis (CCA) space, to improve the quality of 3T MR image to be 7T-like MRI. First, overlapping patches are extracted from the input 3T MR image. Then, by extracting the most similar patches from all the aligned 3T and 7T images in the training set, the paired 3T and 7T dictionaries are constructed for each patch. It is worth noting that, for the training, we use pairs of 3T and 7T MR images from each training subject. Then, we propose multi-level CCA to map the paired 3T and 7T patch sets to a common space to increase their correlations. In such space, each input 3T MRI patch is sparsely represented by the 3T dictionary and then the obtained sparse coefficients are used together with the corresponding 7T dictionary to reconstruct the 7T-like patch. Also, to have the structural consistency between adjacent patches, the group sparsity is employed. This reconstruction is performed with changing patch sizes in a hierarchical framework. Experiments have been done using 13 subjects with both 3T and 7T MR images. The results show that our method outperforms previous methods and is able to recover better structural details. Also, to place our proposed method in a medical application context, we evaluated the influence of post-processing methods such as brain tissue segmentation on the reconstructed 7T-like MR images. Results show that our 7T-like images lead to higher accuracy in segmentation of white matter (WM), gray matter (GM), cerebrospinal fluid (CSF), and skull, compared to segmentation of 3T MR images.","container-title":"IEEE Transactions on Medical Imaging","DOI":"10.1109/TMI.2016.2549918","ISSN":"1558-254X","issue":"9","page":"2085-2097","source":"IEEE Xplore","title":"Reconstruction of 7T-Like Images From 3T MRI","volume":"35","author":[{"family":"Bahrami","given":"Khosro"},{"family":"Shi","given":"Feng"},{"family":"Zong","given":"Xiaopeng"},{"family":"Shin","given":"Hae Won"},{"family":"An","given":"Hongyu"},{"family":"Shen","given":"Dinggang"}],"issued":{"date-parts":[["2016",9]]}},"suppress-author":true}],"schema":"https://github.com/citation-style-language/schema/raw/master/csl-citation.json"} </w:instrText>
            </w:r>
            <w:r w:rsidRPr="00547F04">
              <w:rPr>
                <w:rFonts w:eastAsia="Calibri"/>
                <w:sz w:val="20"/>
                <w:szCs w:val="20"/>
              </w:rPr>
              <w:fldChar w:fldCharType="separate"/>
            </w:r>
            <w:r w:rsidR="00C90120" w:rsidRPr="00547F04">
              <w:rPr>
                <w:rFonts w:eastAsia="Calibri"/>
                <w:sz w:val="20"/>
                <w:szCs w:val="20"/>
              </w:rPr>
              <w:t>[49]</w:t>
            </w:r>
            <w:r w:rsidRPr="00547F04">
              <w:rPr>
                <w:rFonts w:eastAsia="Calibri"/>
                <w:sz w:val="20"/>
                <w:szCs w:val="20"/>
              </w:rPr>
              <w:fldChar w:fldCharType="end"/>
            </w:r>
          </w:p>
        </w:tc>
        <w:tc>
          <w:tcPr>
            <w:tcW w:w="6957" w:type="dxa"/>
          </w:tcPr>
          <w:p w14:paraId="4161774D" w14:textId="18587316" w:rsidR="002C0FDB" w:rsidRPr="00B07E2B" w:rsidRDefault="002C0FDB" w:rsidP="00B07E2B">
            <w:pPr>
              <w:spacing w:line="276" w:lineRule="auto"/>
              <w:jc w:val="both"/>
              <w:rPr>
                <w:rFonts w:eastAsia="Calibri"/>
                <w:sz w:val="18"/>
                <w:szCs w:val="18"/>
              </w:rPr>
            </w:pPr>
            <w:r w:rsidRPr="00B07E2B">
              <w:rPr>
                <w:rFonts w:eastAsia="Calibri"/>
                <w:sz w:val="18"/>
                <w:szCs w:val="18"/>
              </w:rPr>
              <w:t>Προσομοίωση εικόνων μαγνητικής τομογραφίας</w:t>
            </w:r>
            <w:r w:rsidR="00FC4A3E" w:rsidRPr="00B07E2B">
              <w:rPr>
                <w:rFonts w:eastAsia="Calibri"/>
                <w:sz w:val="18"/>
                <w:szCs w:val="18"/>
              </w:rPr>
              <w:t xml:space="preserve"> πεδίου</w:t>
            </w:r>
            <w:r w:rsidRPr="00B07E2B">
              <w:rPr>
                <w:rFonts w:eastAsia="Calibri"/>
                <w:sz w:val="18"/>
                <w:szCs w:val="18"/>
              </w:rPr>
              <w:t xml:space="preserve"> 7T από δεδομένα</w:t>
            </w:r>
            <w:r w:rsidR="00444A1E" w:rsidRPr="00B07E2B">
              <w:rPr>
                <w:rFonts w:eastAsia="Calibri"/>
                <w:sz w:val="18"/>
                <w:szCs w:val="18"/>
              </w:rPr>
              <w:t xml:space="preserve"> πεδίου 3T</w:t>
            </w:r>
            <w:r w:rsidRPr="00B07E2B">
              <w:rPr>
                <w:rFonts w:eastAsia="Calibri"/>
                <w:sz w:val="18"/>
                <w:szCs w:val="18"/>
              </w:rPr>
              <w:t xml:space="preserve"> μέσω CNNs</w:t>
            </w:r>
            <w:r w:rsidR="00444A1E" w:rsidRPr="00B07E2B">
              <w:rPr>
                <w:rFonts w:eastAsia="Calibri"/>
                <w:sz w:val="18"/>
                <w:szCs w:val="18"/>
              </w:rPr>
              <w:t>.</w:t>
            </w:r>
            <w:r w:rsidRPr="00B07E2B">
              <w:rPr>
                <w:rFonts w:eastAsia="Calibri"/>
                <w:sz w:val="18"/>
                <w:szCs w:val="18"/>
              </w:rPr>
              <w:t xml:space="preserve"> </w:t>
            </w:r>
            <w:r w:rsidR="00444A1E" w:rsidRPr="00B07E2B">
              <w:rPr>
                <w:rFonts w:eastAsia="Calibri"/>
                <w:sz w:val="18"/>
                <w:szCs w:val="18"/>
              </w:rPr>
              <w:t>Βελτίωση απεικονιστικής</w:t>
            </w:r>
            <w:r w:rsidRPr="00B07E2B">
              <w:rPr>
                <w:rFonts w:eastAsia="Calibri"/>
                <w:sz w:val="18"/>
                <w:szCs w:val="18"/>
              </w:rPr>
              <w:t xml:space="preserve"> </w:t>
            </w:r>
            <w:r w:rsidR="00444A1E" w:rsidRPr="00B07E2B">
              <w:rPr>
                <w:rFonts w:eastAsia="Calibri"/>
                <w:sz w:val="18"/>
                <w:szCs w:val="18"/>
              </w:rPr>
              <w:t>ανάλυσης και</w:t>
            </w:r>
            <w:r w:rsidRPr="00B07E2B">
              <w:rPr>
                <w:rFonts w:eastAsia="Calibri"/>
                <w:sz w:val="18"/>
                <w:szCs w:val="18"/>
              </w:rPr>
              <w:t xml:space="preserve"> λεπτομέρ</w:t>
            </w:r>
            <w:r w:rsidR="00444A1E" w:rsidRPr="00B07E2B">
              <w:rPr>
                <w:rFonts w:eastAsia="Calibri"/>
                <w:sz w:val="18"/>
                <w:szCs w:val="18"/>
              </w:rPr>
              <w:t>ε</w:t>
            </w:r>
            <w:r w:rsidRPr="00B07E2B">
              <w:rPr>
                <w:rFonts w:eastAsia="Calibri"/>
                <w:sz w:val="18"/>
                <w:szCs w:val="18"/>
              </w:rPr>
              <w:t>ια</w:t>
            </w:r>
            <w:r w:rsidR="00444A1E" w:rsidRPr="00B07E2B">
              <w:rPr>
                <w:rFonts w:eastAsia="Calibri"/>
                <w:sz w:val="18"/>
                <w:szCs w:val="18"/>
              </w:rPr>
              <w:t>ς</w:t>
            </w:r>
            <w:r w:rsidRPr="00B07E2B">
              <w:rPr>
                <w:rFonts w:eastAsia="Calibri"/>
                <w:sz w:val="18"/>
                <w:szCs w:val="18"/>
              </w:rPr>
              <w:t>.</w:t>
            </w:r>
          </w:p>
        </w:tc>
      </w:tr>
    </w:tbl>
    <w:p w14:paraId="4162208C" w14:textId="77777777" w:rsidR="00547F04" w:rsidRPr="00A831E7" w:rsidRDefault="00547F04" w:rsidP="00251C2F">
      <w:pPr>
        <w:rPr>
          <w:rFonts w:eastAsia="Calibri"/>
        </w:rPr>
      </w:pPr>
    </w:p>
    <w:p w14:paraId="56E24910" w14:textId="717112A1" w:rsidR="00F74903" w:rsidRPr="008F5904" w:rsidRDefault="00FC4A3E" w:rsidP="008F5904">
      <w:pPr>
        <w:pStyle w:val="3"/>
      </w:pPr>
      <w:bookmarkStart w:id="91" w:name="_Toc199787399"/>
      <w:bookmarkStart w:id="92" w:name="_Toc199946470"/>
      <w:r w:rsidRPr="008F5904">
        <w:t>3.3.3 Ανάλυση-Αξιολόγηση Απεικονίσεων</w:t>
      </w:r>
      <w:bookmarkEnd w:id="91"/>
      <w:bookmarkEnd w:id="92"/>
    </w:p>
    <w:p w14:paraId="066E8E8B" w14:textId="08D21E31" w:rsidR="00F32EEE" w:rsidRPr="00A831E7" w:rsidRDefault="00F74903" w:rsidP="00F32EEE">
      <w:pPr>
        <w:spacing w:line="360" w:lineRule="auto"/>
        <w:jc w:val="both"/>
        <w:rPr>
          <w:rFonts w:eastAsia="Calibri"/>
        </w:rPr>
      </w:pPr>
      <w:r w:rsidRPr="00A831E7">
        <w:rPr>
          <w:rFonts w:eastAsia="Calibri"/>
        </w:rPr>
        <w:tab/>
        <w:t>Η ανάλυση εικόνας μέσω τεχνικών τεχνητής νοημοσύνης έχει αναδειχθεί ως μία από τις πιο ελπιδοφόρες εφαρμογές για την απεικόνιση εγκεφαλικών επεισοδίων. Η διαδικασία αυτή περιλαμβάνει ανίχνευση</w:t>
      </w:r>
      <w:r w:rsidR="002F25E2">
        <w:rPr>
          <w:rFonts w:eastAsia="Calibri"/>
        </w:rPr>
        <w:t>,</w:t>
      </w:r>
      <w:r w:rsidRPr="00A831E7">
        <w:rPr>
          <w:rFonts w:eastAsia="Calibri"/>
        </w:rPr>
        <w:t xml:space="preserve"> τμηματοποίηση</w:t>
      </w:r>
      <w:r w:rsidR="002F25E2">
        <w:rPr>
          <w:rFonts w:eastAsia="Calibri"/>
        </w:rPr>
        <w:t>,</w:t>
      </w:r>
      <w:r w:rsidRPr="00A831E7">
        <w:rPr>
          <w:rFonts w:eastAsia="Calibri"/>
        </w:rPr>
        <w:t xml:space="preserve"> ταξινόμηση, καθώς και πρόβλεψη της έκβασης του εγκεφαλικού, όλα μέσω προηγμένων αλγορίθμων βαθιάς μάθησης (DL) .</w:t>
      </w:r>
    </w:p>
    <w:p w14:paraId="4E5ED39D" w14:textId="5949745C" w:rsidR="00F74903" w:rsidRPr="00A831E7" w:rsidRDefault="00F74903" w:rsidP="00F32EEE">
      <w:pPr>
        <w:pStyle w:val="4"/>
        <w:spacing w:line="360" w:lineRule="auto"/>
        <w:rPr>
          <w:rFonts w:eastAsia="Calibri"/>
          <w:b w:val="0"/>
          <w:bCs/>
        </w:rPr>
      </w:pPr>
      <w:r w:rsidRPr="00A831E7">
        <w:rPr>
          <w:rFonts w:eastAsia="Calibri"/>
          <w:bCs/>
        </w:rPr>
        <w:lastRenderedPageBreak/>
        <w:t>Ανίχνευση και Τμηματοποίηση</w:t>
      </w:r>
    </w:p>
    <w:p w14:paraId="51D1E1DE" w14:textId="4A3793F7" w:rsidR="00444A1E" w:rsidRPr="00A831E7" w:rsidRDefault="00F74903" w:rsidP="00F32EEE">
      <w:pPr>
        <w:spacing w:line="360" w:lineRule="auto"/>
        <w:ind w:firstLine="720"/>
        <w:jc w:val="both"/>
        <w:rPr>
          <w:rFonts w:eastAsia="Calibri"/>
        </w:rPr>
      </w:pPr>
      <w:r w:rsidRPr="00A831E7">
        <w:rPr>
          <w:rFonts w:eastAsia="Calibri"/>
        </w:rPr>
        <w:t xml:space="preserve">Η έγκαιρη ανίχνευση σημείων εγκεφαλικού σε απεικονιστικές εξετάσεις είναι ζωτικής σημασίας για την άμεση διαχείριση και θεραπεία. Επιπλέον, η τμηματοποίηση των </w:t>
      </w:r>
      <w:r w:rsidR="00E3473D" w:rsidRPr="00A831E7">
        <w:rPr>
          <w:rFonts w:eastAsia="Calibri"/>
        </w:rPr>
        <w:t xml:space="preserve">αλλοιώσεων ιστού είναι τομέας που χρειάζεται αυτοματοποίηση καθώς είναι διαδικασία που σε άλλες περιπτώσεις απαιτεί χρόνο και ειδίκευση </w:t>
      </w:r>
      <w:r w:rsidR="00E3473D" w:rsidRPr="00A831E7">
        <w:rPr>
          <w:rFonts w:eastAsia="Calibri"/>
        </w:rPr>
        <w:fldChar w:fldCharType="begin"/>
      </w:r>
      <w:r w:rsidR="00E3473D" w:rsidRPr="00A831E7">
        <w:rPr>
          <w:rFonts w:eastAsia="Calibri"/>
        </w:rPr>
        <w:instrText xml:space="preserve"> ADDIN ZOTERO_ITEM CSL_CITATION {"citationID":"I3siN7zz","properties":{"formattedCitation":"[26]","plainCitation":"[26]","noteIndex":0},"citationItems":[{"id":1211,"uris":["http://zotero.org/users/local/mfHf28QG/items/9FUW65EX"],"itemData":{"id":1211,"type":"article-journal","abstract":"Artificial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D."}],"issued":{"date-parts":[["2021",1]]}},"suppress-author":true}],"schema":"https://github.com/citation-style-language/schema/raw/master/csl-citation.json"} </w:instrText>
      </w:r>
      <w:r w:rsidR="00E3473D" w:rsidRPr="00A831E7">
        <w:rPr>
          <w:rFonts w:eastAsia="Calibri"/>
        </w:rPr>
        <w:fldChar w:fldCharType="separate"/>
      </w:r>
      <w:r w:rsidR="00E3473D" w:rsidRPr="00A831E7">
        <w:rPr>
          <w:rFonts w:eastAsia="Calibri"/>
        </w:rPr>
        <w:t>[26]</w:t>
      </w:r>
      <w:r w:rsidR="00E3473D" w:rsidRPr="00A831E7">
        <w:rPr>
          <w:rFonts w:eastAsia="Calibri"/>
        </w:rPr>
        <w:fldChar w:fldCharType="end"/>
      </w:r>
      <w:r w:rsidR="00E3473D" w:rsidRPr="00A831E7">
        <w:rPr>
          <w:rFonts w:eastAsia="Calibri"/>
        </w:rPr>
        <w:t>. Πλήθος μελετών έχουν χρησιμοποιήσει AI αλγόριθμους για διαδικασίες ανίχνευσης και τμηματοποίησης δεδομένων από NCCT</w:t>
      </w:r>
      <w:r w:rsidR="00251C2F" w:rsidRPr="00A831E7">
        <w:rPr>
          <w:rFonts w:eastAsia="Calibri"/>
        </w:rPr>
        <w:t xml:space="preserve"> </w:t>
      </w:r>
      <w:r w:rsidR="00E3473D" w:rsidRPr="00A831E7">
        <w:rPr>
          <w:rFonts w:eastAsia="Calibri"/>
        </w:rPr>
        <w:t>(non-contrast CT), CTA</w:t>
      </w:r>
      <w:r w:rsidR="00251C2F" w:rsidRPr="00A831E7">
        <w:rPr>
          <w:rFonts w:eastAsia="Calibri"/>
        </w:rPr>
        <w:t xml:space="preserve"> </w:t>
      </w:r>
      <w:r w:rsidR="00E3473D" w:rsidRPr="00A831E7">
        <w:rPr>
          <w:rFonts w:eastAsia="Calibri"/>
        </w:rPr>
        <w:t>(CT αγγειογραφία), CTP</w:t>
      </w:r>
      <w:r w:rsidR="00251C2F" w:rsidRPr="00A831E7">
        <w:rPr>
          <w:rFonts w:eastAsia="Calibri"/>
        </w:rPr>
        <w:t xml:space="preserve"> </w:t>
      </w:r>
      <w:r w:rsidR="00E3473D" w:rsidRPr="00A831E7">
        <w:rPr>
          <w:rFonts w:eastAsia="Calibri"/>
        </w:rPr>
        <w:t>(CT Perfusion) και MRI, MRA</w:t>
      </w:r>
      <w:r w:rsidR="00251C2F" w:rsidRPr="00A831E7">
        <w:rPr>
          <w:rFonts w:eastAsia="Calibri"/>
        </w:rPr>
        <w:t xml:space="preserve"> </w:t>
      </w:r>
      <w:r w:rsidR="00E3473D" w:rsidRPr="00A831E7">
        <w:rPr>
          <w:rFonts w:eastAsia="Calibri"/>
        </w:rPr>
        <w:t>(Magnetic Resonance Angiography) και PWI</w:t>
      </w:r>
      <w:r w:rsidR="00251C2F" w:rsidRPr="00A831E7">
        <w:rPr>
          <w:rFonts w:eastAsia="Calibri"/>
        </w:rPr>
        <w:t xml:space="preserve"> </w:t>
      </w:r>
      <w:r w:rsidR="00E3473D" w:rsidRPr="00A831E7">
        <w:rPr>
          <w:rFonts w:eastAsia="Calibri"/>
        </w:rPr>
        <w:t xml:space="preserve">(Perfusion-Weighted MRI) όπως φαίνεται στον </w:t>
      </w:r>
      <w:r w:rsidR="00E3473D" w:rsidRPr="00A831E7">
        <w:rPr>
          <w:rFonts w:eastAsia="Calibri"/>
          <w:i/>
          <w:iCs/>
        </w:rPr>
        <w:t>Πίνακα 1</w:t>
      </w:r>
      <w:r w:rsidR="0011104D" w:rsidRPr="00A831E7">
        <w:rPr>
          <w:rFonts w:eastAsia="Calibri"/>
          <w:i/>
          <w:iCs/>
        </w:rPr>
        <w:t>0</w:t>
      </w:r>
      <w:r w:rsidR="00E3473D" w:rsidRPr="00A831E7">
        <w:rPr>
          <w:rFonts w:eastAsia="Calibri"/>
        </w:rPr>
        <w:t>.</w:t>
      </w:r>
    </w:p>
    <w:p w14:paraId="36AF7AEA" w14:textId="77777777" w:rsidR="008A6745" w:rsidRDefault="008A6745" w:rsidP="00F32EEE">
      <w:pPr>
        <w:spacing w:line="360" w:lineRule="auto"/>
        <w:ind w:firstLine="720"/>
        <w:jc w:val="both"/>
        <w:rPr>
          <w:rFonts w:eastAsia="Calibri"/>
        </w:rPr>
      </w:pPr>
    </w:p>
    <w:p w14:paraId="6491E9CC" w14:textId="77777777" w:rsidR="00EE0F79" w:rsidRPr="00A831E7" w:rsidRDefault="00EE0F79" w:rsidP="00F32EEE">
      <w:pPr>
        <w:spacing w:line="360" w:lineRule="auto"/>
        <w:ind w:firstLine="720"/>
        <w:jc w:val="both"/>
        <w:rPr>
          <w:rFonts w:eastAsia="Calibri"/>
        </w:rPr>
      </w:pPr>
    </w:p>
    <w:p w14:paraId="0C2B1824" w14:textId="5DF52D10" w:rsidR="008A1B5E" w:rsidRPr="00A831E7" w:rsidRDefault="008A6745" w:rsidP="00F32EEE">
      <w:pPr>
        <w:pStyle w:val="af5"/>
        <w:keepNext/>
        <w:spacing w:line="360" w:lineRule="auto"/>
        <w:jc w:val="center"/>
        <w:rPr>
          <w:b/>
          <w:bCs/>
          <w:color w:val="auto"/>
          <w:sz w:val="20"/>
          <w:szCs w:val="20"/>
        </w:rPr>
      </w:pPr>
      <w:bookmarkStart w:id="93" w:name="_Toc199787745"/>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10</w:t>
      </w:r>
      <w:r w:rsidRPr="00A831E7">
        <w:rPr>
          <w:b/>
          <w:bCs/>
          <w:color w:val="auto"/>
          <w:sz w:val="20"/>
          <w:szCs w:val="20"/>
        </w:rPr>
        <w:fldChar w:fldCharType="end"/>
      </w:r>
      <w:r w:rsidRPr="00A831E7">
        <w:rPr>
          <w:rFonts w:eastAsia="Calibri"/>
          <w:b/>
          <w:bCs/>
          <w:color w:val="auto"/>
          <w:sz w:val="20"/>
          <w:szCs w:val="20"/>
        </w:rPr>
        <w:t>: Χρήση ΑΙ για Ανίχνευση και Τμηματοποίηση Απεικονιστικών Εξετάσεων [26]</w:t>
      </w:r>
      <w:bookmarkEnd w:id="93"/>
    </w:p>
    <w:tbl>
      <w:tblPr>
        <w:tblStyle w:val="af0"/>
        <w:tblpPr w:leftFromText="180" w:rightFromText="180" w:vertAnchor="text" w:tblpY="1"/>
        <w:tblOverlap w:val="never"/>
        <w:tblW w:w="0" w:type="auto"/>
        <w:tblLayout w:type="fixed"/>
        <w:tblLook w:val="04A0" w:firstRow="1" w:lastRow="0" w:firstColumn="1" w:lastColumn="0" w:noHBand="0" w:noVBand="1"/>
      </w:tblPr>
      <w:tblGrid>
        <w:gridCol w:w="1190"/>
        <w:gridCol w:w="1145"/>
        <w:gridCol w:w="1170"/>
        <w:gridCol w:w="2880"/>
        <w:gridCol w:w="1917"/>
      </w:tblGrid>
      <w:tr w:rsidR="002A0E22" w:rsidRPr="00A831E7" w14:paraId="295F0C16" w14:textId="094B0424" w:rsidTr="0057069D">
        <w:trPr>
          <w:tblHeader/>
        </w:trPr>
        <w:tc>
          <w:tcPr>
            <w:tcW w:w="1190" w:type="dxa"/>
            <w:shd w:val="clear" w:color="auto" w:fill="D9D9D9" w:themeFill="background1" w:themeFillShade="D9"/>
          </w:tcPr>
          <w:p w14:paraId="4D45B7B9" w14:textId="77777777" w:rsidR="00924BAE" w:rsidRPr="00A831E7" w:rsidRDefault="00924BAE" w:rsidP="00B07E2B">
            <w:pPr>
              <w:spacing w:line="276" w:lineRule="auto"/>
              <w:jc w:val="center"/>
              <w:rPr>
                <w:rFonts w:eastAsia="Calibri"/>
                <w:b/>
                <w:bCs/>
                <w:sz w:val="20"/>
                <w:szCs w:val="20"/>
              </w:rPr>
            </w:pPr>
            <w:r w:rsidRPr="00A831E7">
              <w:rPr>
                <w:rFonts w:eastAsia="Calibri"/>
                <w:b/>
                <w:bCs/>
                <w:sz w:val="20"/>
                <w:szCs w:val="20"/>
              </w:rPr>
              <w:t>Αναφορά</w:t>
            </w:r>
          </w:p>
        </w:tc>
        <w:tc>
          <w:tcPr>
            <w:tcW w:w="1145" w:type="dxa"/>
            <w:shd w:val="clear" w:color="auto" w:fill="D9D9D9" w:themeFill="background1" w:themeFillShade="D9"/>
          </w:tcPr>
          <w:p w14:paraId="06A6001D" w14:textId="2502EAEF" w:rsidR="00924BAE" w:rsidRPr="00A831E7" w:rsidRDefault="002A0E22" w:rsidP="00B07E2B">
            <w:pPr>
              <w:spacing w:line="276" w:lineRule="auto"/>
              <w:jc w:val="center"/>
              <w:rPr>
                <w:rFonts w:eastAsia="Calibri"/>
                <w:b/>
                <w:bCs/>
                <w:sz w:val="20"/>
                <w:szCs w:val="20"/>
              </w:rPr>
            </w:pPr>
            <w:r w:rsidRPr="00A831E7">
              <w:rPr>
                <w:rFonts w:eastAsia="Calibri"/>
                <w:b/>
                <w:bCs/>
                <w:sz w:val="20"/>
                <w:szCs w:val="20"/>
              </w:rPr>
              <w:t>Εξέταση</w:t>
            </w:r>
          </w:p>
        </w:tc>
        <w:tc>
          <w:tcPr>
            <w:tcW w:w="1170" w:type="dxa"/>
            <w:shd w:val="clear" w:color="auto" w:fill="D9D9D9" w:themeFill="background1" w:themeFillShade="D9"/>
          </w:tcPr>
          <w:p w14:paraId="73B650D9" w14:textId="66D04AC0" w:rsidR="00924BAE" w:rsidRPr="00A831E7" w:rsidRDefault="009A5FA8" w:rsidP="00B07E2B">
            <w:pPr>
              <w:spacing w:line="276" w:lineRule="auto"/>
              <w:jc w:val="center"/>
              <w:rPr>
                <w:rFonts w:eastAsia="Calibri"/>
                <w:b/>
                <w:bCs/>
                <w:sz w:val="20"/>
                <w:szCs w:val="20"/>
              </w:rPr>
            </w:pPr>
            <w:r w:rsidRPr="00A831E7">
              <w:rPr>
                <w:rFonts w:eastAsia="Calibri"/>
                <w:b/>
                <w:bCs/>
                <w:sz w:val="20"/>
                <w:szCs w:val="20"/>
              </w:rPr>
              <w:t>Μέθοδος</w:t>
            </w:r>
            <w:r w:rsidR="00924BAE" w:rsidRPr="00A831E7">
              <w:rPr>
                <w:rFonts w:eastAsia="Calibri"/>
                <w:b/>
                <w:bCs/>
                <w:sz w:val="20"/>
                <w:szCs w:val="20"/>
              </w:rPr>
              <w:t xml:space="preserve"> ΑΙ</w:t>
            </w:r>
          </w:p>
        </w:tc>
        <w:tc>
          <w:tcPr>
            <w:tcW w:w="2880" w:type="dxa"/>
            <w:shd w:val="clear" w:color="auto" w:fill="D9D9D9" w:themeFill="background1" w:themeFillShade="D9"/>
          </w:tcPr>
          <w:p w14:paraId="048094D8" w14:textId="45709B3D" w:rsidR="00924BAE" w:rsidRPr="00A831E7" w:rsidRDefault="00924BAE" w:rsidP="00B07E2B">
            <w:pPr>
              <w:spacing w:line="276" w:lineRule="auto"/>
              <w:jc w:val="center"/>
              <w:rPr>
                <w:rFonts w:eastAsia="Calibri"/>
                <w:b/>
                <w:bCs/>
                <w:sz w:val="20"/>
                <w:szCs w:val="20"/>
              </w:rPr>
            </w:pPr>
            <w:r w:rsidRPr="00A831E7">
              <w:rPr>
                <w:rFonts w:eastAsia="Calibri"/>
                <w:b/>
                <w:bCs/>
                <w:sz w:val="20"/>
                <w:szCs w:val="20"/>
              </w:rPr>
              <w:t>Αποτελέσματα</w:t>
            </w:r>
          </w:p>
        </w:tc>
        <w:tc>
          <w:tcPr>
            <w:tcW w:w="1917" w:type="dxa"/>
            <w:shd w:val="clear" w:color="auto" w:fill="D9D9D9" w:themeFill="background1" w:themeFillShade="D9"/>
          </w:tcPr>
          <w:p w14:paraId="34F66EF2" w14:textId="77777777" w:rsidR="00924BAE" w:rsidRPr="00A831E7" w:rsidRDefault="00924BAE" w:rsidP="00B07E2B">
            <w:pPr>
              <w:spacing w:line="276" w:lineRule="auto"/>
              <w:jc w:val="center"/>
              <w:rPr>
                <w:rFonts w:eastAsia="Calibri"/>
                <w:b/>
                <w:bCs/>
                <w:sz w:val="20"/>
                <w:szCs w:val="20"/>
              </w:rPr>
            </w:pPr>
            <w:r w:rsidRPr="00A831E7">
              <w:rPr>
                <w:rFonts w:eastAsia="Calibri"/>
                <w:b/>
                <w:bCs/>
                <w:sz w:val="20"/>
                <w:szCs w:val="20"/>
              </w:rPr>
              <w:t>Ευαισθησία/</w:t>
            </w:r>
          </w:p>
          <w:p w14:paraId="58C035CC" w14:textId="77777777" w:rsidR="00924BAE" w:rsidRPr="00A831E7" w:rsidRDefault="00924BAE" w:rsidP="00B07E2B">
            <w:pPr>
              <w:spacing w:line="276" w:lineRule="auto"/>
              <w:jc w:val="center"/>
              <w:rPr>
                <w:rFonts w:eastAsia="Calibri"/>
                <w:b/>
                <w:bCs/>
                <w:sz w:val="20"/>
                <w:szCs w:val="20"/>
              </w:rPr>
            </w:pPr>
            <w:r w:rsidRPr="00A831E7">
              <w:rPr>
                <w:rFonts w:eastAsia="Calibri"/>
                <w:b/>
                <w:bCs/>
                <w:sz w:val="20"/>
                <w:szCs w:val="20"/>
              </w:rPr>
              <w:t>Ειδικότητα/</w:t>
            </w:r>
          </w:p>
          <w:p w14:paraId="1DEA897C" w14:textId="0464E2B6" w:rsidR="00924BAE" w:rsidRPr="00A831E7" w:rsidRDefault="00924BAE" w:rsidP="00B07E2B">
            <w:pPr>
              <w:spacing w:line="276" w:lineRule="auto"/>
              <w:jc w:val="center"/>
              <w:rPr>
                <w:rFonts w:eastAsia="Calibri"/>
                <w:b/>
                <w:bCs/>
                <w:sz w:val="20"/>
                <w:szCs w:val="20"/>
              </w:rPr>
            </w:pPr>
            <w:r w:rsidRPr="00A831E7">
              <w:rPr>
                <w:rFonts w:eastAsia="Calibri"/>
                <w:b/>
                <w:bCs/>
                <w:sz w:val="20"/>
                <w:szCs w:val="20"/>
              </w:rPr>
              <w:t>ROC-AUC</w:t>
            </w:r>
          </w:p>
        </w:tc>
      </w:tr>
      <w:tr w:rsidR="002A0E22" w:rsidRPr="00A831E7" w14:paraId="74301FDC" w14:textId="0FA7C5AD" w:rsidTr="00624385">
        <w:tc>
          <w:tcPr>
            <w:tcW w:w="1190" w:type="dxa"/>
          </w:tcPr>
          <w:p w14:paraId="3E5F80A2" w14:textId="18E9D937" w:rsidR="002A0E22" w:rsidRPr="00547F04" w:rsidRDefault="002A0E22" w:rsidP="00B07E2B">
            <w:pPr>
              <w:spacing w:line="276" w:lineRule="auto"/>
              <w:jc w:val="center"/>
              <w:rPr>
                <w:rFonts w:eastAsia="Calibri"/>
                <w:sz w:val="18"/>
                <w:szCs w:val="18"/>
              </w:rPr>
            </w:pPr>
            <w:r w:rsidRPr="00547F04">
              <w:rPr>
                <w:rFonts w:eastAsia="Calibri"/>
                <w:sz w:val="18"/>
                <w:szCs w:val="18"/>
              </w:rPr>
              <w:t xml:space="preserve">Chung et al. </w:t>
            </w:r>
            <w:r w:rsidR="00BC5EDD" w:rsidRPr="00547F04">
              <w:rPr>
                <w:rFonts w:eastAsia="Calibri"/>
                <w:sz w:val="18"/>
                <w:szCs w:val="18"/>
              </w:rPr>
              <w:fldChar w:fldCharType="begin"/>
            </w:r>
            <w:r w:rsidR="00C90120" w:rsidRPr="00547F04">
              <w:rPr>
                <w:rFonts w:eastAsia="Calibri"/>
                <w:sz w:val="18"/>
                <w:szCs w:val="18"/>
              </w:rPr>
              <w:instrText xml:space="preserve"> ADDIN ZOTERO_ITEM CSL_CITATION {"citationID":"e0CWy1Op","properties":{"formattedCitation":"[50]","plainCitation":"[50]","noteIndex":0},"citationItems":[{"id":1649,"uris":["http://zotero.org/users/local/mfHf28QG/items/XBVB27WN"],"itemData":{"id":1649,"type":"article-journal","abstract":"Introduction: The hyperdense vessel sign (HDVS) on non-contrast computed tomography (NCCT) is one of the earliest findings in patients with acute ischemic stroke. Further, the HDVS has been associated with poor outcomes. Recognition of the HDVS, which indicates the presence and location of a red blood cell-rich intra-arterial thrombus, aids the diagnosis of large vessel occlusions (LVOs) and helps the triage to endovascular reperfusion. An efficient workflow to identify patients eligible for reperfusion therapy is essential to achieve the best patient outcome, and an artificial intelligence technology that can automatically detect HDVS and notify specialists may streamline this process. We present the first results using artificial intelligence to accurately identify HDVS for LVO detection.Methods: A convolutional neural network (Viz HDVS) was developed to detect hyperdense middle cerebral artery (MCA) sign of the M1 segment on NCCT. A single center retrospective analysis of NCCT in consecutive acute ischemic stroke patients from January 2014 to May 2015 with angiography-proven LVO was performed. Results of the Viz HDVS algorithm were compared to findings reported by expert neuroradiologists in the electronic medical record database, which were independently reassessed for congruence by a separate radiologist. Patients were excluded if a pre-angiography NCCT or the radiology report was unavailable for review, or if the presence of hyperdense MCA M1 sign was indeterminate.Results: A total of 223 patients were reviewed. The Viz HDVS algorithm identified hyperdense MCA M1 sign with a sensitivity of 70%, a specificity of 96%, and an AUC of 0.85 in 117 NCCT scans from acute ischemic stroke patients with LVO. The mean algorithm run time was 1 minute 30 seconds, with a maximum run time of 3 minutes. Projected mean time to specialist notification using Viz HDVS was 5 minutes.Conclusions: The novel Viz HDVS algorithm demonstrated remarkable feasibility and speed of applying artificial intelligence in the automated detection of HDVS and notification of specialists. This algorithm may aid in earlier identification and treatment of acute ischemic stroke patients with LVOs.","container-title":"Stroke","DOI":"10.1161/str.50.suppl_1.WP76","issue":"Suppl_1","note":"publisher: American Heart Association","page":"AWP76-AWP76","source":"ahajournals.org (Atypon)","title":"Abstract WP76: Automated Detection of Hyperdense MCA Sign and Automated Notification of Large Vessel Occlusion Using Artificial Intelligence","title-short":"Abstract WP76","volume":"50","author":[{"family":"Chung","given":"Charlotte Y"},{"family":"Rodrigues","given":"Gabriel M"},{"family":"Haussen","given":"Diogo C"},{"family":"Barreira","given":"Clara M"},{"family":"Grossberg","given":"Jonathan"},{"family":"Frankel","given":"Michael R"},{"family":"Nogueira","given":"Raul G"}],"issued":{"date-parts":[["2019",2]]}},"suppress-author":true}],"schema":"https://github.com/citation-style-language/schema/raw/master/csl-citation.json"} </w:instrText>
            </w:r>
            <w:r w:rsidR="00BC5EDD" w:rsidRPr="00547F04">
              <w:rPr>
                <w:rFonts w:eastAsia="Calibri"/>
                <w:sz w:val="18"/>
                <w:szCs w:val="18"/>
              </w:rPr>
              <w:fldChar w:fldCharType="separate"/>
            </w:r>
            <w:r w:rsidR="00C90120" w:rsidRPr="00547F04">
              <w:rPr>
                <w:rFonts w:eastAsia="Calibri"/>
                <w:sz w:val="18"/>
                <w:szCs w:val="18"/>
              </w:rPr>
              <w:t>[50]</w:t>
            </w:r>
            <w:r w:rsidR="00BC5EDD" w:rsidRPr="00547F04">
              <w:rPr>
                <w:rFonts w:eastAsia="Calibri"/>
                <w:sz w:val="18"/>
                <w:szCs w:val="18"/>
              </w:rPr>
              <w:fldChar w:fldCharType="end"/>
            </w:r>
          </w:p>
        </w:tc>
        <w:tc>
          <w:tcPr>
            <w:tcW w:w="1145" w:type="dxa"/>
          </w:tcPr>
          <w:p w14:paraId="70D69C1E" w14:textId="6E1E8F22" w:rsidR="002A0E22" w:rsidRPr="00547F04" w:rsidRDefault="002A0E22" w:rsidP="00B07E2B">
            <w:pPr>
              <w:spacing w:line="276" w:lineRule="auto"/>
              <w:jc w:val="center"/>
              <w:rPr>
                <w:rFonts w:eastAsia="Calibri"/>
                <w:sz w:val="18"/>
                <w:szCs w:val="18"/>
              </w:rPr>
            </w:pPr>
            <w:r w:rsidRPr="00547F04">
              <w:rPr>
                <w:rFonts w:eastAsia="Calibri"/>
                <w:sz w:val="18"/>
                <w:szCs w:val="18"/>
              </w:rPr>
              <w:t>NCCT</w:t>
            </w:r>
          </w:p>
        </w:tc>
        <w:tc>
          <w:tcPr>
            <w:tcW w:w="1170" w:type="dxa"/>
          </w:tcPr>
          <w:p w14:paraId="3803E44E" w14:textId="25660736" w:rsidR="002A0E22" w:rsidRPr="00547F04" w:rsidRDefault="002A0E22" w:rsidP="00B07E2B">
            <w:pPr>
              <w:spacing w:line="276" w:lineRule="auto"/>
              <w:jc w:val="center"/>
              <w:rPr>
                <w:rFonts w:eastAsia="Calibri"/>
                <w:sz w:val="18"/>
                <w:szCs w:val="18"/>
              </w:rPr>
            </w:pPr>
            <w:r w:rsidRPr="00547F04">
              <w:rPr>
                <w:rFonts w:eastAsia="Calibri"/>
                <w:sz w:val="18"/>
                <w:szCs w:val="18"/>
              </w:rPr>
              <w:t>CNN</w:t>
            </w:r>
          </w:p>
        </w:tc>
        <w:tc>
          <w:tcPr>
            <w:tcW w:w="2880" w:type="dxa"/>
          </w:tcPr>
          <w:p w14:paraId="781C825F" w14:textId="1C412F59" w:rsidR="002A0E22" w:rsidRPr="00B07E2B" w:rsidRDefault="002A0E22" w:rsidP="00B07E2B">
            <w:pPr>
              <w:spacing w:line="276" w:lineRule="auto"/>
              <w:rPr>
                <w:rFonts w:eastAsia="Calibri"/>
                <w:i/>
                <w:iCs/>
                <w:sz w:val="18"/>
                <w:szCs w:val="18"/>
              </w:rPr>
            </w:pPr>
            <w:r w:rsidRPr="00B07E2B">
              <w:rPr>
                <w:rFonts w:eastAsia="Calibri"/>
                <w:i/>
                <w:iCs/>
                <w:sz w:val="18"/>
                <w:szCs w:val="18"/>
              </w:rPr>
              <w:t>Ανίχνευση</w:t>
            </w:r>
            <w:r w:rsidR="002653F8" w:rsidRPr="00B07E2B">
              <w:rPr>
                <w:rFonts w:eastAsia="Calibri"/>
                <w:i/>
                <w:iCs/>
                <w:sz w:val="18"/>
                <w:szCs w:val="18"/>
              </w:rPr>
              <w:t xml:space="preserve"> σημείων αυξημένης </w:t>
            </w:r>
            <w:r w:rsidRPr="00B07E2B">
              <w:rPr>
                <w:rFonts w:eastAsia="Calibri"/>
                <w:i/>
                <w:iCs/>
                <w:sz w:val="18"/>
                <w:szCs w:val="18"/>
              </w:rPr>
              <w:t>αγγειακ</w:t>
            </w:r>
            <w:r w:rsidR="002653F8" w:rsidRPr="00B07E2B">
              <w:rPr>
                <w:rFonts w:eastAsia="Calibri"/>
                <w:i/>
                <w:iCs/>
                <w:sz w:val="18"/>
                <w:szCs w:val="18"/>
              </w:rPr>
              <w:t>ής πυκνότητας</w:t>
            </w:r>
            <w:r w:rsidRPr="00B07E2B">
              <w:rPr>
                <w:rFonts w:eastAsia="Calibri"/>
                <w:i/>
                <w:iCs/>
                <w:sz w:val="18"/>
                <w:szCs w:val="18"/>
              </w:rPr>
              <w:t xml:space="preserve"> στην MCA, βελτιώνοντας τη διάγνωση</w:t>
            </w:r>
            <w:r w:rsidR="002653F8" w:rsidRPr="00B07E2B">
              <w:rPr>
                <w:rFonts w:eastAsia="Calibri"/>
                <w:i/>
                <w:iCs/>
                <w:sz w:val="18"/>
                <w:szCs w:val="18"/>
              </w:rPr>
              <w:t xml:space="preserve"> AIS</w:t>
            </w:r>
            <w:r w:rsidRPr="00B07E2B">
              <w:rPr>
                <w:rFonts w:eastAsia="Calibri"/>
                <w:i/>
                <w:iCs/>
                <w:sz w:val="18"/>
                <w:szCs w:val="18"/>
              </w:rPr>
              <w:t xml:space="preserve">. </w:t>
            </w:r>
            <w:r w:rsidR="002653F8" w:rsidRPr="00B07E2B">
              <w:rPr>
                <w:rFonts w:eastAsia="Calibri"/>
                <w:i/>
                <w:iCs/>
                <w:sz w:val="18"/>
                <w:szCs w:val="18"/>
              </w:rPr>
              <w:br/>
            </w:r>
            <w:r w:rsidRPr="00B07E2B">
              <w:rPr>
                <w:rFonts w:eastAsia="Calibri"/>
                <w:i/>
                <w:iCs/>
                <w:sz w:val="18"/>
                <w:szCs w:val="18"/>
              </w:rPr>
              <w:t>Χρόνος ανάλυσης: 1 λεπτό 30 δευτερόλεπτα.</w:t>
            </w:r>
          </w:p>
        </w:tc>
        <w:tc>
          <w:tcPr>
            <w:tcW w:w="1917" w:type="dxa"/>
          </w:tcPr>
          <w:p w14:paraId="32572569" w14:textId="60EA6660" w:rsidR="002A0E22" w:rsidRPr="00547F04" w:rsidRDefault="00C90120" w:rsidP="00B07E2B">
            <w:pPr>
              <w:spacing w:line="276" w:lineRule="auto"/>
              <w:rPr>
                <w:rFonts w:eastAsia="Calibri"/>
                <w:sz w:val="18"/>
                <w:szCs w:val="18"/>
              </w:rPr>
            </w:pPr>
            <w:r w:rsidRPr="00547F04">
              <w:rPr>
                <w:rFonts w:eastAsia="Calibri"/>
                <w:sz w:val="18"/>
                <w:szCs w:val="18"/>
              </w:rPr>
              <w:t>70%</w:t>
            </w:r>
            <w:r w:rsidR="002A0E22" w:rsidRPr="00547F04">
              <w:rPr>
                <w:rFonts w:eastAsia="Calibri"/>
                <w:sz w:val="18"/>
                <w:szCs w:val="18"/>
              </w:rPr>
              <w:t xml:space="preserve"> /</w:t>
            </w:r>
            <w:r w:rsidR="001B04CA" w:rsidRPr="00547F04">
              <w:rPr>
                <w:rFonts w:eastAsia="Calibri"/>
                <w:sz w:val="18"/>
                <w:szCs w:val="18"/>
              </w:rPr>
              <w:t xml:space="preserve"> 96%</w:t>
            </w:r>
            <w:r w:rsidR="002A0E22" w:rsidRPr="00547F04">
              <w:rPr>
                <w:rFonts w:eastAsia="Calibri"/>
                <w:sz w:val="18"/>
                <w:szCs w:val="18"/>
              </w:rPr>
              <w:t xml:space="preserve"> /</w:t>
            </w:r>
            <w:r w:rsidRPr="00547F04">
              <w:rPr>
                <w:rFonts w:eastAsia="Calibri"/>
                <w:sz w:val="18"/>
                <w:szCs w:val="18"/>
              </w:rPr>
              <w:t>0.85</w:t>
            </w:r>
          </w:p>
        </w:tc>
      </w:tr>
      <w:tr w:rsidR="002A0E22" w:rsidRPr="00A831E7" w14:paraId="7ACAAE87" w14:textId="40A5F0CB" w:rsidTr="00624385">
        <w:tc>
          <w:tcPr>
            <w:tcW w:w="1190" w:type="dxa"/>
          </w:tcPr>
          <w:p w14:paraId="75432997" w14:textId="7CA9B430" w:rsidR="002A0E22" w:rsidRPr="00547F04" w:rsidRDefault="002A0E22" w:rsidP="00B07E2B">
            <w:pPr>
              <w:spacing w:line="276" w:lineRule="auto"/>
              <w:jc w:val="center"/>
              <w:rPr>
                <w:rFonts w:eastAsia="Calibri"/>
                <w:sz w:val="18"/>
                <w:szCs w:val="18"/>
              </w:rPr>
            </w:pPr>
            <w:r w:rsidRPr="00547F04">
              <w:rPr>
                <w:rFonts w:eastAsia="Calibri"/>
                <w:sz w:val="18"/>
                <w:szCs w:val="18"/>
              </w:rPr>
              <w:t xml:space="preserve">Kuang et al. </w:t>
            </w:r>
            <w:r w:rsidR="00BC5EDD" w:rsidRPr="00547F04">
              <w:rPr>
                <w:rFonts w:eastAsia="Calibri"/>
                <w:sz w:val="18"/>
                <w:szCs w:val="18"/>
              </w:rPr>
              <w:fldChar w:fldCharType="begin"/>
            </w:r>
            <w:r w:rsidR="00C90120" w:rsidRPr="00547F04">
              <w:rPr>
                <w:rFonts w:eastAsia="Calibri"/>
                <w:sz w:val="18"/>
                <w:szCs w:val="18"/>
              </w:rPr>
              <w:instrText xml:space="preserve"> ADDIN ZOTERO_ITEM CSL_CITATION {"citationID":"YFPK6DNU","properties":{"formattedCitation":"[51]","plainCitation":"[51]","noteIndex":0},"citationItems":[{"id":1650,"uris":["http://zotero.org/users/local/mfHf28QG/items/JYUETEIH"],"itemData":{"id":1650,"type":"article-journal","abstract":"BACKGROUND AND PURPOSE: Alberta Stroke Program Early CT Score (ASPECTS) was devised as a systematic method to assess the extent of early ischemic change on noncontrast CT (NCCT) in patients with acute ischemic stroke (AIS). Our aim was to automate ASPECTS to objectively score NCCT of AIS patients.\nMATERIALS AND METHODS: We collected NCCT images with a 5-mm thickness of 257 patients with acute ischemic stroke (&lt;8 hours from onset to scans) followed by a diffusion-weighted imaging acquisition within 1 hour. Expert ASPECTS readings on DWI were used as ground truth. Texture features were extracted from each ASPECTS region of the 157 training patient images to train a random forest classifier. The unseen 100 testing patient images were used to evaluate the performance of the trained classifier. Statistical analyses on the total ASPECTS and region-level ASPECTS were conducted.\nRESULTS: For the total ASPECTS of the unseen 100 patients, the intraclass correlation coefficient between the automated ASPECTS method and DWI ASPECTS scores of expert readings was 0.76 (95% confidence interval, 0.67–0.83) and the mean ASPECTS difference in the Bland-Altman plot was 0.3 (limits of agreement, −3.3, 2.6). Individual ASPECTS region-level analysis showed that our method yielded κ = 0.60, sensitivity of 66.2%, specificity of 91.8%, and area under curve of 0.79 for 100 × 10 ASPECTS regions. Additionally, when ASPECTS was dichotomized (&gt;4 and ≤4), κ = 0.78, sensitivity of 97.8%, specificity of 80%, and area under the curve of 0.89 were generated between the proposed method and expert readings on DWI.\nCONCLUSIONS: The proposed automated ASPECTS scoring approach shows reasonable ability to determine ASPECTS on NCCT images in patients presenting with acute ischemic stroke.","container-title":"American Journal of Neuroradiology","DOI":"10.3174/ajnr.A5889","ISSN":"0195-6108, 1936-959X","issue":"1","language":"en","license":"© 2019 by American Journal of Neuroradiology. Indicates open access to non-subscribers at www.ajnr.org","note":"publisher: American Journal of Neuroradiology\nsection: Adult Brain\nPMID: 30498017","page":"33-38","source":"www.ajnr.org","title":"Automated ASPECTS on Noncontrast CT Scans in Patients with Acute Ischemic Stroke Using Machine Learning","volume":"40","author":[{"family":"Kuang","given":"H."},{"family":"Najm","given":"M."},{"family":"Chakraborty","given":"D."},{"family":"Maraj","given":"N."},{"family":"Sohn","given":"S. I."},{"family":"Goyal","given":"M."},{"family":"Hill","given":"M. D."},{"family":"Demchuk","given":"A. M."},{"family":"Menon","given":"B. K."},{"family":"Qiu","given":"W."}],"issued":{"date-parts":[["2019",1,1]]}},"suppress-author":true}],"schema":"https://github.com/citation-style-language/schema/raw/master/csl-citation.json"} </w:instrText>
            </w:r>
            <w:r w:rsidR="00BC5EDD" w:rsidRPr="00547F04">
              <w:rPr>
                <w:rFonts w:eastAsia="Calibri"/>
                <w:sz w:val="18"/>
                <w:szCs w:val="18"/>
              </w:rPr>
              <w:fldChar w:fldCharType="separate"/>
            </w:r>
            <w:r w:rsidR="00C90120" w:rsidRPr="00547F04">
              <w:rPr>
                <w:rFonts w:eastAsia="Calibri"/>
                <w:sz w:val="18"/>
                <w:szCs w:val="18"/>
              </w:rPr>
              <w:t>[51]</w:t>
            </w:r>
            <w:r w:rsidR="00BC5EDD" w:rsidRPr="00547F04">
              <w:rPr>
                <w:rFonts w:eastAsia="Calibri"/>
                <w:sz w:val="18"/>
                <w:szCs w:val="18"/>
              </w:rPr>
              <w:fldChar w:fldCharType="end"/>
            </w:r>
          </w:p>
        </w:tc>
        <w:tc>
          <w:tcPr>
            <w:tcW w:w="1145" w:type="dxa"/>
          </w:tcPr>
          <w:p w14:paraId="2C9F6AA3" w14:textId="42E56481" w:rsidR="002A0E22" w:rsidRPr="00547F04" w:rsidRDefault="002A0E22" w:rsidP="00B07E2B">
            <w:pPr>
              <w:spacing w:line="276" w:lineRule="auto"/>
              <w:jc w:val="center"/>
              <w:rPr>
                <w:rFonts w:eastAsia="Calibri"/>
                <w:sz w:val="18"/>
                <w:szCs w:val="18"/>
              </w:rPr>
            </w:pPr>
            <w:r w:rsidRPr="00547F04">
              <w:rPr>
                <w:rFonts w:eastAsia="Calibri"/>
                <w:sz w:val="18"/>
                <w:szCs w:val="18"/>
              </w:rPr>
              <w:t>NCCT</w:t>
            </w:r>
          </w:p>
        </w:tc>
        <w:tc>
          <w:tcPr>
            <w:tcW w:w="1170" w:type="dxa"/>
          </w:tcPr>
          <w:p w14:paraId="05BCF7F4" w14:textId="754D7E21" w:rsidR="002A0E22" w:rsidRPr="00547F04" w:rsidRDefault="002A0E22" w:rsidP="00B07E2B">
            <w:pPr>
              <w:spacing w:line="276" w:lineRule="auto"/>
              <w:jc w:val="center"/>
              <w:rPr>
                <w:rFonts w:eastAsia="Calibri"/>
                <w:sz w:val="18"/>
                <w:szCs w:val="18"/>
              </w:rPr>
            </w:pPr>
            <w:r w:rsidRPr="00547F04">
              <w:rPr>
                <w:rFonts w:eastAsia="Calibri"/>
                <w:sz w:val="18"/>
                <w:szCs w:val="18"/>
              </w:rPr>
              <w:t>ML</w:t>
            </w:r>
          </w:p>
        </w:tc>
        <w:tc>
          <w:tcPr>
            <w:tcW w:w="2880" w:type="dxa"/>
          </w:tcPr>
          <w:p w14:paraId="3C75C28B" w14:textId="7074D200" w:rsidR="002A0E22" w:rsidRPr="00B07E2B" w:rsidRDefault="002A0E22" w:rsidP="00B07E2B">
            <w:pPr>
              <w:spacing w:line="276" w:lineRule="auto"/>
              <w:rPr>
                <w:rFonts w:eastAsia="Calibri"/>
                <w:i/>
                <w:iCs/>
                <w:sz w:val="18"/>
                <w:szCs w:val="18"/>
              </w:rPr>
            </w:pPr>
            <w:r w:rsidRPr="00B07E2B">
              <w:rPr>
                <w:rFonts w:eastAsia="Calibri"/>
                <w:i/>
                <w:iCs/>
                <w:sz w:val="18"/>
                <w:szCs w:val="18"/>
              </w:rPr>
              <w:t>Ποσοτικοποίηση βαθμολογίας ASPECT</w:t>
            </w:r>
            <w:r w:rsidR="00FA6923">
              <w:rPr>
                <w:rFonts w:eastAsia="Calibri"/>
                <w:i/>
                <w:iCs/>
                <w:sz w:val="18"/>
                <w:szCs w:val="18"/>
                <w:lang w:val="en-US"/>
              </w:rPr>
              <w:t xml:space="preserve"> </w:t>
            </w:r>
            <w:r w:rsidR="00FA6923">
              <w:rPr>
                <w:rFonts w:eastAsia="Calibri"/>
                <w:i/>
                <w:iCs/>
                <w:sz w:val="18"/>
                <w:szCs w:val="18"/>
              </w:rPr>
              <w:t>με διχοτόμηση</w:t>
            </w:r>
            <w:r w:rsidRPr="00B07E2B">
              <w:rPr>
                <w:rFonts w:eastAsia="Calibri"/>
                <w:i/>
                <w:iCs/>
                <w:sz w:val="18"/>
                <w:szCs w:val="18"/>
              </w:rPr>
              <w:t xml:space="preserve"> μέσω ML, αξιοποιώντας diffusion-weighted MRI ως ground truth.</w:t>
            </w:r>
          </w:p>
        </w:tc>
        <w:tc>
          <w:tcPr>
            <w:tcW w:w="1917" w:type="dxa"/>
          </w:tcPr>
          <w:p w14:paraId="39136F71" w14:textId="351F7560" w:rsidR="002A0E22" w:rsidRPr="00547F04" w:rsidRDefault="005038A0" w:rsidP="00B07E2B">
            <w:pPr>
              <w:spacing w:line="276" w:lineRule="auto"/>
              <w:rPr>
                <w:rFonts w:eastAsia="Calibri"/>
                <w:sz w:val="18"/>
                <w:szCs w:val="18"/>
              </w:rPr>
            </w:pPr>
            <w:r w:rsidRPr="00547F04">
              <w:rPr>
                <w:rFonts w:eastAsia="Calibri"/>
                <w:sz w:val="18"/>
                <w:szCs w:val="18"/>
              </w:rPr>
              <w:t>80</w:t>
            </w:r>
            <w:r w:rsidR="001B04CA" w:rsidRPr="00547F04">
              <w:rPr>
                <w:rFonts w:eastAsia="Calibri"/>
                <w:sz w:val="18"/>
                <w:szCs w:val="18"/>
              </w:rPr>
              <w:t>% / 9</w:t>
            </w:r>
            <w:r w:rsidRPr="00547F04">
              <w:rPr>
                <w:rFonts w:eastAsia="Calibri"/>
                <w:sz w:val="18"/>
                <w:szCs w:val="18"/>
              </w:rPr>
              <w:t>7.8</w:t>
            </w:r>
            <w:r w:rsidR="001B04CA" w:rsidRPr="00547F04">
              <w:rPr>
                <w:rFonts w:eastAsia="Calibri"/>
                <w:sz w:val="18"/>
                <w:szCs w:val="18"/>
              </w:rPr>
              <w:t xml:space="preserve">% </w:t>
            </w:r>
            <w:r w:rsidR="002A0E22" w:rsidRPr="00547F04">
              <w:rPr>
                <w:rFonts w:eastAsia="Calibri"/>
                <w:sz w:val="18"/>
                <w:szCs w:val="18"/>
              </w:rPr>
              <w:t xml:space="preserve">/ </w:t>
            </w:r>
            <w:r w:rsidRPr="00547F04">
              <w:rPr>
                <w:rFonts w:eastAsia="Calibri"/>
                <w:sz w:val="18"/>
                <w:szCs w:val="18"/>
              </w:rPr>
              <w:t>0.78</w:t>
            </w:r>
          </w:p>
        </w:tc>
      </w:tr>
      <w:tr w:rsidR="002A0E22" w:rsidRPr="00A831E7" w14:paraId="346E3B27" w14:textId="77777777" w:rsidTr="00624385">
        <w:tc>
          <w:tcPr>
            <w:tcW w:w="1190" w:type="dxa"/>
          </w:tcPr>
          <w:p w14:paraId="2BA3E758" w14:textId="7A148E1A" w:rsidR="002A0E22" w:rsidRPr="00547F04" w:rsidRDefault="002A0E22" w:rsidP="00B07E2B">
            <w:pPr>
              <w:spacing w:line="276" w:lineRule="auto"/>
              <w:jc w:val="center"/>
              <w:rPr>
                <w:rFonts w:eastAsia="Calibri"/>
                <w:sz w:val="18"/>
                <w:szCs w:val="18"/>
              </w:rPr>
            </w:pPr>
            <w:r w:rsidRPr="00547F04">
              <w:rPr>
                <w:rFonts w:eastAsia="Calibri"/>
                <w:sz w:val="18"/>
                <w:szCs w:val="18"/>
              </w:rPr>
              <w:t xml:space="preserve">Barreira et al. </w:t>
            </w:r>
            <w:r w:rsidR="00BC5EDD" w:rsidRPr="00547F04">
              <w:rPr>
                <w:rFonts w:eastAsia="Calibri"/>
                <w:sz w:val="18"/>
                <w:szCs w:val="18"/>
              </w:rPr>
              <w:fldChar w:fldCharType="begin"/>
            </w:r>
            <w:r w:rsidR="00C90120" w:rsidRPr="00547F04">
              <w:rPr>
                <w:rFonts w:eastAsia="Calibri"/>
                <w:sz w:val="18"/>
                <w:szCs w:val="18"/>
              </w:rPr>
              <w:instrText xml:space="preserve"> ADDIN ZOTERO_ITEM CSL_CITATION {"citationID":"9HPmFnFm","properties":{"formattedCitation":"[52]","plainCitation":"[52]","noteIndex":0},"citationItems":[{"id":1662,"uris":["http://zotero.org/users/local/mfHf28QG/items/ZIXIQQZR"],"itemData":{"id":1662,"type":"webpage","title":"Abstract WP61: Automated Large Artery Occlusion Detection IN Stroke Imaging - ALADIN Study | Stroke","URL":"https://www.ahajournals.org/doi/10.1161/str.49.suppl_1.WP61","accessed":{"date-parts":[["2025",5,14]]}},"suppress-author":true}],"schema":"https://github.com/citation-style-language/schema/raw/master/csl-citation.json"} </w:instrText>
            </w:r>
            <w:r w:rsidR="00BC5EDD" w:rsidRPr="00547F04">
              <w:rPr>
                <w:rFonts w:eastAsia="Calibri"/>
                <w:sz w:val="18"/>
                <w:szCs w:val="18"/>
              </w:rPr>
              <w:fldChar w:fldCharType="separate"/>
            </w:r>
            <w:r w:rsidR="00C90120" w:rsidRPr="00547F04">
              <w:rPr>
                <w:rFonts w:eastAsia="Calibri"/>
                <w:sz w:val="18"/>
                <w:szCs w:val="18"/>
              </w:rPr>
              <w:t>[52]</w:t>
            </w:r>
            <w:r w:rsidR="00BC5EDD" w:rsidRPr="00547F04">
              <w:rPr>
                <w:rFonts w:eastAsia="Calibri"/>
                <w:sz w:val="18"/>
                <w:szCs w:val="18"/>
              </w:rPr>
              <w:fldChar w:fldCharType="end"/>
            </w:r>
          </w:p>
        </w:tc>
        <w:tc>
          <w:tcPr>
            <w:tcW w:w="1145" w:type="dxa"/>
          </w:tcPr>
          <w:p w14:paraId="49EEE107" w14:textId="34511945" w:rsidR="002A0E22" w:rsidRPr="00547F04" w:rsidRDefault="002A0E22" w:rsidP="00B07E2B">
            <w:pPr>
              <w:spacing w:line="276" w:lineRule="auto"/>
              <w:jc w:val="center"/>
              <w:rPr>
                <w:rFonts w:eastAsia="Calibri"/>
                <w:sz w:val="18"/>
                <w:szCs w:val="18"/>
              </w:rPr>
            </w:pPr>
            <w:r w:rsidRPr="00547F04">
              <w:rPr>
                <w:rFonts w:eastAsia="Calibri"/>
                <w:sz w:val="18"/>
                <w:szCs w:val="18"/>
              </w:rPr>
              <w:t>CTA</w:t>
            </w:r>
          </w:p>
        </w:tc>
        <w:tc>
          <w:tcPr>
            <w:tcW w:w="1170" w:type="dxa"/>
          </w:tcPr>
          <w:p w14:paraId="6C3B9D03" w14:textId="26434083" w:rsidR="002A0E22" w:rsidRPr="00547F04" w:rsidRDefault="002A0E22" w:rsidP="00B07E2B">
            <w:pPr>
              <w:spacing w:line="276" w:lineRule="auto"/>
              <w:jc w:val="center"/>
              <w:rPr>
                <w:rFonts w:eastAsia="Calibri"/>
                <w:sz w:val="18"/>
                <w:szCs w:val="18"/>
              </w:rPr>
            </w:pPr>
            <w:r w:rsidRPr="00547F04">
              <w:rPr>
                <w:rFonts w:eastAsia="Calibri"/>
                <w:sz w:val="18"/>
                <w:szCs w:val="18"/>
              </w:rPr>
              <w:t>AI (Viz.ai)</w:t>
            </w:r>
          </w:p>
        </w:tc>
        <w:tc>
          <w:tcPr>
            <w:tcW w:w="2880" w:type="dxa"/>
          </w:tcPr>
          <w:p w14:paraId="46036344" w14:textId="2647A752" w:rsidR="002A0E22" w:rsidRPr="00B07E2B" w:rsidRDefault="002A0E22" w:rsidP="00B07E2B">
            <w:pPr>
              <w:spacing w:line="276" w:lineRule="auto"/>
              <w:rPr>
                <w:rFonts w:eastAsia="Calibri"/>
                <w:i/>
                <w:iCs/>
                <w:sz w:val="18"/>
                <w:szCs w:val="18"/>
              </w:rPr>
            </w:pPr>
            <w:r w:rsidRPr="00B07E2B">
              <w:rPr>
                <w:rFonts w:eastAsia="Calibri"/>
                <w:i/>
                <w:iCs/>
                <w:sz w:val="18"/>
                <w:szCs w:val="18"/>
              </w:rPr>
              <w:t>Ανίχνευση</w:t>
            </w:r>
            <w:r w:rsidR="009A5FA8" w:rsidRPr="00B07E2B">
              <w:rPr>
                <w:rFonts w:eastAsia="Calibri"/>
                <w:i/>
                <w:iCs/>
                <w:sz w:val="18"/>
                <w:szCs w:val="18"/>
              </w:rPr>
              <w:t xml:space="preserve"> LVO</w:t>
            </w:r>
            <w:r w:rsidRPr="00B07E2B">
              <w:rPr>
                <w:rFonts w:eastAsia="Calibri"/>
                <w:i/>
                <w:iCs/>
                <w:sz w:val="18"/>
                <w:szCs w:val="18"/>
              </w:rPr>
              <w:t xml:space="preserve"> με</w:t>
            </w:r>
            <w:r w:rsidR="009A5FA8" w:rsidRPr="00B07E2B">
              <w:rPr>
                <w:rFonts w:eastAsia="Calibri"/>
                <w:i/>
                <w:iCs/>
                <w:sz w:val="18"/>
                <w:szCs w:val="18"/>
              </w:rPr>
              <w:t xml:space="preserve"> χρήση</w:t>
            </w:r>
            <w:r w:rsidRPr="00B07E2B">
              <w:rPr>
                <w:rFonts w:eastAsia="Calibri"/>
                <w:i/>
                <w:iCs/>
                <w:sz w:val="18"/>
                <w:szCs w:val="18"/>
              </w:rPr>
              <w:t xml:space="preserve"> εμπορικ</w:t>
            </w:r>
            <w:r w:rsidR="009A5FA8" w:rsidRPr="00B07E2B">
              <w:rPr>
                <w:rFonts w:eastAsia="Calibri"/>
                <w:i/>
                <w:iCs/>
                <w:sz w:val="18"/>
                <w:szCs w:val="18"/>
              </w:rPr>
              <w:t>ού</w:t>
            </w:r>
            <w:r w:rsidRPr="00B07E2B">
              <w:rPr>
                <w:rFonts w:eastAsia="Calibri"/>
                <w:i/>
                <w:iCs/>
                <w:sz w:val="18"/>
                <w:szCs w:val="18"/>
              </w:rPr>
              <w:t xml:space="preserve"> AI μοντέλο</w:t>
            </w:r>
            <w:r w:rsidR="009A5FA8" w:rsidRPr="00B07E2B">
              <w:rPr>
                <w:rFonts w:eastAsia="Calibri"/>
                <w:i/>
                <w:iCs/>
                <w:sz w:val="18"/>
                <w:szCs w:val="18"/>
              </w:rPr>
              <w:t>υ</w:t>
            </w:r>
            <w:r w:rsidRPr="00B07E2B">
              <w:rPr>
                <w:rFonts w:eastAsia="Calibri"/>
                <w:i/>
                <w:iCs/>
                <w:sz w:val="18"/>
                <w:szCs w:val="18"/>
              </w:rPr>
              <w:t xml:space="preserve"> σε 875 ασθενείς.</w:t>
            </w:r>
          </w:p>
        </w:tc>
        <w:tc>
          <w:tcPr>
            <w:tcW w:w="1917" w:type="dxa"/>
          </w:tcPr>
          <w:p w14:paraId="0B040631" w14:textId="07471485" w:rsidR="002A0E22" w:rsidRPr="00547F04" w:rsidRDefault="002A0E22" w:rsidP="00B07E2B">
            <w:pPr>
              <w:spacing w:line="276" w:lineRule="auto"/>
              <w:rPr>
                <w:rFonts w:eastAsia="Calibri"/>
                <w:sz w:val="18"/>
                <w:szCs w:val="18"/>
              </w:rPr>
            </w:pPr>
            <w:r w:rsidRPr="00547F04">
              <w:rPr>
                <w:rFonts w:eastAsia="Calibri"/>
                <w:sz w:val="18"/>
                <w:szCs w:val="18"/>
              </w:rPr>
              <w:t>9</w:t>
            </w:r>
            <w:r w:rsidR="00FA6923">
              <w:rPr>
                <w:rFonts w:eastAsia="Calibri"/>
                <w:sz w:val="18"/>
                <w:szCs w:val="18"/>
                <w:lang w:val="en-US"/>
              </w:rPr>
              <w:t>2</w:t>
            </w:r>
            <w:r w:rsidRPr="00547F04">
              <w:rPr>
                <w:rFonts w:eastAsia="Calibri"/>
                <w:sz w:val="18"/>
                <w:szCs w:val="18"/>
              </w:rPr>
              <w:t>%</w:t>
            </w:r>
            <w:r w:rsidR="001B04CA" w:rsidRPr="00547F04">
              <w:rPr>
                <w:rFonts w:eastAsia="Calibri"/>
                <w:sz w:val="18"/>
                <w:szCs w:val="18"/>
              </w:rPr>
              <w:t>/</w:t>
            </w:r>
            <w:r w:rsidRPr="00547F04">
              <w:rPr>
                <w:rFonts w:eastAsia="Calibri"/>
                <w:sz w:val="18"/>
                <w:szCs w:val="18"/>
              </w:rPr>
              <w:t xml:space="preserve"> </w:t>
            </w:r>
            <w:r w:rsidR="00FA6923">
              <w:rPr>
                <w:rFonts w:eastAsia="Calibri"/>
                <w:sz w:val="18"/>
                <w:szCs w:val="18"/>
                <w:lang w:val="en-US"/>
              </w:rPr>
              <w:t>75</w:t>
            </w:r>
            <w:r w:rsidRPr="00547F04">
              <w:rPr>
                <w:rFonts w:eastAsia="Calibri"/>
                <w:sz w:val="18"/>
                <w:szCs w:val="18"/>
              </w:rPr>
              <w:t xml:space="preserve">% </w:t>
            </w:r>
            <w:r w:rsidR="00FA6923">
              <w:rPr>
                <w:rFonts w:eastAsia="Calibri"/>
                <w:sz w:val="18"/>
                <w:szCs w:val="18"/>
              </w:rPr>
              <w:br/>
            </w:r>
            <w:r w:rsidR="00FA6923">
              <w:rPr>
                <w:rFonts w:eastAsia="Calibri"/>
                <w:sz w:val="18"/>
                <w:szCs w:val="18"/>
                <w:lang w:val="en-US"/>
              </w:rPr>
              <w:t>accuracy = 88%</w:t>
            </w:r>
            <w:r w:rsidRPr="00547F04">
              <w:rPr>
                <w:rFonts w:eastAsia="Calibri"/>
                <w:sz w:val="18"/>
                <w:szCs w:val="18"/>
              </w:rPr>
              <w:t xml:space="preserve"> </w:t>
            </w:r>
          </w:p>
        </w:tc>
      </w:tr>
      <w:tr w:rsidR="002A0E22" w:rsidRPr="00A831E7" w14:paraId="1984002C" w14:textId="77777777" w:rsidTr="00624385">
        <w:tc>
          <w:tcPr>
            <w:tcW w:w="1190" w:type="dxa"/>
          </w:tcPr>
          <w:p w14:paraId="15C89AB5" w14:textId="668A2127" w:rsidR="002A0E22" w:rsidRPr="00547F04" w:rsidRDefault="002A0E22" w:rsidP="00B07E2B">
            <w:pPr>
              <w:spacing w:line="276" w:lineRule="auto"/>
              <w:jc w:val="center"/>
              <w:rPr>
                <w:rFonts w:eastAsia="Calibri"/>
                <w:sz w:val="18"/>
                <w:szCs w:val="18"/>
              </w:rPr>
            </w:pPr>
            <w:r w:rsidRPr="00547F04">
              <w:rPr>
                <w:rFonts w:eastAsia="Calibri"/>
                <w:sz w:val="18"/>
                <w:szCs w:val="18"/>
              </w:rPr>
              <w:t xml:space="preserve">Sheth et al. </w:t>
            </w:r>
            <w:r w:rsidR="00BC5EDD" w:rsidRPr="00547F04">
              <w:rPr>
                <w:rFonts w:eastAsia="Calibri"/>
                <w:sz w:val="18"/>
                <w:szCs w:val="18"/>
              </w:rPr>
              <w:fldChar w:fldCharType="begin"/>
            </w:r>
            <w:r w:rsidR="00C90120" w:rsidRPr="00547F04">
              <w:rPr>
                <w:rFonts w:eastAsia="Calibri"/>
                <w:sz w:val="18"/>
                <w:szCs w:val="18"/>
              </w:rPr>
              <w:instrText xml:space="preserve"> ADDIN ZOTERO_ITEM CSL_CITATION {"citationID":"Dq0lj0cx","properties":{"formattedCitation":"[53]","plainCitation":"[53]","noteIndex":0},"citationItems":[{"id":1664,"uris":["http://zotero.org/users/local/mfHf28QG/items/DEKCMVLE"],"itemData":{"id":1664,"type":"article-journal","abstract":"Background and Purpose—The availability of and expertise to interpret advanced neuroimaging recommended in the guideline-based endovascular stroke therapy (EST) evaluation are limited. Here, we develop and validate an automated machine learning-based method that evaluates for large vessel occlusion (LVO) and ischemic core volume in patients using a widely available modality, computed tomography angiogram (CTA).Methods—From our prospectively maintained stroke registry and electronic medical record, we identified patients with acute ischemic stroke and stroke mimics with contemporaneous CTA and computed tomography perfusion (CTP) with RAPID (IschemaView) post-processing as a part of the emergent stroke workup. A novel convolutional neural network named DeepSymNet was created and trained to identify LVO as well as infarct core from CTA source images, against CTP-RAPID definitions. Model performance was measured using 10-fold cross validation and receiver-operative curve area under the curve (AUC) statistics.Results—Among the 297 included patients, 224 (75%) had acute ischemic stroke of which 179 (60%) had LVO. Mean CTP-RAPID ischemic core volume was 23±42 mL. LVO locations included internal carotid artery (13%), M1 (44%), and M2 (21%). The DeepSymNet algorithm autonomously learned to identify the intracerebral vasculature on CTA and detected LVO with AUC 0.88. The method was also able to determine infarct core as defined by CTP-RAPID from the CTA source images with AUC 0.88 and 0.90 (ischemic core ≤30 mL and ≤50 mL). These findings were maintained in patients presenting in early (0–6 hours) and late (6–24 hours) time windows (AUCs 0.90 and 0.91, ischemic core ≤50 mL). DeepSymNet probabilities from CTA images corresponded with CTP-RAPID ischemic core volumes as a continuous variable with r=0.7 (Pearson correlation, P&lt;0.001).Conclusions—These results demonstrate that the information needed to perform the neuroimaging evaluation for endovascular therapy with comparable accuracy to advanced imaging modalities may be present in CTA, and the ability of machine learning to automate the analysis.","container-title":"Stroke","DOI":"10.1161/STROKEAHA.119.026189","issue":"11","note":"publisher: American Heart Association","page":"3093-3100","source":"ahajournals.org (Atypon)","title":"Machine Learning–Enabled Automated Determination of Acute Ischemic Core From Computed Tomography Angiography","volume":"50","author":[{"family":"Sheth","given":"Sunil A."},{"family":"Lopez-Rivera","given":"Victor"},{"family":"Barman","given":"Arko"},{"family":"Grotta","given":"James C."},{"family":"Yoo","given":"Albert J."},{"family":"Lee","given":"Songmi"},{"family":"Inam","given":"Mehmet E."},{"family":"Savitz","given":"Sean I."},{"family":"Giancardo","given":"Luca"}],"issued":{"date-parts":[["2019",11]]}},"suppress-author":true}],"schema":"https://github.com/citation-style-language/schema/raw/master/csl-citation.json"} </w:instrText>
            </w:r>
            <w:r w:rsidR="00BC5EDD" w:rsidRPr="00547F04">
              <w:rPr>
                <w:rFonts w:eastAsia="Calibri"/>
                <w:sz w:val="18"/>
                <w:szCs w:val="18"/>
              </w:rPr>
              <w:fldChar w:fldCharType="separate"/>
            </w:r>
            <w:r w:rsidR="00C90120" w:rsidRPr="00547F04">
              <w:rPr>
                <w:rFonts w:eastAsia="Calibri"/>
                <w:sz w:val="18"/>
                <w:szCs w:val="18"/>
              </w:rPr>
              <w:t>[53]</w:t>
            </w:r>
            <w:r w:rsidR="00BC5EDD" w:rsidRPr="00547F04">
              <w:rPr>
                <w:rFonts w:eastAsia="Calibri"/>
                <w:sz w:val="18"/>
                <w:szCs w:val="18"/>
              </w:rPr>
              <w:fldChar w:fldCharType="end"/>
            </w:r>
          </w:p>
        </w:tc>
        <w:tc>
          <w:tcPr>
            <w:tcW w:w="1145" w:type="dxa"/>
          </w:tcPr>
          <w:p w14:paraId="4BE3BCC3" w14:textId="02270669" w:rsidR="002A0E22" w:rsidRPr="00547F04" w:rsidRDefault="002A0E22" w:rsidP="00B07E2B">
            <w:pPr>
              <w:spacing w:line="276" w:lineRule="auto"/>
              <w:jc w:val="center"/>
              <w:rPr>
                <w:rFonts w:eastAsia="Calibri"/>
                <w:sz w:val="18"/>
                <w:szCs w:val="18"/>
              </w:rPr>
            </w:pPr>
            <w:r w:rsidRPr="00547F04">
              <w:rPr>
                <w:rFonts w:eastAsia="Calibri"/>
                <w:sz w:val="18"/>
                <w:szCs w:val="18"/>
              </w:rPr>
              <w:t>CTA/CTP</w:t>
            </w:r>
          </w:p>
        </w:tc>
        <w:tc>
          <w:tcPr>
            <w:tcW w:w="1170" w:type="dxa"/>
          </w:tcPr>
          <w:p w14:paraId="7ACD68B7" w14:textId="2E2DA56A" w:rsidR="002A0E22" w:rsidRPr="00547F04" w:rsidRDefault="002A0E22" w:rsidP="00B07E2B">
            <w:pPr>
              <w:spacing w:line="276" w:lineRule="auto"/>
              <w:jc w:val="center"/>
              <w:rPr>
                <w:rFonts w:eastAsia="Calibri"/>
                <w:sz w:val="18"/>
                <w:szCs w:val="18"/>
              </w:rPr>
            </w:pPr>
            <w:r w:rsidRPr="00547F04">
              <w:rPr>
                <w:rFonts w:eastAsia="Calibri"/>
                <w:sz w:val="18"/>
                <w:szCs w:val="18"/>
              </w:rPr>
              <w:t>CNN</w:t>
            </w:r>
          </w:p>
        </w:tc>
        <w:tc>
          <w:tcPr>
            <w:tcW w:w="2880" w:type="dxa"/>
          </w:tcPr>
          <w:p w14:paraId="3537398E" w14:textId="5423CE0D" w:rsidR="002A0E22" w:rsidRPr="00B07E2B" w:rsidRDefault="002A0E22" w:rsidP="00B07E2B">
            <w:pPr>
              <w:spacing w:line="276" w:lineRule="auto"/>
              <w:rPr>
                <w:rFonts w:eastAsia="Calibri"/>
                <w:i/>
                <w:iCs/>
                <w:sz w:val="18"/>
                <w:szCs w:val="18"/>
              </w:rPr>
            </w:pPr>
            <w:r w:rsidRPr="00B07E2B">
              <w:rPr>
                <w:rFonts w:eastAsia="Calibri"/>
                <w:i/>
                <w:iCs/>
                <w:sz w:val="18"/>
                <w:szCs w:val="18"/>
              </w:rPr>
              <w:t xml:space="preserve">Ταξινόμηση </w:t>
            </w:r>
            <w:r w:rsidR="005403E6" w:rsidRPr="00B07E2B">
              <w:rPr>
                <w:rFonts w:eastAsia="Calibri"/>
                <w:i/>
                <w:iCs/>
                <w:sz w:val="18"/>
                <w:szCs w:val="18"/>
              </w:rPr>
              <w:t>έμφρακτου</w:t>
            </w:r>
            <w:r w:rsidRPr="00B07E2B">
              <w:rPr>
                <w:rFonts w:eastAsia="Calibri"/>
                <w:i/>
                <w:iCs/>
                <w:sz w:val="18"/>
                <w:szCs w:val="18"/>
              </w:rPr>
              <w:t xml:space="preserve"> και LVO μέσω CNN, αξιοποιώντας CTA εικόνες και συμμετρία εγκεφάλου για εκτίμηση έκβασης</w:t>
            </w:r>
            <w:r w:rsidR="009A5FA8" w:rsidRPr="00B07E2B">
              <w:rPr>
                <w:rFonts w:eastAsia="Calibri"/>
                <w:i/>
                <w:iCs/>
                <w:sz w:val="18"/>
                <w:szCs w:val="18"/>
              </w:rPr>
              <w:t xml:space="preserve"> και πιθανοτήτων σε 179 ασθενείς</w:t>
            </w:r>
            <w:r w:rsidRPr="00B07E2B">
              <w:rPr>
                <w:rFonts w:eastAsia="Calibri"/>
                <w:i/>
                <w:iCs/>
                <w:sz w:val="18"/>
                <w:szCs w:val="18"/>
              </w:rPr>
              <w:t>.</w:t>
            </w:r>
          </w:p>
        </w:tc>
        <w:tc>
          <w:tcPr>
            <w:tcW w:w="1917" w:type="dxa"/>
          </w:tcPr>
          <w:p w14:paraId="22A7C6D8" w14:textId="2C17D072" w:rsidR="002A0E22" w:rsidRPr="00547F04" w:rsidRDefault="002A0E22" w:rsidP="00B07E2B">
            <w:pPr>
              <w:spacing w:line="276" w:lineRule="auto"/>
              <w:rPr>
                <w:rFonts w:eastAsia="Calibri"/>
                <w:sz w:val="18"/>
                <w:szCs w:val="18"/>
              </w:rPr>
            </w:pPr>
            <w:r w:rsidRPr="00547F04">
              <w:rPr>
                <w:rFonts w:eastAsia="Calibri"/>
                <w:sz w:val="18"/>
                <w:szCs w:val="18"/>
              </w:rPr>
              <w:t xml:space="preserve">- /- / </w:t>
            </w:r>
            <w:r w:rsidR="001B04CA" w:rsidRPr="00547F04">
              <w:rPr>
                <w:rFonts w:eastAsia="Calibri"/>
                <w:sz w:val="18"/>
                <w:szCs w:val="18"/>
              </w:rPr>
              <w:t>0.</w:t>
            </w:r>
            <w:r w:rsidRPr="00547F04">
              <w:rPr>
                <w:rFonts w:eastAsia="Calibri"/>
                <w:sz w:val="18"/>
                <w:szCs w:val="18"/>
              </w:rPr>
              <w:t>88</w:t>
            </w:r>
          </w:p>
        </w:tc>
      </w:tr>
      <w:tr w:rsidR="002A0E22" w:rsidRPr="00A831E7" w14:paraId="6E6845B5" w14:textId="77777777" w:rsidTr="00624385">
        <w:tc>
          <w:tcPr>
            <w:tcW w:w="1190" w:type="dxa"/>
          </w:tcPr>
          <w:p w14:paraId="3BEB4BA3" w14:textId="78C64B95" w:rsidR="002A0E22" w:rsidRPr="00547F04" w:rsidRDefault="002A0E22" w:rsidP="00B07E2B">
            <w:pPr>
              <w:spacing w:line="276" w:lineRule="auto"/>
              <w:jc w:val="center"/>
              <w:rPr>
                <w:rFonts w:eastAsia="Calibri"/>
                <w:sz w:val="18"/>
                <w:szCs w:val="18"/>
              </w:rPr>
            </w:pPr>
            <w:r w:rsidRPr="00547F04">
              <w:rPr>
                <w:rFonts w:eastAsia="Calibri"/>
                <w:sz w:val="18"/>
                <w:szCs w:val="18"/>
              </w:rPr>
              <w:t xml:space="preserve">Huang et al. </w:t>
            </w:r>
            <w:r w:rsidR="00BC5EDD" w:rsidRPr="00547F04">
              <w:rPr>
                <w:rFonts w:eastAsia="Calibri"/>
                <w:sz w:val="18"/>
                <w:szCs w:val="18"/>
              </w:rPr>
              <w:fldChar w:fldCharType="begin"/>
            </w:r>
            <w:r w:rsidR="00C90120" w:rsidRPr="00547F04">
              <w:rPr>
                <w:rFonts w:eastAsia="Calibri"/>
                <w:sz w:val="18"/>
                <w:szCs w:val="18"/>
              </w:rPr>
              <w:instrText xml:space="preserve"> ADDIN ZOTERO_ITEM CSL_CITATION {"citationID":"NYQQEeRB","properties":{"formattedCitation":"[54]","plainCitation":"[54]","noteIndex":0},"citationItems":[{"id":1670,"uris":["http://zotero.org/users/local/mfHf28QG/items/5L9P3ADA"],"itemData":{"id":1670,"type":"article-journal","abstract":"Accurate and quantitative prediction of ischemic tissue fate could improve decision-making in the clinical treatment of acute stroke. The goal of the present study is to explore the novel use of support vector machine (SVM) to predict infarct on a pixel-by-pixel basis using only acute cerebral blood flow (CBF), apparent diffusion coefficient (ADC) MRI data. The efficacy of SVM prediction model was tested on three stroke groups: 30-min, 60-min, and permanent middle cerebral-artery occlusion (n=12 rats for each group). CBF, ADC and relaxation time constant (T2) were acquired during the acute phase up to 3h and again at 24h. Infarct was predicted using only acute (30-min) stroke data. Receiver-operating characteristic (ROC) analysis was used to quantify prediction accuracy. The areas under the receiver-operating curves were 86±2.7%, 89±1.4%, and 93±0.8% using ADC+CBF data for the 30-min, 60-min and permanent middle cerebral artery occlusion (MCAO) group, respectively. Adding neighboring pixel information and spatial infarction incidence improved performance to 88±2.8%, 94±0.8%, and 97±0.9%, respectively. SVM prediction compares favorably to a previously published artificial neural network (ANN) prediction algorithm operated on the same data sets. SVM prediction model has the potential to provide quantitative frameworks to aid clinical decision-making in the treatment of acute stroke.","container-title":"Brain Research","DOI":"10.1016/j.brainres.2011.05.066","ISSN":"0006-8993","journalAbbreviation":"Brain Research","page":"77-84","source":"ScienceDirect","title":"Quantitative prediction of acute ischemic tissue fate using support vector machine","volume":"1405","author":[{"family":"Huang","given":"Shiliang"},{"family":"Shen","given":"Qiang"},{"family":"Duong","given":"Timothy Q."}],"issued":{"date-parts":[["2011",8,8]]}},"suppress-author":true}],"schema":"https://github.com/citation-style-language/schema/raw/master/csl-citation.json"} </w:instrText>
            </w:r>
            <w:r w:rsidR="00BC5EDD" w:rsidRPr="00547F04">
              <w:rPr>
                <w:rFonts w:eastAsia="Calibri"/>
                <w:sz w:val="18"/>
                <w:szCs w:val="18"/>
              </w:rPr>
              <w:fldChar w:fldCharType="separate"/>
            </w:r>
            <w:r w:rsidR="00C90120" w:rsidRPr="00547F04">
              <w:rPr>
                <w:rFonts w:eastAsia="Calibri"/>
                <w:sz w:val="18"/>
                <w:szCs w:val="18"/>
              </w:rPr>
              <w:t>[54]</w:t>
            </w:r>
            <w:r w:rsidR="00BC5EDD" w:rsidRPr="00547F04">
              <w:rPr>
                <w:rFonts w:eastAsia="Calibri"/>
                <w:sz w:val="18"/>
                <w:szCs w:val="18"/>
              </w:rPr>
              <w:fldChar w:fldCharType="end"/>
            </w:r>
          </w:p>
        </w:tc>
        <w:tc>
          <w:tcPr>
            <w:tcW w:w="1145" w:type="dxa"/>
          </w:tcPr>
          <w:p w14:paraId="4CC18694" w14:textId="5527AA2B" w:rsidR="002A0E22" w:rsidRPr="00547F04" w:rsidRDefault="002A0E22" w:rsidP="00B07E2B">
            <w:pPr>
              <w:spacing w:line="276" w:lineRule="auto"/>
              <w:jc w:val="center"/>
              <w:rPr>
                <w:rFonts w:eastAsia="Calibri"/>
                <w:sz w:val="18"/>
                <w:szCs w:val="18"/>
              </w:rPr>
            </w:pPr>
            <w:r w:rsidRPr="00547F04">
              <w:rPr>
                <w:rFonts w:eastAsia="Calibri"/>
                <w:sz w:val="18"/>
                <w:szCs w:val="18"/>
              </w:rPr>
              <w:t>MRI (PWI)</w:t>
            </w:r>
          </w:p>
        </w:tc>
        <w:tc>
          <w:tcPr>
            <w:tcW w:w="1170" w:type="dxa"/>
          </w:tcPr>
          <w:p w14:paraId="3754B7DA" w14:textId="6DB81AA5" w:rsidR="002A0E22" w:rsidRPr="00547F04" w:rsidRDefault="002A0E22" w:rsidP="00B07E2B">
            <w:pPr>
              <w:spacing w:line="276" w:lineRule="auto"/>
              <w:jc w:val="center"/>
              <w:rPr>
                <w:rFonts w:eastAsia="Calibri"/>
                <w:sz w:val="18"/>
                <w:szCs w:val="18"/>
              </w:rPr>
            </w:pPr>
            <w:r w:rsidRPr="00547F04">
              <w:rPr>
                <w:rFonts w:eastAsia="Calibri"/>
                <w:sz w:val="18"/>
                <w:szCs w:val="18"/>
              </w:rPr>
              <w:t>SVM</w:t>
            </w:r>
          </w:p>
        </w:tc>
        <w:tc>
          <w:tcPr>
            <w:tcW w:w="2880" w:type="dxa"/>
          </w:tcPr>
          <w:p w14:paraId="481E091A" w14:textId="0D1DB0BC" w:rsidR="002A0E22" w:rsidRPr="00B07E2B" w:rsidRDefault="002A0E22" w:rsidP="00B07E2B">
            <w:pPr>
              <w:spacing w:line="276" w:lineRule="auto"/>
              <w:rPr>
                <w:rFonts w:eastAsia="Calibri"/>
                <w:i/>
                <w:iCs/>
                <w:sz w:val="18"/>
                <w:szCs w:val="18"/>
              </w:rPr>
            </w:pPr>
            <w:r w:rsidRPr="00B07E2B">
              <w:rPr>
                <w:rFonts w:eastAsia="Calibri"/>
                <w:i/>
                <w:iCs/>
                <w:sz w:val="18"/>
                <w:szCs w:val="18"/>
              </w:rPr>
              <w:t>Τμηματοποίηση δι</w:t>
            </w:r>
            <w:r w:rsidR="009A5FA8" w:rsidRPr="00B07E2B">
              <w:rPr>
                <w:rFonts w:eastAsia="Calibri"/>
                <w:i/>
                <w:iCs/>
                <w:sz w:val="18"/>
                <w:szCs w:val="18"/>
              </w:rPr>
              <w:t>ασωζόμενου</w:t>
            </w:r>
            <w:r w:rsidRPr="00B07E2B">
              <w:rPr>
                <w:rFonts w:eastAsia="Calibri"/>
                <w:i/>
                <w:iCs/>
                <w:sz w:val="18"/>
                <w:szCs w:val="18"/>
              </w:rPr>
              <w:t xml:space="preserve"> ιστού μέσω ανάλυσης</w:t>
            </w:r>
            <w:r w:rsidR="00397253" w:rsidRPr="00B07E2B">
              <w:rPr>
                <w:rFonts w:eastAsia="Calibri"/>
                <w:i/>
                <w:iCs/>
                <w:sz w:val="18"/>
                <w:szCs w:val="18"/>
              </w:rPr>
              <w:t xml:space="preserve"> σετ </w:t>
            </w:r>
            <w:r w:rsidR="005403E6" w:rsidRPr="00B07E2B">
              <w:rPr>
                <w:rFonts w:eastAsia="Calibri"/>
                <w:i/>
                <w:iCs/>
                <w:sz w:val="18"/>
                <w:szCs w:val="18"/>
              </w:rPr>
              <w:t>δεδομένων</w:t>
            </w:r>
            <w:r w:rsidRPr="00B07E2B">
              <w:rPr>
                <w:rFonts w:eastAsia="Calibri"/>
                <w:i/>
                <w:iCs/>
                <w:sz w:val="18"/>
                <w:szCs w:val="18"/>
              </w:rPr>
              <w:t xml:space="preserve"> CBF και ADC</w:t>
            </w:r>
            <w:r w:rsidR="00397253" w:rsidRPr="00B07E2B">
              <w:rPr>
                <w:rFonts w:eastAsia="Calibri"/>
                <w:i/>
                <w:iCs/>
                <w:sz w:val="18"/>
                <w:szCs w:val="18"/>
              </w:rPr>
              <w:t xml:space="preserve"> σε διάφορα στάδια απόφραξης της MCA</w:t>
            </w:r>
            <w:r w:rsidRPr="00B07E2B">
              <w:rPr>
                <w:rFonts w:eastAsia="Calibri"/>
                <w:i/>
                <w:iCs/>
                <w:sz w:val="18"/>
                <w:szCs w:val="18"/>
              </w:rPr>
              <w:t>.</w:t>
            </w:r>
          </w:p>
        </w:tc>
        <w:tc>
          <w:tcPr>
            <w:tcW w:w="1917" w:type="dxa"/>
          </w:tcPr>
          <w:p w14:paraId="6AB7EBD4" w14:textId="77777777" w:rsidR="002A0E22" w:rsidRDefault="002A0E22" w:rsidP="00B07E2B">
            <w:pPr>
              <w:spacing w:line="276" w:lineRule="auto"/>
              <w:rPr>
                <w:rFonts w:eastAsia="Calibri"/>
                <w:sz w:val="18"/>
                <w:szCs w:val="18"/>
                <w:lang w:val="en-US"/>
              </w:rPr>
            </w:pPr>
            <w:r w:rsidRPr="00547F04">
              <w:rPr>
                <w:rFonts w:eastAsia="Calibri"/>
                <w:sz w:val="18"/>
                <w:szCs w:val="18"/>
              </w:rPr>
              <w:t>- /</w:t>
            </w:r>
            <w:r w:rsidR="001B04CA" w:rsidRPr="00547F04">
              <w:rPr>
                <w:rFonts w:eastAsia="Calibri"/>
                <w:sz w:val="18"/>
                <w:szCs w:val="18"/>
              </w:rPr>
              <w:t xml:space="preserve"> </w:t>
            </w:r>
            <w:r w:rsidRPr="00547F04">
              <w:rPr>
                <w:rFonts w:eastAsia="Calibri"/>
                <w:sz w:val="18"/>
                <w:szCs w:val="18"/>
              </w:rPr>
              <w:t>- / 88</w:t>
            </w:r>
            <w:r w:rsidR="00397253" w:rsidRPr="00547F04">
              <w:rPr>
                <w:rFonts w:eastAsia="Calibri"/>
                <w:sz w:val="18"/>
                <w:szCs w:val="18"/>
              </w:rPr>
              <w:t>-</w:t>
            </w:r>
            <w:r w:rsidRPr="00547F04">
              <w:rPr>
                <w:rFonts w:eastAsia="Calibri"/>
                <w:sz w:val="18"/>
                <w:szCs w:val="18"/>
              </w:rPr>
              <w:t>97%</w:t>
            </w:r>
          </w:p>
          <w:p w14:paraId="434FFB4B" w14:textId="45DABCC1" w:rsidR="00FA6923" w:rsidRPr="00FA6923" w:rsidRDefault="00FA6923" w:rsidP="00B07E2B">
            <w:pPr>
              <w:spacing w:line="276" w:lineRule="auto"/>
              <w:rPr>
                <w:rFonts w:eastAsia="Calibri"/>
                <w:sz w:val="18"/>
                <w:szCs w:val="18"/>
                <w:lang w:val="en-US"/>
              </w:rPr>
            </w:pPr>
            <w:r>
              <w:rPr>
                <w:rFonts w:eastAsia="Calibri"/>
                <w:sz w:val="18"/>
                <w:szCs w:val="18"/>
                <w:lang w:val="en-US"/>
              </w:rPr>
              <w:t xml:space="preserve">30min </w:t>
            </w:r>
            <w:r>
              <w:rPr>
                <w:rFonts w:eastAsia="Calibri"/>
                <w:sz w:val="18"/>
                <w:szCs w:val="18"/>
              </w:rPr>
              <w:t xml:space="preserve">μέχρι πλήρη απόφραξη </w:t>
            </w:r>
            <w:r>
              <w:rPr>
                <w:rFonts w:eastAsia="Calibri"/>
                <w:sz w:val="18"/>
                <w:szCs w:val="18"/>
                <w:lang w:val="en-US"/>
              </w:rPr>
              <w:t>MCA</w:t>
            </w:r>
          </w:p>
        </w:tc>
      </w:tr>
      <w:tr w:rsidR="002A0E22" w:rsidRPr="00A831E7" w14:paraId="7881EA7F" w14:textId="77777777" w:rsidTr="006A467F">
        <w:trPr>
          <w:trHeight w:val="686"/>
        </w:trPr>
        <w:tc>
          <w:tcPr>
            <w:tcW w:w="1190" w:type="dxa"/>
          </w:tcPr>
          <w:p w14:paraId="47DD123E" w14:textId="3DFFA917" w:rsidR="002A0E22" w:rsidRPr="00547F04" w:rsidRDefault="002A0E22" w:rsidP="00B07E2B">
            <w:pPr>
              <w:spacing w:line="276" w:lineRule="auto"/>
              <w:jc w:val="center"/>
              <w:rPr>
                <w:rFonts w:eastAsia="Calibri"/>
                <w:sz w:val="18"/>
                <w:szCs w:val="18"/>
              </w:rPr>
            </w:pPr>
            <w:r w:rsidRPr="00547F04">
              <w:rPr>
                <w:rFonts w:eastAsia="Calibri"/>
                <w:sz w:val="18"/>
                <w:szCs w:val="18"/>
              </w:rPr>
              <w:t xml:space="preserve">ISLES Challenge </w:t>
            </w:r>
            <w:r w:rsidR="00BC5EDD" w:rsidRPr="00547F04">
              <w:rPr>
                <w:rFonts w:eastAsia="Calibri"/>
                <w:sz w:val="18"/>
                <w:szCs w:val="18"/>
              </w:rPr>
              <w:fldChar w:fldCharType="begin"/>
            </w:r>
            <w:r w:rsidR="00C90120" w:rsidRPr="00547F04">
              <w:rPr>
                <w:rFonts w:eastAsia="Calibri"/>
                <w:sz w:val="18"/>
                <w:szCs w:val="18"/>
              </w:rPr>
              <w:instrText xml:space="preserve"> ADDIN ZOTERO_ITEM CSL_CITATION {"citationID":"EmCRR3JU","properties":{"formattedCitation":"[55]","plainCitation":"[55]","noteIndex":0},"citationItems":[{"id":1673,"uris":["http://zotero.org/users/local/mfHf28QG/items/FLDXREVV"],"itemData":{"id":1673,"type":"article-journal","abstract":"Ischemic stroke is the most common cerebrovascular disease, and its diagnosis, treatment, and study relies on non-invasive imaging. Algorithms for stroke lesion segmentation from magnetic resonance imaging (MRI) volumes are intensely researched, but the reported results are largely incomparable due to different datasets and evaluation schemes. We approached this urgent problem of comparability with the Ischemic Stroke Lesion Segmentation (ISLES) challenge organized in conjunction with the MICCAI 2015 conference. In this paper we propose a common evaluation framework, describe the publicly available datasets, and present the results of the two sub-challenges: Sub-Acute Stroke Lesion Segmentation (SISS) and Stroke Perfusion Estimation (SPES). A total of 16 research groups participated with a wide range of state-of-the-art automatic segmentation algorithms. A thorough analysis of the obtained data enables a critical evaluation of the current state-of-the-art, recommendations for further developments, and the identification of remaining challenges. The segmentation of acute perfusion lesions addressed in SPES was found to be feasible. However, algorithms applied to sub-acute lesion segmentation in SISS still lack accuracy. Overall, no algorithmic characteristic of any method was found to perform superior to the others. Instead, the characteristics of stroke lesion appearances, their evolution, and the observed challenges should be studied in detail. The annotated ISLES image datasets continue to be publicly available through an online evaluation system to serve as an ongoing benchmarking resource (www.isles-challenge.org).","container-title":"Medical Image Analysis","DOI":"10.1016/j.media.2016.07.009","ISSN":"1361-8415","journalAbbreviation":"Medical Image Analysis","page":"250-269","source":"ScienceDirect","title":"ISLES 2015 - A public evaluation benchmark for ischemic stroke lesion segmentation from multispectral MRI","volume":"35","author":[{"family":"Maier","given":"Oskar"},{"family":"Menze","given":"Bjoern H."},{"family":"Gablentz","given":"Janina","non-dropping-particle":"von der"},{"family":"Häni","given":"Levin"},{"family":"Heinrich","given":"Mattias P."},{"family":"Liebrand","given":"Matthias"},{"family":"Winzeck","given":"Stefan"},{"family":"Basit","given":"Abdul"},{"family":"Bentley","given":"Paul"},{"family":"Chen","given":"Liang"},{"family":"Christiaens","given":"Daan"},{"family":"Dutil","given":"Francis"},{"family":"Egger","given":"Karl"},{"family":"Feng","given":"Chaolu"},{"family":"Glocker","given":"Ben"},{"family":"Götz","given":"Michael"},{"family":"Haeck","given":"Tom"},{"family":"Halme","given":"Hanna-Leena"},{"family":"Havaei","given":"Mohammad"},{"family":"Iftekharuddin","given":"Khan M."},{"family":"Jodoin","given":"Pierre-Marc"},{"family":"Kamnitsas","given":"Konstantinos"},{"family":"Kellner","given":"Elias"},{"family":"Korvenoja","given":"Antti"},{"family":"Larochelle","given":"Hugo"},{"family":"Ledig","given":"Christian"},{"family":"Lee","given":"Jia-Hong"},{"family":"Maes","given":"Frederik"},{"family":"Mahmood","given":"Qaiser"},{"family":"Maier-Hein","given":"Klaus H."},{"family":"McKinley","given":"Richard"},{"family":"Muschelli","given":"John"},{"family":"Pal","given":"Chris"},{"family":"Pei","given":"Linmin"},{"family":"Rangarajan","given":"Janaki Raman"},{"family":"Reza","given":"Syed M. S."},{"family":"Robben","given":"David"},{"family":"Rueckert","given":"Daniel"},{"family":"Salli","given":"Eero"},{"family":"Suetens","given":"Paul"},{"family":"Wang","given":"Ching-Wei"},{"family":"Wilms","given":"Matthias"},{"family":"Kirschke","given":"Jan S."},{"family":"Krämer","given":"Ulrike M."},{"family":"Münte","given":"Thomas F."},{"family":"Schramm","given":"Peter"},{"family":"Wiest","given":"Roland"},{"family":"Handels","given":"Heinz"},{"family":"Reyes","given":"Mauricio"}],"issued":{"date-parts":[["2017",1,1]]}},"suppress-author":true}],"schema":"https://github.com/citation-style-language/schema/raw/master/csl-citation.json"} </w:instrText>
            </w:r>
            <w:r w:rsidR="00BC5EDD" w:rsidRPr="00547F04">
              <w:rPr>
                <w:rFonts w:eastAsia="Calibri"/>
                <w:sz w:val="18"/>
                <w:szCs w:val="18"/>
              </w:rPr>
              <w:fldChar w:fldCharType="separate"/>
            </w:r>
            <w:r w:rsidR="00C90120" w:rsidRPr="00547F04">
              <w:rPr>
                <w:rFonts w:eastAsia="Calibri"/>
                <w:sz w:val="18"/>
                <w:szCs w:val="18"/>
              </w:rPr>
              <w:t>[55]</w:t>
            </w:r>
            <w:r w:rsidR="00BC5EDD" w:rsidRPr="00547F04">
              <w:rPr>
                <w:rFonts w:eastAsia="Calibri"/>
                <w:sz w:val="18"/>
                <w:szCs w:val="18"/>
              </w:rPr>
              <w:fldChar w:fldCharType="end"/>
            </w:r>
          </w:p>
        </w:tc>
        <w:tc>
          <w:tcPr>
            <w:tcW w:w="1145" w:type="dxa"/>
          </w:tcPr>
          <w:p w14:paraId="0711A500" w14:textId="25E2AAC3" w:rsidR="002A0E22" w:rsidRPr="00547F04" w:rsidRDefault="002A0E22" w:rsidP="00B07E2B">
            <w:pPr>
              <w:spacing w:line="276" w:lineRule="auto"/>
              <w:jc w:val="center"/>
              <w:rPr>
                <w:rFonts w:eastAsia="Calibri"/>
                <w:sz w:val="18"/>
                <w:szCs w:val="18"/>
              </w:rPr>
            </w:pPr>
            <w:r w:rsidRPr="00547F04">
              <w:rPr>
                <w:rFonts w:eastAsia="Calibri"/>
                <w:sz w:val="18"/>
                <w:szCs w:val="18"/>
              </w:rPr>
              <w:t>MRI (Multimodal)</w:t>
            </w:r>
          </w:p>
        </w:tc>
        <w:tc>
          <w:tcPr>
            <w:tcW w:w="1170" w:type="dxa"/>
          </w:tcPr>
          <w:p w14:paraId="4AF3A79F" w14:textId="15FA24C9" w:rsidR="002A0E22" w:rsidRPr="00547F04" w:rsidRDefault="00397253" w:rsidP="00B07E2B">
            <w:pPr>
              <w:spacing w:line="276" w:lineRule="auto"/>
              <w:jc w:val="center"/>
              <w:rPr>
                <w:rFonts w:eastAsia="Calibri"/>
                <w:sz w:val="18"/>
                <w:szCs w:val="18"/>
              </w:rPr>
            </w:pPr>
            <w:r w:rsidRPr="00547F04">
              <w:rPr>
                <w:rFonts w:eastAsia="Calibri"/>
                <w:sz w:val="18"/>
                <w:szCs w:val="18"/>
              </w:rPr>
              <w:t>RF-ML</w:t>
            </w:r>
          </w:p>
        </w:tc>
        <w:tc>
          <w:tcPr>
            <w:tcW w:w="2880" w:type="dxa"/>
          </w:tcPr>
          <w:p w14:paraId="00726891" w14:textId="050BEF3D" w:rsidR="002A0E22" w:rsidRPr="00B07E2B" w:rsidRDefault="002A0E22" w:rsidP="00B07E2B">
            <w:pPr>
              <w:spacing w:line="276" w:lineRule="auto"/>
              <w:rPr>
                <w:rFonts w:eastAsia="Calibri"/>
                <w:i/>
                <w:iCs/>
                <w:sz w:val="18"/>
                <w:szCs w:val="18"/>
              </w:rPr>
            </w:pPr>
            <w:r w:rsidRPr="00B07E2B">
              <w:rPr>
                <w:rFonts w:eastAsia="Calibri"/>
                <w:i/>
                <w:iCs/>
                <w:sz w:val="18"/>
                <w:szCs w:val="18"/>
              </w:rPr>
              <w:t>Σύγκριση AI τεχνικών για τμηματοποίηση βλαβών σε εγκεφαλικό, αξιολογώντας πολυκεντρικά δεδομένα.</w:t>
            </w:r>
          </w:p>
        </w:tc>
        <w:tc>
          <w:tcPr>
            <w:tcW w:w="1917" w:type="dxa"/>
          </w:tcPr>
          <w:p w14:paraId="40222212" w14:textId="2B044A62" w:rsidR="002A0E22" w:rsidRPr="00547F04" w:rsidRDefault="002A0E22" w:rsidP="00B07E2B">
            <w:pPr>
              <w:spacing w:line="276" w:lineRule="auto"/>
              <w:rPr>
                <w:rFonts w:eastAsia="Calibri"/>
                <w:sz w:val="18"/>
                <w:szCs w:val="18"/>
              </w:rPr>
            </w:pPr>
            <w:r w:rsidRPr="00547F04">
              <w:rPr>
                <w:rFonts w:eastAsia="Calibri"/>
                <w:sz w:val="18"/>
                <w:szCs w:val="18"/>
              </w:rPr>
              <w:t>- /-</w:t>
            </w:r>
            <w:r w:rsidR="002653F8" w:rsidRPr="00547F04">
              <w:rPr>
                <w:rFonts w:eastAsia="Calibri"/>
                <w:sz w:val="18"/>
                <w:szCs w:val="18"/>
              </w:rPr>
              <w:t xml:space="preserve"> </w:t>
            </w:r>
            <w:r w:rsidRPr="00547F04">
              <w:rPr>
                <w:rFonts w:eastAsia="Calibri"/>
                <w:sz w:val="18"/>
                <w:szCs w:val="18"/>
              </w:rPr>
              <w:t>/</w:t>
            </w:r>
            <w:r w:rsidR="002653F8" w:rsidRPr="00547F04">
              <w:rPr>
                <w:rFonts w:eastAsia="Calibri"/>
                <w:sz w:val="18"/>
                <w:szCs w:val="18"/>
              </w:rPr>
              <w:t>-</w:t>
            </w:r>
            <w:r w:rsidR="002653F8" w:rsidRPr="00547F04">
              <w:rPr>
                <w:rFonts w:eastAsia="Calibri"/>
                <w:sz w:val="18"/>
                <w:szCs w:val="18"/>
              </w:rPr>
              <w:br/>
            </w:r>
            <w:r w:rsidRPr="00547F04">
              <w:rPr>
                <w:rFonts w:eastAsia="Calibri"/>
                <w:sz w:val="18"/>
                <w:szCs w:val="18"/>
              </w:rPr>
              <w:t>Dice scores = 0.82 &amp; 0.59</w:t>
            </w:r>
          </w:p>
        </w:tc>
      </w:tr>
    </w:tbl>
    <w:p w14:paraId="598E690F" w14:textId="77777777" w:rsidR="002F25E2" w:rsidRDefault="002F25E2" w:rsidP="002F25E2">
      <w:pPr>
        <w:rPr>
          <w:rFonts w:eastAsia="Calibri"/>
        </w:rPr>
      </w:pPr>
    </w:p>
    <w:p w14:paraId="0F4743E8" w14:textId="77777777" w:rsidR="002F25E2" w:rsidRDefault="002F25E2" w:rsidP="002F25E2">
      <w:pPr>
        <w:rPr>
          <w:rFonts w:eastAsia="Calibri"/>
        </w:rPr>
      </w:pPr>
    </w:p>
    <w:p w14:paraId="2F0F321E" w14:textId="77777777" w:rsidR="00EE0F79" w:rsidRDefault="00EE0F79" w:rsidP="002F25E2">
      <w:pPr>
        <w:rPr>
          <w:rFonts w:eastAsia="Calibri"/>
        </w:rPr>
      </w:pPr>
    </w:p>
    <w:p w14:paraId="7BC04571" w14:textId="77777777" w:rsidR="00EE0F79" w:rsidRDefault="00EE0F79" w:rsidP="002F25E2">
      <w:pPr>
        <w:rPr>
          <w:rFonts w:eastAsia="Calibri"/>
        </w:rPr>
      </w:pPr>
    </w:p>
    <w:p w14:paraId="43F9FB85" w14:textId="77777777" w:rsidR="00EE0F79" w:rsidRDefault="00EE0F79" w:rsidP="002F25E2">
      <w:pPr>
        <w:rPr>
          <w:rFonts w:eastAsia="Calibri"/>
        </w:rPr>
      </w:pPr>
    </w:p>
    <w:p w14:paraId="15067605" w14:textId="7FDCED74" w:rsidR="00624385" w:rsidRPr="008F5904" w:rsidRDefault="00624385" w:rsidP="008F5904">
      <w:pPr>
        <w:pStyle w:val="3"/>
      </w:pPr>
      <w:bookmarkStart w:id="94" w:name="_Toc199787400"/>
      <w:bookmarkStart w:id="95" w:name="_Toc199946471"/>
      <w:r w:rsidRPr="008F5904">
        <w:lastRenderedPageBreak/>
        <w:t>3.3.4 Πρόβλεψη και Πρόγνωση Εγκεφαλικού Επεισοδίου</w:t>
      </w:r>
      <w:bookmarkEnd w:id="94"/>
      <w:bookmarkEnd w:id="95"/>
    </w:p>
    <w:p w14:paraId="1E54BEB6" w14:textId="1073DB15" w:rsidR="00547F04" w:rsidRDefault="00624385" w:rsidP="00547F04">
      <w:pPr>
        <w:spacing w:line="360" w:lineRule="auto"/>
        <w:ind w:firstLine="720"/>
        <w:jc w:val="both"/>
        <w:rPr>
          <w:rFonts w:eastAsia="Calibri"/>
        </w:rPr>
      </w:pPr>
      <w:r w:rsidRPr="00A831E7">
        <w:rPr>
          <w:rFonts w:eastAsia="Calibri"/>
        </w:rPr>
        <w:t xml:space="preserve">Η πρόβλεψη της έκβασης και της πρόγνωσης του εγκεφαλικού επεισοδίου έχει μελετηθεί εκτενώς μέσω μοντέλων τεχνητής νοημοσύνης που βασίζονται σε MRI και CT. Αυτά τα μοντέλα επιτρέπουν την εκτίμηση της εξέλιξης της ισχαιμικής βλάβης, των πιθανών επιπλοκών, καθώς και της κλινικής αποκατάστασης. Στους </w:t>
      </w:r>
      <w:r w:rsidRPr="00A831E7">
        <w:rPr>
          <w:rFonts w:eastAsia="Calibri"/>
          <w:i/>
          <w:iCs/>
        </w:rPr>
        <w:t>Πίνακες 1</w:t>
      </w:r>
      <w:r w:rsidR="0011104D" w:rsidRPr="00A831E7">
        <w:rPr>
          <w:rFonts w:eastAsia="Calibri"/>
          <w:i/>
          <w:iCs/>
        </w:rPr>
        <w:t>1</w:t>
      </w:r>
      <w:r w:rsidRPr="00A831E7">
        <w:rPr>
          <w:rFonts w:eastAsia="Calibri"/>
          <w:i/>
          <w:iCs/>
        </w:rPr>
        <w:t xml:space="preserve"> </w:t>
      </w:r>
      <w:r w:rsidR="005403E6" w:rsidRPr="00A831E7">
        <w:rPr>
          <w:rFonts w:eastAsia="Calibri"/>
          <w:i/>
          <w:iCs/>
        </w:rPr>
        <w:t>έως</w:t>
      </w:r>
      <w:r w:rsidRPr="00A831E7">
        <w:rPr>
          <w:rFonts w:eastAsia="Calibri"/>
          <w:i/>
          <w:iCs/>
        </w:rPr>
        <w:t xml:space="preserve">  1</w:t>
      </w:r>
      <w:r w:rsidR="0011104D" w:rsidRPr="00A831E7">
        <w:rPr>
          <w:rFonts w:eastAsia="Calibri"/>
          <w:i/>
          <w:iCs/>
        </w:rPr>
        <w:t>4</w:t>
      </w:r>
      <w:r w:rsidRPr="00A831E7">
        <w:rPr>
          <w:rFonts w:eastAsia="Calibri"/>
          <w:i/>
          <w:iCs/>
        </w:rPr>
        <w:t xml:space="preserve"> </w:t>
      </w:r>
      <w:r w:rsidRPr="00A831E7">
        <w:rPr>
          <w:rFonts w:eastAsia="Calibri"/>
        </w:rPr>
        <w:t xml:space="preserve">παρουσιάζονται οι πιο σημαντικές μελέτες, μαζί με τις αντίστοιχες μεθόδους και </w:t>
      </w:r>
      <w:r w:rsidR="003A50B0" w:rsidRPr="00A831E7">
        <w:rPr>
          <w:rFonts w:eastAsia="Calibri"/>
        </w:rPr>
        <w:t>τους δείκτες</w:t>
      </w:r>
      <w:r w:rsidRPr="00A831E7">
        <w:rPr>
          <w:rFonts w:eastAsia="Calibri"/>
        </w:rPr>
        <w:t xml:space="preserve"> αξιολόγησης, όπως ευαισθησία, ειδικότητα και AUC</w:t>
      </w:r>
      <w:r w:rsidR="00A91598" w:rsidRPr="00A831E7">
        <w:rPr>
          <w:rFonts w:eastAsia="Calibri"/>
        </w:rPr>
        <w:t>, όπου υπάρχουν</w:t>
      </w:r>
      <w:r w:rsidRPr="00A831E7">
        <w:rPr>
          <w:rFonts w:eastAsia="Calibri"/>
        </w:rPr>
        <w:t>.</w:t>
      </w:r>
    </w:p>
    <w:p w14:paraId="0B12A709" w14:textId="77777777" w:rsidR="00547F04" w:rsidRPr="00547F04" w:rsidRDefault="00547F04" w:rsidP="00547F04">
      <w:pPr>
        <w:spacing w:line="360" w:lineRule="auto"/>
        <w:ind w:firstLine="720"/>
        <w:jc w:val="both"/>
        <w:rPr>
          <w:rFonts w:eastAsia="Calibri"/>
        </w:rPr>
      </w:pPr>
    </w:p>
    <w:p w14:paraId="45FFCC2D" w14:textId="136B8186" w:rsidR="008A6745" w:rsidRPr="00A831E7" w:rsidRDefault="002B7A5E" w:rsidP="00547F04">
      <w:pPr>
        <w:pStyle w:val="af5"/>
        <w:jc w:val="center"/>
        <w:rPr>
          <w:b/>
          <w:bCs/>
          <w:color w:val="auto"/>
          <w:sz w:val="20"/>
          <w:szCs w:val="20"/>
        </w:rPr>
      </w:pPr>
      <w:bookmarkStart w:id="96" w:name="_Toc199787746"/>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11</w:t>
      </w:r>
      <w:r w:rsidRPr="00A831E7">
        <w:rPr>
          <w:b/>
          <w:bCs/>
          <w:color w:val="auto"/>
          <w:sz w:val="20"/>
          <w:szCs w:val="20"/>
        </w:rPr>
        <w:fldChar w:fldCharType="end"/>
      </w:r>
      <w:r w:rsidR="008A6745" w:rsidRPr="00A831E7">
        <w:rPr>
          <w:rFonts w:eastAsia="Calibri"/>
          <w:b/>
          <w:bCs/>
          <w:color w:val="auto"/>
          <w:sz w:val="20"/>
          <w:szCs w:val="20"/>
        </w:rPr>
        <w:t xml:space="preserve">: Πρόβλεψη Εξέλιξης Ιστών (Μοντέλα MRI) </w:t>
      </w:r>
      <w:r w:rsidR="008A6745" w:rsidRPr="00A831E7">
        <w:rPr>
          <w:rFonts w:eastAsia="Calibri"/>
          <w:b/>
          <w:bCs/>
          <w:color w:val="auto"/>
          <w:sz w:val="20"/>
          <w:szCs w:val="20"/>
        </w:rPr>
        <w:fldChar w:fldCharType="begin"/>
      </w:r>
      <w:r w:rsidR="008A6745" w:rsidRPr="00A831E7">
        <w:rPr>
          <w:rFonts w:eastAsia="Calibri"/>
          <w:b/>
          <w:bCs/>
          <w:color w:val="auto"/>
          <w:sz w:val="20"/>
          <w:szCs w:val="20"/>
        </w:rPr>
        <w:instrText xml:space="preserve"> ADDIN ZOTERO_ITEM CSL_CITATION {"citationID":"sxhGgBuI","properties":{"formattedCitation":"[26]","plainCitation":"[26]","noteIndex":0},"citationItems":[{"id":1211,"uris":["http://zotero.org/users/local/mfHf28QG/items/9FUW65EX"],"itemData":{"id":1211,"type":"article-journal","abstract":"Artificial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008A6745" w:rsidRPr="00A831E7">
        <w:rPr>
          <w:rFonts w:eastAsia="Calibri"/>
          <w:b/>
          <w:bCs/>
          <w:color w:val="auto"/>
          <w:sz w:val="20"/>
          <w:szCs w:val="20"/>
        </w:rPr>
        <w:fldChar w:fldCharType="separate"/>
      </w:r>
      <w:r w:rsidR="008A6745" w:rsidRPr="00A831E7">
        <w:rPr>
          <w:rFonts w:eastAsia="Calibri"/>
          <w:b/>
          <w:bCs/>
          <w:color w:val="auto"/>
          <w:sz w:val="20"/>
          <w:szCs w:val="20"/>
        </w:rPr>
        <w:t>[26]</w:t>
      </w:r>
      <w:bookmarkEnd w:id="96"/>
      <w:r w:rsidR="008A6745" w:rsidRPr="00A831E7">
        <w:rPr>
          <w:rFonts w:eastAsia="Calibri"/>
          <w:b/>
          <w:bCs/>
          <w:color w:val="auto"/>
          <w:sz w:val="20"/>
          <w:szCs w:val="20"/>
        </w:rPr>
        <w:fldChar w:fldCharType="end"/>
      </w:r>
    </w:p>
    <w:tbl>
      <w:tblPr>
        <w:tblStyle w:val="af0"/>
        <w:tblW w:w="5000" w:type="pct"/>
        <w:tblLook w:val="04A0" w:firstRow="1" w:lastRow="0" w:firstColumn="1" w:lastColumn="0" w:noHBand="0" w:noVBand="1"/>
      </w:tblPr>
      <w:tblGrid>
        <w:gridCol w:w="1160"/>
        <w:gridCol w:w="1445"/>
        <w:gridCol w:w="3781"/>
        <w:gridCol w:w="1916"/>
      </w:tblGrid>
      <w:tr w:rsidR="00624385" w:rsidRPr="00A831E7" w14:paraId="7868E2B7" w14:textId="77777777" w:rsidTr="00B22777">
        <w:trPr>
          <w:tblHeader/>
        </w:trPr>
        <w:tc>
          <w:tcPr>
            <w:tcW w:w="699" w:type="pct"/>
            <w:shd w:val="clear" w:color="auto" w:fill="D9D9D9" w:themeFill="background1" w:themeFillShade="D9"/>
          </w:tcPr>
          <w:p w14:paraId="24E21515" w14:textId="77777777" w:rsidR="00624385" w:rsidRPr="00A831E7" w:rsidRDefault="00624385" w:rsidP="00547F04">
            <w:pPr>
              <w:spacing w:line="276" w:lineRule="auto"/>
              <w:jc w:val="center"/>
              <w:rPr>
                <w:rFonts w:eastAsia="Calibri"/>
                <w:b/>
                <w:bCs/>
                <w:sz w:val="20"/>
                <w:szCs w:val="20"/>
              </w:rPr>
            </w:pPr>
            <w:r w:rsidRPr="00A831E7">
              <w:rPr>
                <w:rFonts w:eastAsia="Calibri"/>
                <w:b/>
                <w:bCs/>
                <w:sz w:val="20"/>
                <w:szCs w:val="20"/>
              </w:rPr>
              <w:t>Αναφορά</w:t>
            </w:r>
          </w:p>
        </w:tc>
        <w:tc>
          <w:tcPr>
            <w:tcW w:w="870" w:type="pct"/>
            <w:shd w:val="clear" w:color="auto" w:fill="D9D9D9" w:themeFill="background1" w:themeFillShade="D9"/>
          </w:tcPr>
          <w:p w14:paraId="104F84AC" w14:textId="20E59A0C" w:rsidR="00624385" w:rsidRPr="00A831E7" w:rsidRDefault="005403E6" w:rsidP="00547F04">
            <w:pPr>
              <w:spacing w:line="276" w:lineRule="auto"/>
              <w:jc w:val="center"/>
              <w:rPr>
                <w:rFonts w:eastAsia="Calibri"/>
                <w:b/>
                <w:bCs/>
                <w:sz w:val="20"/>
                <w:szCs w:val="20"/>
              </w:rPr>
            </w:pPr>
            <w:r w:rsidRPr="00A831E7">
              <w:rPr>
                <w:rFonts w:eastAsia="Calibri"/>
                <w:b/>
                <w:bCs/>
                <w:sz w:val="20"/>
                <w:szCs w:val="20"/>
              </w:rPr>
              <w:t>Μέθοδος</w:t>
            </w:r>
          </w:p>
        </w:tc>
        <w:tc>
          <w:tcPr>
            <w:tcW w:w="2277" w:type="pct"/>
            <w:shd w:val="clear" w:color="auto" w:fill="D9D9D9" w:themeFill="background1" w:themeFillShade="D9"/>
          </w:tcPr>
          <w:p w14:paraId="55A17D3F" w14:textId="603A1C5E" w:rsidR="00624385" w:rsidRPr="00A831E7" w:rsidRDefault="00624385" w:rsidP="00547F04">
            <w:pPr>
              <w:spacing w:line="276" w:lineRule="auto"/>
              <w:jc w:val="center"/>
              <w:rPr>
                <w:rFonts w:eastAsia="Calibri"/>
                <w:b/>
                <w:bCs/>
                <w:sz w:val="20"/>
                <w:szCs w:val="20"/>
              </w:rPr>
            </w:pPr>
            <w:r w:rsidRPr="00A831E7">
              <w:rPr>
                <w:rFonts w:eastAsia="Calibri"/>
                <w:b/>
                <w:bCs/>
                <w:sz w:val="20"/>
                <w:szCs w:val="20"/>
              </w:rPr>
              <w:t>Αποτελέσματα</w:t>
            </w:r>
          </w:p>
        </w:tc>
        <w:tc>
          <w:tcPr>
            <w:tcW w:w="1154" w:type="pct"/>
            <w:shd w:val="clear" w:color="auto" w:fill="D9D9D9" w:themeFill="background1" w:themeFillShade="D9"/>
          </w:tcPr>
          <w:p w14:paraId="2F4EADA8" w14:textId="77777777" w:rsidR="00624385" w:rsidRPr="00A831E7" w:rsidRDefault="00624385" w:rsidP="00547F04">
            <w:pPr>
              <w:spacing w:line="276" w:lineRule="auto"/>
              <w:jc w:val="center"/>
              <w:rPr>
                <w:rFonts w:eastAsia="Calibri"/>
                <w:b/>
                <w:bCs/>
                <w:sz w:val="20"/>
                <w:szCs w:val="20"/>
              </w:rPr>
            </w:pPr>
            <w:r w:rsidRPr="00A831E7">
              <w:rPr>
                <w:rFonts w:eastAsia="Calibri"/>
                <w:b/>
                <w:bCs/>
                <w:sz w:val="20"/>
                <w:szCs w:val="20"/>
              </w:rPr>
              <w:t>Δείκτης Αξιολόγησης</w:t>
            </w:r>
          </w:p>
        </w:tc>
      </w:tr>
      <w:tr w:rsidR="00624385" w:rsidRPr="00B07E2B" w14:paraId="50E152CA" w14:textId="77777777" w:rsidTr="00B22777">
        <w:trPr>
          <w:tblHeader/>
        </w:trPr>
        <w:tc>
          <w:tcPr>
            <w:tcW w:w="699" w:type="pct"/>
          </w:tcPr>
          <w:p w14:paraId="6ACE7AC4" w14:textId="6366602B" w:rsidR="00624385" w:rsidRPr="00C7272A" w:rsidRDefault="00624385" w:rsidP="00547F04">
            <w:pPr>
              <w:spacing w:line="276" w:lineRule="auto"/>
              <w:jc w:val="center"/>
              <w:rPr>
                <w:rFonts w:eastAsia="Calibri"/>
                <w:sz w:val="20"/>
                <w:szCs w:val="20"/>
              </w:rPr>
            </w:pPr>
            <w:r w:rsidRPr="00C7272A">
              <w:rPr>
                <w:rFonts w:eastAsia="Calibri"/>
                <w:sz w:val="20"/>
                <w:szCs w:val="20"/>
              </w:rPr>
              <w:t xml:space="preserve">Wu et al. </w:t>
            </w:r>
            <w:r w:rsidR="00BC5EDD" w:rsidRPr="00C7272A">
              <w:rPr>
                <w:rFonts w:eastAsia="Calibri"/>
                <w:sz w:val="20"/>
                <w:szCs w:val="20"/>
              </w:rPr>
              <w:fldChar w:fldCharType="begin"/>
            </w:r>
            <w:r w:rsidR="00C90120" w:rsidRPr="00C7272A">
              <w:rPr>
                <w:rFonts w:eastAsia="Calibri"/>
                <w:sz w:val="20"/>
                <w:szCs w:val="20"/>
              </w:rPr>
              <w:instrText xml:space="preserve"> ADDIN ZOTERO_ITEM CSL_CITATION {"citationID":"Ik78ZAKU","properties":{"formattedCitation":"[56]","plainCitation":"[56]","noteIndex":0},"citationItems":[{"id":1676,"uris":["http://zotero.org/users/local/mfHf28QG/items/ITE977ZC"],"itemData":{"id":1676,"type":"article-journal","abstract":"Background and Purpose—Tissue signatures from acute MR imaging of the brain may be able to categorize physiological status and thereby assist clinical decision making. We designed and analyzed statistical algorithms to evaluate the risk of infarction for each voxel of tissue using acute human functional MRI.Methods—Diffusion-weighted MR images (DWI) and perfusion-weighted MR images (PWI) from acute stroke patients scanned within 12 hours of symptom onset were retrospectively studied and used to develop thresholding and generalized linear model (GLM) algorithms predicting tissue outcome as determined by follow-up MRI. The performances of the algorithms were evaluated for each patient by using receiver operating characteristic curves.Results—At their optimal operating points, thresholding algorithms combining DWI and PWI provided 66% sensitivity and 83% specificity, and GLM algorithms combining DWI and PWI predicted with 66% sensitivity and 84% specificity voxels that proceeded to infarct. Thresholding algorithms that combined DWI and PWI provided significant improvement to algorithms that utilized DWI alone (P=0.02) but no significant improvement over algorithms utilizing PWI alone (P=0.21). GLM algorithms that combined DWI and PWI showed significant improvement over algorithms that used only DWI (P=0.02) or PWI (P=0.04). The performances of thresholding and GLM algorithms were comparable (P&gt;0.2).Conclusions—Algorithms that combine acute DWI and PWI can assess the risk of infarction with higher specificity and sensitivity than algorithms that use DWI or PWI individually. Methods for quantitatively assessing the risk of infarction on a voxel-by-voxel basis show promise as techniques for investigating the natural spatial evolution of ischemic damage in humans.","container-title":"Stroke","DOI":"10.1161/01.STR.32.4.933","issue":"4","note":"publisher: American Heart Association","page":"933-942","source":"ahajournals.org (Atypon)","title":"Predicting Tissue Outcome in Acute Human Cerebral Ischemia Using Combined Diffusion- and Perfusion-Weighted MR Imaging","volume":"32","author":[{"family":"Wu","given":"Ona"},{"family":"Koroshetz","given":"Walter J."},{"family":"Østergaard","given":"Leif"},{"family":"Buonanno","given":"Ferdinando S."},{"family":"Copen","given":"William A."},{"family":"Gonzalez","given":"R. Gilberto"},{"family":"Rordorf","given":"Guy"},{"family":"Rosen","given":"Bruce R."},{"family":"Schwamm","given":"Lee H."},{"family":"Weisskoff","given":"Robert M."},{"family":"Sorensen","given":"A. Gregory"}],"issued":{"date-parts":[["2001",4]]}},"suppress-author":true}],"schema":"https://github.com/citation-style-language/schema/raw/master/csl-citation.json"} </w:instrText>
            </w:r>
            <w:r w:rsidR="00BC5EDD" w:rsidRPr="00C7272A">
              <w:rPr>
                <w:rFonts w:eastAsia="Calibri"/>
                <w:sz w:val="20"/>
                <w:szCs w:val="20"/>
              </w:rPr>
              <w:fldChar w:fldCharType="separate"/>
            </w:r>
            <w:r w:rsidR="00C90120" w:rsidRPr="00C7272A">
              <w:rPr>
                <w:rFonts w:eastAsia="Calibri"/>
                <w:sz w:val="20"/>
                <w:szCs w:val="20"/>
              </w:rPr>
              <w:t>[56]</w:t>
            </w:r>
            <w:r w:rsidR="00BC5EDD" w:rsidRPr="00C7272A">
              <w:rPr>
                <w:rFonts w:eastAsia="Calibri"/>
                <w:sz w:val="20"/>
                <w:szCs w:val="20"/>
              </w:rPr>
              <w:fldChar w:fldCharType="end"/>
            </w:r>
          </w:p>
        </w:tc>
        <w:tc>
          <w:tcPr>
            <w:tcW w:w="870" w:type="pct"/>
          </w:tcPr>
          <w:p w14:paraId="0E48ADD0" w14:textId="77777777" w:rsidR="00624385" w:rsidRPr="00B07E2B" w:rsidRDefault="00624385" w:rsidP="00547F04">
            <w:pPr>
              <w:spacing w:line="276" w:lineRule="auto"/>
              <w:jc w:val="center"/>
              <w:rPr>
                <w:rFonts w:eastAsia="Calibri"/>
                <w:sz w:val="18"/>
                <w:szCs w:val="18"/>
              </w:rPr>
            </w:pPr>
            <w:r w:rsidRPr="00B07E2B">
              <w:rPr>
                <w:rFonts w:eastAsia="Calibri"/>
                <w:sz w:val="18"/>
                <w:szCs w:val="18"/>
              </w:rPr>
              <w:t>GLM</w:t>
            </w:r>
          </w:p>
        </w:tc>
        <w:tc>
          <w:tcPr>
            <w:tcW w:w="2277" w:type="pct"/>
          </w:tcPr>
          <w:p w14:paraId="1540BABD" w14:textId="318E3470" w:rsidR="00624385" w:rsidRPr="00B07E2B" w:rsidRDefault="00624385" w:rsidP="00547F04">
            <w:pPr>
              <w:spacing w:line="276" w:lineRule="auto"/>
              <w:rPr>
                <w:rFonts w:eastAsia="Calibri"/>
                <w:sz w:val="18"/>
                <w:szCs w:val="18"/>
              </w:rPr>
            </w:pPr>
            <w:r w:rsidRPr="00B07E2B">
              <w:rPr>
                <w:rFonts w:eastAsia="Calibri"/>
                <w:sz w:val="18"/>
                <w:szCs w:val="18"/>
              </w:rPr>
              <w:t>Πρόβλεψη περιοχών ισχαιμίας (κατεστραμμένος vs. μη κατεστραμμένος ιστός)</w:t>
            </w:r>
            <w:r w:rsidR="005038A0" w:rsidRPr="00B07E2B">
              <w:rPr>
                <w:rFonts w:eastAsia="Calibri"/>
                <w:sz w:val="18"/>
                <w:szCs w:val="18"/>
              </w:rPr>
              <w:t xml:space="preserve"> DWI &amp; PWI</w:t>
            </w:r>
          </w:p>
        </w:tc>
        <w:tc>
          <w:tcPr>
            <w:tcW w:w="1154" w:type="pct"/>
          </w:tcPr>
          <w:p w14:paraId="4B39F2CA" w14:textId="6D2984C0" w:rsidR="005038A0" w:rsidRPr="00C7272A" w:rsidRDefault="005038A0" w:rsidP="00547F04">
            <w:pPr>
              <w:spacing w:line="276" w:lineRule="auto"/>
              <w:jc w:val="center"/>
              <w:rPr>
                <w:rFonts w:eastAsia="Calibri"/>
                <w:sz w:val="20"/>
                <w:szCs w:val="20"/>
              </w:rPr>
            </w:pPr>
            <w:r w:rsidRPr="00C7272A">
              <w:rPr>
                <w:rFonts w:eastAsia="Calibri"/>
                <w:sz w:val="20"/>
                <w:szCs w:val="20"/>
              </w:rPr>
              <w:t>Sensitivity= 66%</w:t>
            </w:r>
          </w:p>
          <w:p w14:paraId="6F48A4A5" w14:textId="0794ED6A" w:rsidR="00624385" w:rsidRPr="00C7272A" w:rsidRDefault="005038A0" w:rsidP="00547F04">
            <w:pPr>
              <w:spacing w:line="276" w:lineRule="auto"/>
              <w:jc w:val="center"/>
              <w:rPr>
                <w:rFonts w:eastAsia="Calibri"/>
                <w:sz w:val="20"/>
                <w:szCs w:val="20"/>
              </w:rPr>
            </w:pPr>
            <w:r w:rsidRPr="00C7272A">
              <w:rPr>
                <w:rFonts w:eastAsia="Calibri"/>
                <w:sz w:val="20"/>
                <w:szCs w:val="20"/>
              </w:rPr>
              <w:t>Specificty</w:t>
            </w:r>
            <w:r w:rsidR="00624385" w:rsidRPr="00C7272A">
              <w:rPr>
                <w:rFonts w:eastAsia="Calibri"/>
                <w:sz w:val="20"/>
                <w:szCs w:val="20"/>
              </w:rPr>
              <w:t xml:space="preserve"> = 84% </w:t>
            </w:r>
          </w:p>
        </w:tc>
      </w:tr>
      <w:tr w:rsidR="00624385" w:rsidRPr="00B07E2B" w14:paraId="44DF84D4" w14:textId="77777777" w:rsidTr="00B22777">
        <w:trPr>
          <w:tblHeader/>
        </w:trPr>
        <w:tc>
          <w:tcPr>
            <w:tcW w:w="699" w:type="pct"/>
          </w:tcPr>
          <w:p w14:paraId="6F31EB2B" w14:textId="63ED1437" w:rsidR="00624385" w:rsidRPr="00C7272A" w:rsidRDefault="00624385" w:rsidP="00547F04">
            <w:pPr>
              <w:spacing w:line="276" w:lineRule="auto"/>
              <w:jc w:val="center"/>
              <w:rPr>
                <w:rFonts w:eastAsia="Calibri"/>
                <w:sz w:val="20"/>
                <w:szCs w:val="20"/>
              </w:rPr>
            </w:pPr>
            <w:r w:rsidRPr="00C7272A">
              <w:rPr>
                <w:rFonts w:eastAsia="Calibri"/>
                <w:sz w:val="20"/>
                <w:szCs w:val="20"/>
              </w:rPr>
              <w:t xml:space="preserve">Nielsen et al. </w:t>
            </w:r>
            <w:r w:rsidR="00BC5EDD" w:rsidRPr="00C7272A">
              <w:rPr>
                <w:rFonts w:eastAsia="Calibri"/>
                <w:sz w:val="20"/>
                <w:szCs w:val="20"/>
              </w:rPr>
              <w:fldChar w:fldCharType="begin"/>
            </w:r>
            <w:r w:rsidR="00C90120" w:rsidRPr="00C7272A">
              <w:rPr>
                <w:rFonts w:eastAsia="Calibri"/>
                <w:sz w:val="20"/>
                <w:szCs w:val="20"/>
              </w:rPr>
              <w:instrText xml:space="preserve"> ADDIN ZOTERO_ITEM CSL_CITATION {"citationID":"NNRfj9Qm","properties":{"formattedCitation":"[57]","plainCitation":"[57]","noteIndex":0},"citationItems":[{"id":1678,"uris":["http://zotero.org/users/local/mfHf28QG/items/5HRLVEQI"],"itemData":{"id":1678,"type":"webpage","title":"Prediction of Tissue Outcome and Assessment of Treatment Effect in Acute Ischemic Stroke Using Deep Learning | Stroke","URL":"https://www.ahajournals.org/doi/10.1161/STROKEAHA.117.019740","accessed":{"date-parts":[["2025",5,14]]}},"suppress-author":true}],"schema":"https://github.com/citation-style-language/schema/raw/master/csl-citation.json"} </w:instrText>
            </w:r>
            <w:r w:rsidR="00BC5EDD" w:rsidRPr="00C7272A">
              <w:rPr>
                <w:rFonts w:eastAsia="Calibri"/>
                <w:sz w:val="20"/>
                <w:szCs w:val="20"/>
              </w:rPr>
              <w:fldChar w:fldCharType="separate"/>
            </w:r>
            <w:r w:rsidR="00C90120" w:rsidRPr="00C7272A">
              <w:rPr>
                <w:rFonts w:eastAsia="Calibri"/>
                <w:sz w:val="20"/>
                <w:szCs w:val="20"/>
              </w:rPr>
              <w:t>[57]</w:t>
            </w:r>
            <w:r w:rsidR="00BC5EDD" w:rsidRPr="00C7272A">
              <w:rPr>
                <w:rFonts w:eastAsia="Calibri"/>
                <w:sz w:val="20"/>
                <w:szCs w:val="20"/>
              </w:rPr>
              <w:fldChar w:fldCharType="end"/>
            </w:r>
          </w:p>
        </w:tc>
        <w:tc>
          <w:tcPr>
            <w:tcW w:w="870" w:type="pct"/>
          </w:tcPr>
          <w:p w14:paraId="6917BE04" w14:textId="77777777" w:rsidR="00624385" w:rsidRPr="00B07E2B" w:rsidRDefault="00624385" w:rsidP="00547F04">
            <w:pPr>
              <w:spacing w:line="276" w:lineRule="auto"/>
              <w:jc w:val="center"/>
              <w:rPr>
                <w:rFonts w:eastAsia="Calibri"/>
                <w:sz w:val="18"/>
                <w:szCs w:val="18"/>
              </w:rPr>
            </w:pPr>
            <w:r w:rsidRPr="00B07E2B">
              <w:rPr>
                <w:rFonts w:eastAsia="Calibri"/>
                <w:sz w:val="18"/>
                <w:szCs w:val="18"/>
              </w:rPr>
              <w:t>CNN</w:t>
            </w:r>
          </w:p>
        </w:tc>
        <w:tc>
          <w:tcPr>
            <w:tcW w:w="2277" w:type="pct"/>
          </w:tcPr>
          <w:p w14:paraId="4EE180C9" w14:textId="681DBCCE" w:rsidR="00624385" w:rsidRPr="00B07E2B" w:rsidRDefault="00624385" w:rsidP="00547F04">
            <w:pPr>
              <w:spacing w:line="276" w:lineRule="auto"/>
              <w:rPr>
                <w:rFonts w:eastAsia="Calibri"/>
                <w:sz w:val="18"/>
                <w:szCs w:val="18"/>
              </w:rPr>
            </w:pPr>
            <w:r w:rsidRPr="00B07E2B">
              <w:rPr>
                <w:rFonts w:eastAsia="Calibri"/>
                <w:sz w:val="18"/>
                <w:szCs w:val="18"/>
              </w:rPr>
              <w:t xml:space="preserve">Πρόβλεψη τελικού όγκου </w:t>
            </w:r>
            <w:r w:rsidR="005038A0" w:rsidRPr="00B07E2B">
              <w:rPr>
                <w:rFonts w:eastAsia="Calibri"/>
                <w:sz w:val="18"/>
                <w:szCs w:val="18"/>
              </w:rPr>
              <w:t>έμφρακτου</w:t>
            </w:r>
            <w:r w:rsidRPr="00B07E2B">
              <w:rPr>
                <w:rFonts w:eastAsia="Calibri"/>
                <w:sz w:val="18"/>
                <w:szCs w:val="18"/>
              </w:rPr>
              <w:t xml:space="preserve"> με MRI &amp; βιοδείκτες</w:t>
            </w:r>
          </w:p>
        </w:tc>
        <w:tc>
          <w:tcPr>
            <w:tcW w:w="1154" w:type="pct"/>
          </w:tcPr>
          <w:p w14:paraId="3C1676FC" w14:textId="4955E594" w:rsidR="00624385" w:rsidRPr="00C7272A" w:rsidRDefault="00624385" w:rsidP="00547F04">
            <w:pPr>
              <w:spacing w:line="276" w:lineRule="auto"/>
              <w:jc w:val="center"/>
              <w:rPr>
                <w:rFonts w:eastAsia="Calibri"/>
                <w:sz w:val="20"/>
                <w:szCs w:val="20"/>
              </w:rPr>
            </w:pPr>
            <w:r w:rsidRPr="00C7272A">
              <w:rPr>
                <w:rFonts w:eastAsia="Calibri"/>
                <w:sz w:val="20"/>
                <w:szCs w:val="20"/>
              </w:rPr>
              <w:t>AUC = 0.88</w:t>
            </w:r>
          </w:p>
        </w:tc>
      </w:tr>
    </w:tbl>
    <w:p w14:paraId="03C77DAD" w14:textId="77777777" w:rsidR="003A50B0" w:rsidRPr="00B07E2B" w:rsidRDefault="003A50B0" w:rsidP="00547F04">
      <w:pPr>
        <w:rPr>
          <w:rFonts w:eastAsia="Calibri"/>
          <w:sz w:val="28"/>
          <w:szCs w:val="28"/>
        </w:rPr>
      </w:pPr>
    </w:p>
    <w:p w14:paraId="7A05EFA3" w14:textId="14A2F9A6" w:rsidR="002B7A5E" w:rsidRPr="00A831E7" w:rsidRDefault="002B7A5E" w:rsidP="00547F04">
      <w:pPr>
        <w:pStyle w:val="af5"/>
        <w:keepNext/>
        <w:jc w:val="center"/>
        <w:rPr>
          <w:rFonts w:eastAsia="Calibri"/>
          <w:b/>
          <w:bCs/>
          <w:color w:val="auto"/>
          <w:sz w:val="20"/>
          <w:szCs w:val="20"/>
        </w:rPr>
      </w:pPr>
      <w:bookmarkStart w:id="97" w:name="_Toc199787747"/>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12</w:t>
      </w:r>
      <w:r w:rsidRPr="00A831E7">
        <w:rPr>
          <w:b/>
          <w:bCs/>
          <w:color w:val="auto"/>
          <w:sz w:val="20"/>
          <w:szCs w:val="20"/>
        </w:rPr>
        <w:fldChar w:fldCharType="end"/>
      </w:r>
      <w:r w:rsidRPr="00A831E7">
        <w:rPr>
          <w:rFonts w:eastAsia="Calibri"/>
          <w:b/>
          <w:bCs/>
          <w:color w:val="auto"/>
          <w:sz w:val="20"/>
          <w:szCs w:val="20"/>
        </w:rPr>
        <w:t>: Πρόβλεψη Ιστικών Αποτελεσμάτων (Μοντέλα CT)</w:t>
      </w:r>
      <w:r w:rsidRPr="00A831E7">
        <w:rPr>
          <w:rFonts w:eastAsia="Calibri"/>
          <w:b/>
          <w:bCs/>
          <w:color w:val="auto"/>
        </w:rPr>
        <w:t xml:space="preserve"> </w:t>
      </w:r>
      <w:r w:rsidRPr="00A831E7">
        <w:rPr>
          <w:rFonts w:eastAsia="Calibri"/>
          <w:b/>
          <w:bCs/>
          <w:color w:val="auto"/>
        </w:rPr>
        <w:fldChar w:fldCharType="begin"/>
      </w:r>
      <w:r w:rsidRPr="00A831E7">
        <w:rPr>
          <w:rFonts w:eastAsia="Calibri"/>
          <w:b/>
          <w:bCs/>
          <w:color w:val="auto"/>
        </w:rPr>
        <w:instrText xml:space="preserve"> ADDIN ZOTERO_ITEM CSL_CITATION {"citationID":"XsQoKzfT","properties":{"formattedCitation":"[26]","plainCitation":"[26]","noteIndex":0},"citationItems":[{"id":1211,"uris":["http://zotero.org/users/local/mfHf28QG/items/9FUW65EX"],"itemData":{"id":1211,"type":"article-journal","abstract":"Artificial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rPr>
        <w:fldChar w:fldCharType="separate"/>
      </w:r>
      <w:r w:rsidRPr="00A831E7">
        <w:rPr>
          <w:rFonts w:eastAsia="Calibri"/>
          <w:b/>
          <w:bCs/>
          <w:color w:val="auto"/>
        </w:rPr>
        <w:t>[26]</w:t>
      </w:r>
      <w:bookmarkEnd w:id="97"/>
      <w:r w:rsidRPr="00A831E7">
        <w:rPr>
          <w:rFonts w:eastAsia="Calibri"/>
          <w:b/>
          <w:bCs/>
          <w:color w:val="auto"/>
        </w:rPr>
        <w:fldChar w:fldCharType="end"/>
      </w:r>
    </w:p>
    <w:tbl>
      <w:tblPr>
        <w:tblStyle w:val="af0"/>
        <w:tblW w:w="5000" w:type="pct"/>
        <w:tblLook w:val="04A0" w:firstRow="1" w:lastRow="0" w:firstColumn="1" w:lastColumn="0" w:noHBand="0" w:noVBand="1"/>
      </w:tblPr>
      <w:tblGrid>
        <w:gridCol w:w="1161"/>
        <w:gridCol w:w="1479"/>
        <w:gridCol w:w="3744"/>
        <w:gridCol w:w="1918"/>
      </w:tblGrid>
      <w:tr w:rsidR="00E95002" w:rsidRPr="00A831E7" w14:paraId="7B7A1C8E" w14:textId="77777777" w:rsidTr="0057069D">
        <w:trPr>
          <w:tblHeader/>
        </w:trPr>
        <w:tc>
          <w:tcPr>
            <w:tcW w:w="699" w:type="pct"/>
            <w:shd w:val="clear" w:color="auto" w:fill="D9D9D9" w:themeFill="background1" w:themeFillShade="D9"/>
          </w:tcPr>
          <w:p w14:paraId="489F3706" w14:textId="0D51E0AD" w:rsidR="00E95002" w:rsidRPr="00A831E7" w:rsidRDefault="00E95002" w:rsidP="00547F04">
            <w:pPr>
              <w:spacing w:line="276" w:lineRule="auto"/>
              <w:jc w:val="center"/>
              <w:rPr>
                <w:rFonts w:eastAsia="Calibri"/>
                <w:b/>
                <w:bCs/>
                <w:sz w:val="20"/>
                <w:szCs w:val="20"/>
              </w:rPr>
            </w:pPr>
            <w:r w:rsidRPr="00A831E7">
              <w:rPr>
                <w:b/>
                <w:bCs/>
                <w:sz w:val="20"/>
                <w:szCs w:val="20"/>
              </w:rPr>
              <w:t>Αναφορά</w:t>
            </w:r>
          </w:p>
        </w:tc>
        <w:tc>
          <w:tcPr>
            <w:tcW w:w="891" w:type="pct"/>
            <w:shd w:val="clear" w:color="auto" w:fill="D9D9D9" w:themeFill="background1" w:themeFillShade="D9"/>
          </w:tcPr>
          <w:p w14:paraId="1F0EC789" w14:textId="59AAC56F" w:rsidR="00E95002" w:rsidRPr="00A831E7" w:rsidRDefault="002B7A5E" w:rsidP="00547F04">
            <w:pPr>
              <w:spacing w:line="276" w:lineRule="auto"/>
              <w:jc w:val="center"/>
              <w:rPr>
                <w:rFonts w:eastAsia="Calibri"/>
                <w:b/>
                <w:bCs/>
                <w:sz w:val="20"/>
                <w:szCs w:val="20"/>
              </w:rPr>
            </w:pPr>
            <w:r w:rsidRPr="00A831E7">
              <w:rPr>
                <w:b/>
                <w:bCs/>
                <w:sz w:val="20"/>
                <w:szCs w:val="20"/>
              </w:rPr>
              <w:t>Μέθοδος</w:t>
            </w:r>
          </w:p>
        </w:tc>
        <w:tc>
          <w:tcPr>
            <w:tcW w:w="2255" w:type="pct"/>
            <w:shd w:val="clear" w:color="auto" w:fill="D9D9D9" w:themeFill="background1" w:themeFillShade="D9"/>
          </w:tcPr>
          <w:p w14:paraId="15098AE5" w14:textId="43B423CE" w:rsidR="00E95002" w:rsidRPr="00A831E7" w:rsidRDefault="00E95002" w:rsidP="00547F04">
            <w:pPr>
              <w:spacing w:line="276" w:lineRule="auto"/>
              <w:ind w:left="-55"/>
              <w:jc w:val="center"/>
              <w:rPr>
                <w:rFonts w:eastAsia="Calibri"/>
                <w:b/>
                <w:bCs/>
                <w:sz w:val="20"/>
                <w:szCs w:val="20"/>
              </w:rPr>
            </w:pPr>
            <w:r w:rsidRPr="00A831E7">
              <w:rPr>
                <w:b/>
                <w:bCs/>
                <w:sz w:val="20"/>
                <w:szCs w:val="20"/>
              </w:rPr>
              <w:t>Αποτελέσματα</w:t>
            </w:r>
          </w:p>
        </w:tc>
        <w:tc>
          <w:tcPr>
            <w:tcW w:w="1155" w:type="pct"/>
            <w:shd w:val="clear" w:color="auto" w:fill="D9D9D9" w:themeFill="background1" w:themeFillShade="D9"/>
          </w:tcPr>
          <w:p w14:paraId="2A22288B" w14:textId="0587A1CB" w:rsidR="00E95002" w:rsidRPr="00A831E7" w:rsidRDefault="00E95002" w:rsidP="00547F04">
            <w:pPr>
              <w:spacing w:line="276" w:lineRule="auto"/>
              <w:jc w:val="center"/>
              <w:rPr>
                <w:rFonts w:eastAsia="Calibri"/>
                <w:b/>
                <w:bCs/>
                <w:sz w:val="20"/>
                <w:szCs w:val="20"/>
              </w:rPr>
            </w:pPr>
            <w:r w:rsidRPr="00A831E7">
              <w:rPr>
                <w:b/>
                <w:bCs/>
                <w:sz w:val="20"/>
                <w:szCs w:val="20"/>
              </w:rPr>
              <w:t>Δείκτης Αξιολόγησης</w:t>
            </w:r>
          </w:p>
        </w:tc>
      </w:tr>
      <w:tr w:rsidR="00E95002" w:rsidRPr="00A831E7" w14:paraId="6F0A2336" w14:textId="77777777" w:rsidTr="002B7A5E">
        <w:trPr>
          <w:tblHeader/>
        </w:trPr>
        <w:tc>
          <w:tcPr>
            <w:tcW w:w="699" w:type="pct"/>
          </w:tcPr>
          <w:p w14:paraId="16A67F68" w14:textId="240A45BB" w:rsidR="00E95002" w:rsidRPr="00C7272A" w:rsidRDefault="00E95002" w:rsidP="00547F04">
            <w:pPr>
              <w:spacing w:line="276" w:lineRule="auto"/>
              <w:jc w:val="center"/>
              <w:rPr>
                <w:rFonts w:eastAsia="Calibri"/>
                <w:sz w:val="20"/>
                <w:szCs w:val="20"/>
              </w:rPr>
            </w:pPr>
            <w:r w:rsidRPr="00C7272A">
              <w:rPr>
                <w:sz w:val="20"/>
                <w:szCs w:val="20"/>
              </w:rPr>
              <w:t xml:space="preserve">Kidwell et al. </w:t>
            </w:r>
            <w:r w:rsidR="00BC5EDD" w:rsidRPr="00C7272A">
              <w:rPr>
                <w:sz w:val="20"/>
                <w:szCs w:val="20"/>
              </w:rPr>
              <w:fldChar w:fldCharType="begin"/>
            </w:r>
            <w:r w:rsidR="00B22777" w:rsidRPr="00C7272A">
              <w:rPr>
                <w:sz w:val="20"/>
                <w:szCs w:val="20"/>
              </w:rPr>
              <w:instrText xml:space="preserve"> ADDIN ZOTERO_ITEM CSL_CITATION {"citationID":"cDOM8qee","properties":{"formattedCitation":"[58]","plainCitation":"[58]","noteIndex":0},"citationItems":[{"id":1682,"uris":["http://zotero.org/users/local/mfHf28QG/items/QH9DQBZK"],"itemData":{"id":1682,"type":"webpage","title":"Multiparametric MRI and CT Models of Infarct Core and Favorable Penumbral Imaging Patterns in Acute Ischemic Stroke | Stroke","URL":"https://www.ahajournals.org/doi/10.1161/STROKEAHA.112.670034","accessed":{"date-parts":[["2025",5,14]]}},"suppress-author":true}],"schema":"https://github.com/citation-style-language/schema/raw/master/csl-citation.json"} </w:instrText>
            </w:r>
            <w:r w:rsidR="00BC5EDD" w:rsidRPr="00C7272A">
              <w:rPr>
                <w:sz w:val="20"/>
                <w:szCs w:val="20"/>
              </w:rPr>
              <w:fldChar w:fldCharType="separate"/>
            </w:r>
            <w:r w:rsidR="00B22777" w:rsidRPr="00C7272A">
              <w:rPr>
                <w:sz w:val="20"/>
                <w:szCs w:val="20"/>
              </w:rPr>
              <w:t>[58]</w:t>
            </w:r>
            <w:r w:rsidR="00BC5EDD" w:rsidRPr="00C7272A">
              <w:rPr>
                <w:sz w:val="20"/>
                <w:szCs w:val="20"/>
              </w:rPr>
              <w:fldChar w:fldCharType="end"/>
            </w:r>
          </w:p>
        </w:tc>
        <w:tc>
          <w:tcPr>
            <w:tcW w:w="891" w:type="pct"/>
          </w:tcPr>
          <w:p w14:paraId="0C726A2A" w14:textId="4A09A1DC" w:rsidR="00E95002" w:rsidRPr="00C7272A" w:rsidRDefault="00E95002" w:rsidP="00547F04">
            <w:pPr>
              <w:spacing w:line="276" w:lineRule="auto"/>
              <w:jc w:val="center"/>
              <w:rPr>
                <w:rFonts w:eastAsia="Calibri"/>
                <w:sz w:val="20"/>
                <w:szCs w:val="20"/>
              </w:rPr>
            </w:pPr>
            <w:r w:rsidRPr="00C7272A">
              <w:rPr>
                <w:sz w:val="20"/>
                <w:szCs w:val="20"/>
              </w:rPr>
              <w:t>Voxel-based Regression</w:t>
            </w:r>
          </w:p>
        </w:tc>
        <w:tc>
          <w:tcPr>
            <w:tcW w:w="2255" w:type="pct"/>
          </w:tcPr>
          <w:p w14:paraId="1C5F7546" w14:textId="21F6FAE5" w:rsidR="00E95002" w:rsidRPr="00B07E2B" w:rsidRDefault="00E95002" w:rsidP="00547F04">
            <w:pPr>
              <w:spacing w:line="276" w:lineRule="auto"/>
              <w:rPr>
                <w:rFonts w:eastAsia="Calibri"/>
                <w:sz w:val="18"/>
                <w:szCs w:val="18"/>
              </w:rPr>
            </w:pPr>
            <w:r w:rsidRPr="00B07E2B">
              <w:rPr>
                <w:sz w:val="18"/>
                <w:szCs w:val="18"/>
              </w:rPr>
              <w:t>Πρόβλεψη ιστών που θα εξελιχθούν σε έμφρακτο</w:t>
            </w:r>
          </w:p>
        </w:tc>
        <w:tc>
          <w:tcPr>
            <w:tcW w:w="1155" w:type="pct"/>
          </w:tcPr>
          <w:p w14:paraId="1522B1C2" w14:textId="30594C4E" w:rsidR="00E95002" w:rsidRPr="00C7272A" w:rsidRDefault="00E95002" w:rsidP="00547F04">
            <w:pPr>
              <w:spacing w:line="276" w:lineRule="auto"/>
              <w:jc w:val="center"/>
              <w:rPr>
                <w:rFonts w:eastAsia="Calibri"/>
                <w:sz w:val="20"/>
                <w:szCs w:val="20"/>
              </w:rPr>
            </w:pPr>
            <w:r w:rsidRPr="00C7272A">
              <w:rPr>
                <w:sz w:val="20"/>
                <w:szCs w:val="20"/>
              </w:rPr>
              <w:t>CT</w:t>
            </w:r>
            <w:r w:rsidR="00A91598" w:rsidRPr="00C7272A">
              <w:rPr>
                <w:sz w:val="20"/>
                <w:szCs w:val="20"/>
              </w:rPr>
              <w:t xml:space="preserve"> =</w:t>
            </w:r>
            <w:r w:rsidRPr="00C7272A">
              <w:rPr>
                <w:sz w:val="20"/>
                <w:szCs w:val="20"/>
              </w:rPr>
              <w:t xml:space="preserve"> 80% ακρίβεια</w:t>
            </w:r>
          </w:p>
        </w:tc>
      </w:tr>
      <w:tr w:rsidR="00E95002" w:rsidRPr="00A831E7" w14:paraId="35B421B0" w14:textId="77777777" w:rsidTr="002B7A5E">
        <w:trPr>
          <w:tblHeader/>
        </w:trPr>
        <w:tc>
          <w:tcPr>
            <w:tcW w:w="699" w:type="pct"/>
          </w:tcPr>
          <w:p w14:paraId="72F5B03F" w14:textId="10D80628" w:rsidR="00E95002" w:rsidRPr="00C7272A" w:rsidRDefault="00E95002" w:rsidP="00547F04">
            <w:pPr>
              <w:spacing w:line="276" w:lineRule="auto"/>
              <w:jc w:val="center"/>
              <w:rPr>
                <w:rFonts w:eastAsia="Calibri"/>
                <w:sz w:val="20"/>
                <w:szCs w:val="20"/>
              </w:rPr>
            </w:pPr>
            <w:r w:rsidRPr="00C7272A">
              <w:rPr>
                <w:sz w:val="20"/>
                <w:szCs w:val="20"/>
              </w:rPr>
              <w:t xml:space="preserve">Kemmling et al. </w:t>
            </w:r>
            <w:r w:rsidR="00BC5EDD" w:rsidRPr="00C7272A">
              <w:rPr>
                <w:sz w:val="20"/>
                <w:szCs w:val="20"/>
              </w:rPr>
              <w:fldChar w:fldCharType="begin"/>
            </w:r>
            <w:r w:rsidR="00B22777" w:rsidRPr="00C7272A">
              <w:rPr>
                <w:sz w:val="20"/>
                <w:szCs w:val="20"/>
              </w:rPr>
              <w:instrText xml:space="preserve"> ADDIN ZOTERO_ITEM CSL_CITATION {"citationID":"HVUPSm2J","properties":{"formattedCitation":"[59]","plainCitation":"[59]","noteIndex":0},"citationItems":[{"id":1684,"uris":["http://zotero.org/users/local/mfHf28QG/items/PMEVLGHR"],"itemData":{"id":1684,"type":"webpage","title":"Multivariate Dynamic Prediction of Ischemic Infarction and Tissue Salvage as a Function of Time and Degree of Recanalization - André Kemmling, Fabian Flottmann, Nils Daniel Forkert, Jens Minnerup, Walter Heindel, Goetz Thomalla, Bernd Eckert, Michael Knauth, Marios Psychogios, Soenke Langner, Jens Fiehler, 2015","URL":"https://journals.sagepub.com/doi/10.1038/jcbfm.2015.144","accessed":{"date-parts":[["2025",5,14]]}},"suppress-author":true}],"schema":"https://github.com/citation-style-language/schema/raw/master/csl-citation.json"} </w:instrText>
            </w:r>
            <w:r w:rsidR="00BC5EDD" w:rsidRPr="00C7272A">
              <w:rPr>
                <w:sz w:val="20"/>
                <w:szCs w:val="20"/>
              </w:rPr>
              <w:fldChar w:fldCharType="separate"/>
            </w:r>
            <w:r w:rsidR="00B22777" w:rsidRPr="00C7272A">
              <w:rPr>
                <w:sz w:val="20"/>
                <w:szCs w:val="20"/>
              </w:rPr>
              <w:t>[59]</w:t>
            </w:r>
            <w:r w:rsidR="00BC5EDD" w:rsidRPr="00C7272A">
              <w:rPr>
                <w:sz w:val="20"/>
                <w:szCs w:val="20"/>
              </w:rPr>
              <w:fldChar w:fldCharType="end"/>
            </w:r>
          </w:p>
        </w:tc>
        <w:tc>
          <w:tcPr>
            <w:tcW w:w="891" w:type="pct"/>
          </w:tcPr>
          <w:p w14:paraId="567754CD" w14:textId="41950233" w:rsidR="00E95002" w:rsidRPr="00C7272A" w:rsidRDefault="00E95002" w:rsidP="00547F04">
            <w:pPr>
              <w:spacing w:line="276" w:lineRule="auto"/>
              <w:jc w:val="center"/>
              <w:rPr>
                <w:rFonts w:eastAsia="Calibri"/>
                <w:sz w:val="20"/>
                <w:szCs w:val="20"/>
              </w:rPr>
            </w:pPr>
            <w:r w:rsidRPr="00C7272A">
              <w:rPr>
                <w:sz w:val="20"/>
                <w:szCs w:val="20"/>
              </w:rPr>
              <w:t>GLM</w:t>
            </w:r>
          </w:p>
        </w:tc>
        <w:tc>
          <w:tcPr>
            <w:tcW w:w="2255" w:type="pct"/>
          </w:tcPr>
          <w:p w14:paraId="3AFD1650" w14:textId="79F008DF" w:rsidR="00E95002" w:rsidRPr="00B07E2B" w:rsidRDefault="00E95002" w:rsidP="00547F04">
            <w:pPr>
              <w:spacing w:line="276" w:lineRule="auto"/>
              <w:rPr>
                <w:rFonts w:eastAsia="Calibri"/>
                <w:sz w:val="18"/>
                <w:szCs w:val="18"/>
              </w:rPr>
            </w:pPr>
            <w:r w:rsidRPr="00B07E2B">
              <w:rPr>
                <w:sz w:val="18"/>
                <w:szCs w:val="18"/>
              </w:rPr>
              <w:t>Πρόβλεψη τελικού όγκου εμφράγματος μετά από θρομβεκτομή</w:t>
            </w:r>
          </w:p>
        </w:tc>
        <w:tc>
          <w:tcPr>
            <w:tcW w:w="1155" w:type="pct"/>
          </w:tcPr>
          <w:p w14:paraId="1A4DCCBD" w14:textId="6AEEF52B" w:rsidR="00E95002" w:rsidRPr="00C7272A" w:rsidRDefault="00E95002" w:rsidP="00547F04">
            <w:pPr>
              <w:spacing w:line="276" w:lineRule="auto"/>
              <w:jc w:val="center"/>
              <w:rPr>
                <w:rFonts w:eastAsia="Calibri"/>
                <w:sz w:val="20"/>
                <w:szCs w:val="20"/>
              </w:rPr>
            </w:pPr>
            <w:r w:rsidRPr="00C7272A">
              <w:rPr>
                <w:sz w:val="20"/>
                <w:szCs w:val="20"/>
              </w:rPr>
              <w:t>AUC = 0.85</w:t>
            </w:r>
          </w:p>
        </w:tc>
      </w:tr>
    </w:tbl>
    <w:p w14:paraId="24C5072B" w14:textId="77777777" w:rsidR="002B7A5E" w:rsidRPr="00A831E7" w:rsidRDefault="002B7A5E" w:rsidP="00547F04">
      <w:pPr>
        <w:rPr>
          <w:b/>
          <w:bCs/>
          <w:sz w:val="20"/>
          <w:szCs w:val="20"/>
        </w:rPr>
      </w:pPr>
    </w:p>
    <w:p w14:paraId="3572B45B" w14:textId="74F28723" w:rsidR="00F32EEE" w:rsidRPr="00A831E7" w:rsidRDefault="0091505C" w:rsidP="00547F04">
      <w:pPr>
        <w:pStyle w:val="af5"/>
        <w:jc w:val="center"/>
        <w:rPr>
          <w:rFonts w:eastAsia="Calibri"/>
          <w:b/>
          <w:bCs/>
          <w:color w:val="auto"/>
          <w:sz w:val="20"/>
          <w:szCs w:val="20"/>
        </w:rPr>
      </w:pPr>
      <w:bookmarkStart w:id="98" w:name="_Toc199787748"/>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13</w:t>
      </w:r>
      <w:r w:rsidRPr="00A831E7">
        <w:rPr>
          <w:b/>
          <w:bCs/>
          <w:color w:val="auto"/>
          <w:sz w:val="20"/>
          <w:szCs w:val="20"/>
        </w:rPr>
        <w:fldChar w:fldCharType="end"/>
      </w:r>
      <w:r w:rsidRPr="00A831E7">
        <w:rPr>
          <w:rFonts w:eastAsia="Calibri"/>
          <w:b/>
          <w:bCs/>
          <w:color w:val="auto"/>
          <w:sz w:val="20"/>
          <w:szCs w:val="20"/>
        </w:rPr>
        <w:t xml:space="preserve">: Πρόβλεψη Επιπλοκών Εγκεφαλικού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{"citationID":"62leNNAx","properties":{"formattedCitation":"[26]","plainCitation":"[26]","noteIndex":0},"citationItems":[{"id":1211,"uris":["http://zotero.org/users/local/mfHf28QG/items/9FUW65EX"],"itemData":{"id":1211,"type":"article-journal","abstract":"Artificial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[26]</w:t>
      </w:r>
      <w:bookmarkEnd w:id="98"/>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1128"/>
        <w:gridCol w:w="1024"/>
        <w:gridCol w:w="1504"/>
        <w:gridCol w:w="2911"/>
        <w:gridCol w:w="1735"/>
      </w:tblGrid>
      <w:tr w:rsidR="0009484F" w:rsidRPr="00A831E7" w14:paraId="6DFFA5E9" w14:textId="77777777" w:rsidTr="0057069D">
        <w:trPr>
          <w:tblHeader/>
        </w:trPr>
        <w:tc>
          <w:tcPr>
            <w:tcW w:w="1128" w:type="dxa"/>
            <w:shd w:val="clear" w:color="auto" w:fill="D9D9D9" w:themeFill="background1" w:themeFillShade="D9"/>
          </w:tcPr>
          <w:p w14:paraId="38D9109F" w14:textId="38BA1DB8" w:rsidR="0009484F" w:rsidRPr="00A831E7" w:rsidRDefault="0009484F" w:rsidP="00547F04">
            <w:pPr>
              <w:spacing w:line="276" w:lineRule="auto"/>
              <w:jc w:val="center"/>
              <w:rPr>
                <w:rFonts w:eastAsia="Calibri"/>
                <w:b/>
                <w:bCs/>
                <w:sz w:val="20"/>
                <w:szCs w:val="20"/>
              </w:rPr>
            </w:pPr>
            <w:r w:rsidRPr="00A831E7">
              <w:rPr>
                <w:b/>
                <w:bCs/>
                <w:sz w:val="20"/>
                <w:szCs w:val="20"/>
              </w:rPr>
              <w:t>Αναφορά</w:t>
            </w:r>
          </w:p>
        </w:tc>
        <w:tc>
          <w:tcPr>
            <w:tcW w:w="1024" w:type="dxa"/>
            <w:shd w:val="clear" w:color="auto" w:fill="D9D9D9" w:themeFill="background1" w:themeFillShade="D9"/>
          </w:tcPr>
          <w:p w14:paraId="2C1C2CA3" w14:textId="5D85CDCD" w:rsidR="0009484F" w:rsidRPr="00A831E7" w:rsidRDefault="0009484F" w:rsidP="00547F04">
            <w:pPr>
              <w:spacing w:line="276" w:lineRule="auto"/>
              <w:jc w:val="center"/>
              <w:rPr>
                <w:b/>
                <w:bCs/>
                <w:sz w:val="20"/>
                <w:szCs w:val="20"/>
              </w:rPr>
            </w:pPr>
            <w:r w:rsidRPr="00A831E7">
              <w:rPr>
                <w:b/>
                <w:bCs/>
                <w:sz w:val="20"/>
                <w:szCs w:val="20"/>
              </w:rPr>
              <w:t>Εξέταση</w:t>
            </w:r>
          </w:p>
        </w:tc>
        <w:tc>
          <w:tcPr>
            <w:tcW w:w="1504" w:type="dxa"/>
            <w:shd w:val="clear" w:color="auto" w:fill="D9D9D9" w:themeFill="background1" w:themeFillShade="D9"/>
          </w:tcPr>
          <w:p w14:paraId="7A5F6E3D" w14:textId="45CD8D31" w:rsidR="0009484F" w:rsidRPr="00A831E7" w:rsidRDefault="0009484F" w:rsidP="00547F04">
            <w:pPr>
              <w:spacing w:line="276" w:lineRule="auto"/>
              <w:jc w:val="center"/>
              <w:rPr>
                <w:rFonts w:eastAsia="Calibri"/>
                <w:b/>
                <w:bCs/>
                <w:sz w:val="20"/>
                <w:szCs w:val="20"/>
              </w:rPr>
            </w:pPr>
            <w:r w:rsidRPr="00A831E7">
              <w:rPr>
                <w:b/>
                <w:bCs/>
                <w:sz w:val="20"/>
                <w:szCs w:val="20"/>
              </w:rPr>
              <w:t>Μέθοδος</w:t>
            </w:r>
          </w:p>
        </w:tc>
        <w:tc>
          <w:tcPr>
            <w:tcW w:w="2911" w:type="dxa"/>
            <w:shd w:val="clear" w:color="auto" w:fill="D9D9D9" w:themeFill="background1" w:themeFillShade="D9"/>
          </w:tcPr>
          <w:p w14:paraId="3A150921" w14:textId="405FC65E" w:rsidR="0009484F" w:rsidRPr="00A831E7" w:rsidRDefault="0009484F" w:rsidP="00547F04">
            <w:pPr>
              <w:spacing w:line="276" w:lineRule="auto"/>
              <w:jc w:val="center"/>
              <w:rPr>
                <w:rFonts w:eastAsia="Calibri"/>
                <w:b/>
                <w:bCs/>
                <w:sz w:val="20"/>
                <w:szCs w:val="20"/>
              </w:rPr>
            </w:pPr>
            <w:r w:rsidRPr="00A831E7">
              <w:rPr>
                <w:b/>
                <w:bCs/>
                <w:sz w:val="20"/>
                <w:szCs w:val="20"/>
              </w:rPr>
              <w:t>Αποτελέσματα</w:t>
            </w:r>
          </w:p>
        </w:tc>
        <w:tc>
          <w:tcPr>
            <w:tcW w:w="1735" w:type="dxa"/>
            <w:shd w:val="clear" w:color="auto" w:fill="D9D9D9" w:themeFill="background1" w:themeFillShade="D9"/>
          </w:tcPr>
          <w:p w14:paraId="540C1147" w14:textId="06C5C0D5" w:rsidR="0009484F" w:rsidRPr="00A831E7" w:rsidRDefault="0009484F" w:rsidP="00547F04">
            <w:pPr>
              <w:spacing w:line="276" w:lineRule="auto"/>
              <w:jc w:val="center"/>
              <w:rPr>
                <w:rFonts w:eastAsia="Calibri"/>
                <w:b/>
                <w:bCs/>
                <w:sz w:val="20"/>
                <w:szCs w:val="20"/>
              </w:rPr>
            </w:pPr>
            <w:r w:rsidRPr="00A831E7">
              <w:rPr>
                <w:b/>
                <w:bCs/>
                <w:sz w:val="20"/>
                <w:szCs w:val="20"/>
              </w:rPr>
              <w:t>Δείκτης Αξιολόγησης</w:t>
            </w:r>
          </w:p>
        </w:tc>
      </w:tr>
      <w:tr w:rsidR="0009484F" w:rsidRPr="00A831E7" w14:paraId="4299BE14" w14:textId="77777777" w:rsidTr="0009484F">
        <w:trPr>
          <w:tblHeader/>
        </w:trPr>
        <w:tc>
          <w:tcPr>
            <w:tcW w:w="1128" w:type="dxa"/>
          </w:tcPr>
          <w:p w14:paraId="038CC2AD" w14:textId="43EB8397" w:rsidR="0009484F" w:rsidRPr="00C7272A" w:rsidRDefault="0009484F" w:rsidP="00547F04">
            <w:pPr>
              <w:spacing w:line="276" w:lineRule="auto"/>
              <w:jc w:val="center"/>
              <w:rPr>
                <w:rFonts w:eastAsia="Calibri"/>
                <w:sz w:val="20"/>
                <w:szCs w:val="20"/>
              </w:rPr>
            </w:pPr>
            <w:r w:rsidRPr="00C7272A">
              <w:rPr>
                <w:sz w:val="20"/>
                <w:szCs w:val="20"/>
              </w:rPr>
              <w:t xml:space="preserve">Dhar et al. </w:t>
            </w:r>
            <w:r w:rsidRPr="00C7272A">
              <w:rPr>
                <w:sz w:val="20"/>
                <w:szCs w:val="20"/>
              </w:rPr>
              <w:fldChar w:fldCharType="begin"/>
            </w:r>
            <w:r w:rsidR="00B22777" w:rsidRPr="00C7272A">
              <w:rPr>
                <w:sz w:val="20"/>
                <w:szCs w:val="20"/>
              </w:rPr>
              <w:instrText xml:space="preserve"> ADDIN ZOTERO_ITEM CSL_CITATION {"citationID":"oh9tXHWR","properties":{"formattedCitation":"[60]","plainCitation":"[60]","noteIndex":0},"citationItems":[{"id":1688,"uris":["http://zotero.org/users/local/mfHf28QG/items/D9Z2WZD2"],"itemData":{"id":1688,"type":"article-journal","abstract":"Cerebral edema contributes to neurological deterioration and death after hemispheric stroke but there remains no effective means of preventing or accurately predicting its occurrence. Big data approaches may provide insights into the biologic variability and genetic contributions to severity and time course of cerebral edema. These methods require quantitative analyses of edema severity across large cohorts of stroke patients. We have proposed that changes in cerebrospinal fluid (CSF) volume over time may represent a sensitive and dynamic marker of edema progression that can be measured from routinely available CT scans. To facilitate and scale up such approaches we have created a machine learning algorithm capable of segmenting and measuring CSF volume from serial CT scans of stroke patients. We now present results of our preliminary processing pipeline that was able to efficiently extract CSF volumetrics from an initial cohort of 155 subjects enrolled in a prospective longitudinal stroke study. We demonstrate a high degree of reproducibility in total cranial volume registration between scans (R=0.982) as well as a strong correlation of baseline CSF volume and patient age (as a surrogate of brain atrophy, R=0.725). Reduction in CSF volume from baseline to final CT was correlated wtih infarct volume (R=0.715) and degree of midline shift (quadratic model, p&lt;2.2x10-16). We utilized generalized estimating equations (GEE) to model CSF volumes over time, (using linear and quadratic terms) adjusting for age. This model demonstrated that CSF volume decreases over time (p&lt;2.2x10-13) and is lower in those with cerebral edema (p=0.0004). We are now fully automating this pipeline to allow rapid analysis of even larger cohorts of stroke patients from multiple sites using an XNAT (eXtensible Neuroimaging Archive Toolkit) platform. Data on kinetics of edema across thousands of patients will facilitate precision approaches to prediction of malignant edema as well as modeling of variability and further understanding of genetic variants that influence edema severity.","container-title":"Frontiers in Neurology","DOI":"10.3389/fneur.2018.00687","ISSN":"1664-2295","journalAbbreviation":"Front. Neurol.","language":"English","note":"publisher: Frontiers","source":"Frontiers","title":"Application of Machine Learning to Automated Analysis of Cerebral Edema in Large Cohorts of Ischemic Stroke Patients","URL":"https://www.frontiersin.org/journals/neurology/articles/10.3389/fneur.2018.00687/full","volume":"9","author":[{"family":"Dhar","given":"Rajat"},{"family":"Chen","given":"Yasheng"},{"family":"An","given":"Hongyu"},{"family":"Lee","given":"Jin-Moo"}],"accessed":{"date-parts":[["2025",5,14]]},"issued":{"date-parts":[["2018",8,21]]}},"suppress-author":true}],"schema":"https://github.com/citation-style-language/schema/raw/master/csl-citation.json"} </w:instrText>
            </w:r>
            <w:r w:rsidRPr="00C7272A">
              <w:rPr>
                <w:sz w:val="20"/>
                <w:szCs w:val="20"/>
              </w:rPr>
              <w:fldChar w:fldCharType="separate"/>
            </w:r>
            <w:r w:rsidR="00B22777" w:rsidRPr="00C7272A">
              <w:rPr>
                <w:sz w:val="20"/>
                <w:szCs w:val="20"/>
              </w:rPr>
              <w:t>[60]</w:t>
            </w:r>
            <w:r w:rsidRPr="00C7272A">
              <w:rPr>
                <w:sz w:val="20"/>
                <w:szCs w:val="20"/>
              </w:rPr>
              <w:fldChar w:fldCharType="end"/>
            </w:r>
          </w:p>
        </w:tc>
        <w:tc>
          <w:tcPr>
            <w:tcW w:w="1024" w:type="dxa"/>
          </w:tcPr>
          <w:p w14:paraId="3E3AB5BF" w14:textId="6892951E" w:rsidR="0009484F" w:rsidRPr="00C7272A" w:rsidRDefault="0009484F" w:rsidP="00547F04">
            <w:pPr>
              <w:spacing w:line="276" w:lineRule="auto"/>
              <w:jc w:val="center"/>
              <w:rPr>
                <w:sz w:val="20"/>
                <w:szCs w:val="20"/>
              </w:rPr>
            </w:pPr>
            <w:r w:rsidRPr="00C7272A">
              <w:rPr>
                <w:sz w:val="20"/>
                <w:szCs w:val="20"/>
              </w:rPr>
              <w:t>CT</w:t>
            </w:r>
          </w:p>
        </w:tc>
        <w:tc>
          <w:tcPr>
            <w:tcW w:w="1504" w:type="dxa"/>
          </w:tcPr>
          <w:p w14:paraId="4A151108" w14:textId="4FE924EF" w:rsidR="0009484F" w:rsidRPr="00C7272A" w:rsidRDefault="0009484F" w:rsidP="00547F04">
            <w:pPr>
              <w:spacing w:line="276" w:lineRule="auto"/>
              <w:jc w:val="center"/>
              <w:rPr>
                <w:rFonts w:eastAsia="Calibri"/>
                <w:sz w:val="20"/>
                <w:szCs w:val="20"/>
              </w:rPr>
            </w:pPr>
            <w:r w:rsidRPr="00C7272A">
              <w:rPr>
                <w:sz w:val="20"/>
                <w:szCs w:val="20"/>
              </w:rPr>
              <w:t>Random Forest</w:t>
            </w:r>
          </w:p>
        </w:tc>
        <w:tc>
          <w:tcPr>
            <w:tcW w:w="2911" w:type="dxa"/>
          </w:tcPr>
          <w:p w14:paraId="253B43DD" w14:textId="53A78BE3" w:rsidR="0009484F" w:rsidRPr="00B07E2B" w:rsidRDefault="0009484F" w:rsidP="00547F04">
            <w:pPr>
              <w:spacing w:line="276" w:lineRule="auto"/>
              <w:rPr>
                <w:rFonts w:eastAsia="Calibri"/>
                <w:sz w:val="18"/>
                <w:szCs w:val="18"/>
              </w:rPr>
            </w:pPr>
            <w:r w:rsidRPr="00B07E2B">
              <w:rPr>
                <w:sz w:val="18"/>
                <w:szCs w:val="18"/>
              </w:rPr>
              <w:t xml:space="preserve">Πρόβλεψη εγκεφαλικού οιδήματος </w:t>
            </w:r>
            <w:r w:rsidR="005403E6" w:rsidRPr="00B07E2B">
              <w:rPr>
                <w:sz w:val="18"/>
                <w:szCs w:val="18"/>
              </w:rPr>
              <w:t>από</w:t>
            </w:r>
            <w:r w:rsidRPr="00B07E2B">
              <w:rPr>
                <w:sz w:val="18"/>
                <w:szCs w:val="18"/>
              </w:rPr>
              <w:t xml:space="preserve"> τα επίπεδα όγκου του Εγκεφαλονωτιαίου υγρού (CSF)</w:t>
            </w:r>
          </w:p>
        </w:tc>
        <w:tc>
          <w:tcPr>
            <w:tcW w:w="1735" w:type="dxa"/>
          </w:tcPr>
          <w:p w14:paraId="6DA73499" w14:textId="69A607EC" w:rsidR="0009484F" w:rsidRPr="00C7272A" w:rsidRDefault="0009484F" w:rsidP="00547F04">
            <w:pPr>
              <w:spacing w:line="276" w:lineRule="auto"/>
              <w:jc w:val="center"/>
              <w:rPr>
                <w:rFonts w:eastAsia="Calibri"/>
                <w:sz w:val="20"/>
                <w:szCs w:val="20"/>
              </w:rPr>
            </w:pPr>
            <w:r w:rsidRPr="00C7272A">
              <w:rPr>
                <w:sz w:val="20"/>
                <w:szCs w:val="20"/>
              </w:rPr>
              <w:t>Ισχυρή συσχέτιση με μείωση CSF &amp; μέγεθος εμφράγματος</w:t>
            </w:r>
          </w:p>
        </w:tc>
      </w:tr>
      <w:tr w:rsidR="0009484F" w:rsidRPr="00A831E7" w14:paraId="3A620BB2" w14:textId="77777777" w:rsidTr="0009484F">
        <w:trPr>
          <w:tblHeader/>
        </w:trPr>
        <w:tc>
          <w:tcPr>
            <w:tcW w:w="1128" w:type="dxa"/>
          </w:tcPr>
          <w:p w14:paraId="1F1DDFB5" w14:textId="1D2CEE32" w:rsidR="0009484F" w:rsidRPr="00C7272A" w:rsidRDefault="0009484F" w:rsidP="00547F04">
            <w:pPr>
              <w:spacing w:line="276" w:lineRule="auto"/>
              <w:jc w:val="center"/>
              <w:rPr>
                <w:rFonts w:eastAsia="Calibri"/>
                <w:sz w:val="20"/>
                <w:szCs w:val="20"/>
              </w:rPr>
            </w:pPr>
            <w:r w:rsidRPr="00C7272A">
              <w:rPr>
                <w:sz w:val="20"/>
                <w:szCs w:val="20"/>
              </w:rPr>
              <w:t xml:space="preserve">Yu et al. </w:t>
            </w:r>
            <w:r w:rsidRPr="00C7272A">
              <w:rPr>
                <w:sz w:val="20"/>
                <w:szCs w:val="20"/>
              </w:rPr>
              <w:fldChar w:fldCharType="begin"/>
            </w:r>
            <w:r w:rsidR="00B22777" w:rsidRPr="00C7272A">
              <w:rPr>
                <w:sz w:val="20"/>
                <w:szCs w:val="20"/>
              </w:rPr>
              <w:instrText xml:space="preserve"> ADDIN ZOTERO_ITEM CSL_CITATION {"citationID":"Z4TFCn53","properties":{"formattedCitation":"[61]","plainCitation":"[61]","noteIndex":0},"citationItems":[{"id":1691,"uris":["http://zotero.org/users/local/mfHf28QG/items/DUS4LERZ"],"itemData":{"id":1691,"type":"article-journal","abstract":"Objective: Hemorrhagic transformation (HT) is the most severe complication of reperfusion therapy in acute ischemic stroke (AIS) patients. Management of AIS patients could benefit from accurate prediction of upcoming HT. While prediction of HT occurrence has recently provided encouraging results, the prediction of the severity and territory of the HT could bring valuable insights that are beyond current methods. Methods: This study tackles these issues and aims to predict the spatial occurrence of HT in AIS from perfusion-weighted magnetic resonance imaging (PWI) combined with diffusion weighted imaging. In all, 165 patients were included in this study and analyzed retrospectively from a cohort of AIS patients treated with reperfusion therapy in a single stroke center. Results: Machine learning models are compared within our framework; support vector machines, linear regression, decision trees, neural networks, and kernel spectral regression were applied to the dataset. Kernel spectral regression performed best with an accuracy of \\text83.7 \\pm \\text2.6%. Conclusion: The key contribution of our framework formalize HT prediction as a machine learning problem. Specifically, the model learns to extract imaging markers of HT directly from source PWI images rather than from pre-established metrics. Significance: Predictions visualized in terms of spatial likelihood of HT in various territories of the brain were evaluated against follow-up gradient recalled echo and provide novel insights for neurointerventionalists prior to endovascular therapy.","container-title":"IEEE Transactions on Biomedical Engineering","DOI":"10.1109/TBME.2017.2783241","ISSN":"1558-2531","issue":"9","page":"2058-2065","source":"IEEE Xplore","title":"Prediction of Hemorrhagic Transformation Severity in Acute Stroke From Source Perfusion MRI","volume":"65","author":[{"family":"Yu","given":"Yannan"},{"family":"Guo","given":"Danfeng"},{"family":"Lou","given":"Min"},{"family":"Liebeskind","given":"David"},{"family":"Scalzo","given":"Fabien"}],"issued":{"date-parts":[["2018",9]]}},"suppress-author":true}],"schema":"https://github.com/citation-style-language/schema/raw/master/csl-citation.json"} </w:instrText>
            </w:r>
            <w:r w:rsidRPr="00C7272A">
              <w:rPr>
                <w:sz w:val="20"/>
                <w:szCs w:val="20"/>
              </w:rPr>
              <w:fldChar w:fldCharType="separate"/>
            </w:r>
            <w:r w:rsidR="00B22777" w:rsidRPr="00C7272A">
              <w:rPr>
                <w:sz w:val="20"/>
                <w:szCs w:val="20"/>
              </w:rPr>
              <w:t>[61]</w:t>
            </w:r>
            <w:r w:rsidRPr="00C7272A">
              <w:rPr>
                <w:sz w:val="20"/>
                <w:szCs w:val="20"/>
              </w:rPr>
              <w:fldChar w:fldCharType="end"/>
            </w:r>
          </w:p>
        </w:tc>
        <w:tc>
          <w:tcPr>
            <w:tcW w:w="1024" w:type="dxa"/>
          </w:tcPr>
          <w:p w14:paraId="60D2895C" w14:textId="78E175CF" w:rsidR="0009484F" w:rsidRPr="00C7272A" w:rsidRDefault="0009484F" w:rsidP="00547F04">
            <w:pPr>
              <w:spacing w:line="276" w:lineRule="auto"/>
              <w:jc w:val="center"/>
              <w:rPr>
                <w:sz w:val="20"/>
                <w:szCs w:val="20"/>
              </w:rPr>
            </w:pPr>
            <w:r w:rsidRPr="00C7272A">
              <w:rPr>
                <w:sz w:val="20"/>
                <w:szCs w:val="20"/>
              </w:rPr>
              <w:t>PWI &amp; GRE</w:t>
            </w:r>
          </w:p>
        </w:tc>
        <w:tc>
          <w:tcPr>
            <w:tcW w:w="1504" w:type="dxa"/>
          </w:tcPr>
          <w:p w14:paraId="581BDF72" w14:textId="6D5B40D1" w:rsidR="0009484F" w:rsidRPr="00C7272A" w:rsidRDefault="0009484F" w:rsidP="00547F04">
            <w:pPr>
              <w:spacing w:line="276" w:lineRule="auto"/>
              <w:jc w:val="center"/>
              <w:rPr>
                <w:rFonts w:eastAsia="Calibri"/>
                <w:sz w:val="20"/>
                <w:szCs w:val="20"/>
              </w:rPr>
            </w:pPr>
            <w:r w:rsidRPr="00C7272A">
              <w:rPr>
                <w:sz w:val="20"/>
                <w:szCs w:val="20"/>
              </w:rPr>
              <w:t>Kernel Spectral Regression</w:t>
            </w:r>
          </w:p>
        </w:tc>
        <w:tc>
          <w:tcPr>
            <w:tcW w:w="2911" w:type="dxa"/>
          </w:tcPr>
          <w:p w14:paraId="4057F733" w14:textId="569964C9" w:rsidR="0009484F" w:rsidRPr="00B07E2B" w:rsidRDefault="0009484F" w:rsidP="00547F04">
            <w:pPr>
              <w:spacing w:line="276" w:lineRule="auto"/>
              <w:rPr>
                <w:rFonts w:eastAsia="Calibri"/>
                <w:sz w:val="18"/>
                <w:szCs w:val="18"/>
              </w:rPr>
            </w:pPr>
            <w:r w:rsidRPr="00B07E2B">
              <w:rPr>
                <w:sz w:val="18"/>
                <w:szCs w:val="18"/>
              </w:rPr>
              <w:t>Πρόβλεψη αιμορραγικής μετατροπής</w:t>
            </w:r>
            <w:r w:rsidR="00AA6E37" w:rsidRPr="00B07E2B">
              <w:rPr>
                <w:sz w:val="18"/>
                <w:szCs w:val="18"/>
              </w:rPr>
              <w:t xml:space="preserve"> ενός AIS μετά από επαναιμάτωση.</w:t>
            </w:r>
          </w:p>
        </w:tc>
        <w:tc>
          <w:tcPr>
            <w:tcW w:w="1735" w:type="dxa"/>
          </w:tcPr>
          <w:p w14:paraId="09B330C1" w14:textId="7B00C592" w:rsidR="0009484F" w:rsidRPr="00C7272A" w:rsidRDefault="0009484F" w:rsidP="00547F04">
            <w:pPr>
              <w:spacing w:line="276" w:lineRule="auto"/>
              <w:jc w:val="center"/>
              <w:rPr>
                <w:rFonts w:eastAsia="Calibri"/>
                <w:sz w:val="20"/>
                <w:szCs w:val="20"/>
              </w:rPr>
            </w:pPr>
            <w:r w:rsidRPr="00C7272A">
              <w:rPr>
                <w:sz w:val="20"/>
                <w:szCs w:val="20"/>
              </w:rPr>
              <w:t>Ακρίβεια = 84%</w:t>
            </w:r>
          </w:p>
        </w:tc>
      </w:tr>
    </w:tbl>
    <w:p w14:paraId="264BDC5B" w14:textId="77777777" w:rsidR="005038A0" w:rsidRPr="00A831E7" w:rsidRDefault="005038A0" w:rsidP="00B22777">
      <w:pPr>
        <w:pStyle w:val="af5"/>
        <w:rPr>
          <w:b/>
          <w:bCs/>
          <w:color w:val="auto"/>
          <w:sz w:val="20"/>
          <w:szCs w:val="20"/>
        </w:rPr>
      </w:pPr>
    </w:p>
    <w:p w14:paraId="707E651E" w14:textId="618AD64B" w:rsidR="00444A1E" w:rsidRPr="00A831E7" w:rsidRDefault="0091505C" w:rsidP="00547F04">
      <w:pPr>
        <w:pStyle w:val="af5"/>
        <w:jc w:val="center"/>
        <w:rPr>
          <w:rFonts w:eastAsia="Calibri"/>
          <w:b/>
          <w:bCs/>
          <w:color w:val="auto"/>
          <w:sz w:val="20"/>
          <w:szCs w:val="20"/>
        </w:rPr>
      </w:pPr>
      <w:bookmarkStart w:id="99" w:name="_Toc199787749"/>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14</w:t>
      </w:r>
      <w:r w:rsidRPr="00A831E7">
        <w:rPr>
          <w:b/>
          <w:bCs/>
          <w:color w:val="auto"/>
          <w:sz w:val="20"/>
          <w:szCs w:val="20"/>
        </w:rPr>
        <w:fldChar w:fldCharType="end"/>
      </w:r>
      <w:r w:rsidRPr="00A831E7">
        <w:rPr>
          <w:rFonts w:eastAsia="Calibri"/>
          <w:b/>
          <w:bCs/>
          <w:color w:val="auto"/>
          <w:sz w:val="20"/>
          <w:szCs w:val="20"/>
        </w:rPr>
        <w:t xml:space="preserve">: Πρόβλεψη Κλινικής Έκβασης </w:t>
      </w:r>
      <w:r w:rsidRPr="00A831E7">
        <w:rPr>
          <w:rFonts w:eastAsia="Calibri"/>
          <w:b/>
          <w:bCs/>
          <w:color w:val="auto"/>
          <w:sz w:val="20"/>
          <w:szCs w:val="20"/>
        </w:rPr>
        <w:fldChar w:fldCharType="begin"/>
      </w:r>
      <w:r w:rsidRPr="00A831E7">
        <w:rPr>
          <w:rFonts w:eastAsia="Calibri"/>
          <w:b/>
          <w:bCs/>
          <w:color w:val="auto"/>
          <w:sz w:val="20"/>
          <w:szCs w:val="20"/>
        </w:rPr>
        <w:instrText xml:space="preserve"> ADDIN ZOTERO_ITEM CSL_CITATION {"citationID":"xfn94BWg","properties":{"formattedCitation":"[26]","plainCitation":"[26]","noteIndex":0},"citationItems":[{"id":1211,"uris":["http://zotero.org/users/local/mfHf28QG/items/9FUW65EX"],"itemData":{"id":1211,"type":"article-journal","abstract":"Artificial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Pr="00A831E7">
        <w:rPr>
          <w:rFonts w:eastAsia="Calibri"/>
          <w:b/>
          <w:bCs/>
          <w:color w:val="auto"/>
          <w:sz w:val="20"/>
          <w:szCs w:val="20"/>
        </w:rPr>
        <w:fldChar w:fldCharType="separate"/>
      </w:r>
      <w:r w:rsidRPr="00A831E7">
        <w:rPr>
          <w:rFonts w:eastAsia="Calibri"/>
          <w:b/>
          <w:bCs/>
          <w:color w:val="auto"/>
          <w:sz w:val="20"/>
          <w:szCs w:val="20"/>
        </w:rPr>
        <w:t>[26]</w:t>
      </w:r>
      <w:bookmarkEnd w:id="99"/>
      <w:r w:rsidRPr="00A831E7">
        <w:rPr>
          <w:rFonts w:eastAsia="Calibri"/>
          <w:b/>
          <w:bCs/>
          <w:color w:val="auto"/>
          <w:sz w:val="20"/>
          <w:szCs w:val="20"/>
        </w:rPr>
        <w:fldChar w:fldCharType="end"/>
      </w:r>
    </w:p>
    <w:tbl>
      <w:tblPr>
        <w:tblStyle w:val="af0"/>
        <w:tblW w:w="0" w:type="auto"/>
        <w:tblLook w:val="04A0" w:firstRow="1" w:lastRow="0" w:firstColumn="1" w:lastColumn="0" w:noHBand="0" w:noVBand="1"/>
      </w:tblPr>
      <w:tblGrid>
        <w:gridCol w:w="1160"/>
        <w:gridCol w:w="1531"/>
        <w:gridCol w:w="3964"/>
        <w:gridCol w:w="1647"/>
      </w:tblGrid>
      <w:tr w:rsidR="00E95002" w:rsidRPr="00A831E7" w14:paraId="3586492C" w14:textId="77777777" w:rsidTr="0057069D">
        <w:trPr>
          <w:tblHeader/>
        </w:trPr>
        <w:tc>
          <w:tcPr>
            <w:tcW w:w="1160" w:type="dxa"/>
            <w:shd w:val="clear" w:color="auto" w:fill="D9D9D9" w:themeFill="background1" w:themeFillShade="D9"/>
          </w:tcPr>
          <w:p w14:paraId="5B70E6A6" w14:textId="473EA6BE" w:rsidR="00E95002" w:rsidRPr="00C7272A" w:rsidRDefault="00E95002" w:rsidP="00547F04">
            <w:pPr>
              <w:spacing w:line="276" w:lineRule="auto"/>
              <w:jc w:val="center"/>
              <w:rPr>
                <w:rFonts w:eastAsia="Calibri"/>
                <w:b/>
                <w:bCs/>
                <w:sz w:val="22"/>
                <w:szCs w:val="22"/>
              </w:rPr>
            </w:pPr>
            <w:r w:rsidRPr="00C7272A">
              <w:rPr>
                <w:b/>
                <w:bCs/>
                <w:sz w:val="22"/>
                <w:szCs w:val="22"/>
              </w:rPr>
              <w:t>Αναφορά</w:t>
            </w:r>
          </w:p>
        </w:tc>
        <w:tc>
          <w:tcPr>
            <w:tcW w:w="1531" w:type="dxa"/>
            <w:shd w:val="clear" w:color="auto" w:fill="D9D9D9" w:themeFill="background1" w:themeFillShade="D9"/>
          </w:tcPr>
          <w:p w14:paraId="154D648B" w14:textId="2829184B" w:rsidR="00E95002" w:rsidRPr="00A831E7" w:rsidRDefault="00E95002" w:rsidP="00547F04">
            <w:pPr>
              <w:spacing w:line="276" w:lineRule="auto"/>
              <w:jc w:val="center"/>
              <w:rPr>
                <w:rFonts w:eastAsia="Calibri"/>
                <w:b/>
                <w:bCs/>
                <w:sz w:val="20"/>
                <w:szCs w:val="20"/>
              </w:rPr>
            </w:pPr>
            <w:r w:rsidRPr="00A831E7">
              <w:rPr>
                <w:b/>
                <w:bCs/>
                <w:sz w:val="20"/>
                <w:szCs w:val="20"/>
              </w:rPr>
              <w:t>Μεθοδολογία</w:t>
            </w:r>
          </w:p>
        </w:tc>
        <w:tc>
          <w:tcPr>
            <w:tcW w:w="3964" w:type="dxa"/>
            <w:shd w:val="clear" w:color="auto" w:fill="D9D9D9" w:themeFill="background1" w:themeFillShade="D9"/>
          </w:tcPr>
          <w:p w14:paraId="5516F419" w14:textId="6B4C61CF" w:rsidR="00E95002" w:rsidRPr="00A831E7" w:rsidRDefault="00E95002" w:rsidP="00547F04">
            <w:pPr>
              <w:spacing w:line="276" w:lineRule="auto"/>
              <w:jc w:val="center"/>
              <w:rPr>
                <w:rFonts w:eastAsia="Calibri"/>
                <w:b/>
                <w:bCs/>
                <w:sz w:val="20"/>
                <w:szCs w:val="20"/>
              </w:rPr>
            </w:pPr>
            <w:r w:rsidRPr="00A831E7">
              <w:rPr>
                <w:b/>
                <w:bCs/>
                <w:sz w:val="20"/>
                <w:szCs w:val="20"/>
              </w:rPr>
              <w:t>Αποτελέσματα</w:t>
            </w:r>
          </w:p>
        </w:tc>
        <w:tc>
          <w:tcPr>
            <w:tcW w:w="1647" w:type="dxa"/>
            <w:shd w:val="clear" w:color="auto" w:fill="D9D9D9" w:themeFill="background1" w:themeFillShade="D9"/>
          </w:tcPr>
          <w:p w14:paraId="6C9F477C" w14:textId="25C6017C" w:rsidR="00E95002" w:rsidRPr="00A831E7" w:rsidRDefault="00E95002" w:rsidP="00547F04">
            <w:pPr>
              <w:spacing w:line="276" w:lineRule="auto"/>
              <w:jc w:val="center"/>
              <w:rPr>
                <w:rFonts w:eastAsia="Calibri"/>
                <w:b/>
                <w:bCs/>
                <w:sz w:val="20"/>
                <w:szCs w:val="20"/>
              </w:rPr>
            </w:pPr>
            <w:r w:rsidRPr="00A831E7">
              <w:rPr>
                <w:b/>
                <w:bCs/>
                <w:sz w:val="20"/>
                <w:szCs w:val="20"/>
              </w:rPr>
              <w:t>Δείκτης Αξιολόγησης</w:t>
            </w:r>
          </w:p>
        </w:tc>
      </w:tr>
      <w:tr w:rsidR="00E95002" w:rsidRPr="00A831E7" w14:paraId="0D1A1C18" w14:textId="77777777" w:rsidTr="00262127">
        <w:trPr>
          <w:tblHeader/>
        </w:trPr>
        <w:tc>
          <w:tcPr>
            <w:tcW w:w="1160" w:type="dxa"/>
          </w:tcPr>
          <w:p w14:paraId="7BB1F0D3" w14:textId="73865FCB" w:rsidR="00E95002" w:rsidRPr="00547F04" w:rsidRDefault="00E95002" w:rsidP="00547F04">
            <w:pPr>
              <w:spacing w:line="276" w:lineRule="auto"/>
              <w:jc w:val="center"/>
              <w:rPr>
                <w:rFonts w:eastAsia="Calibri"/>
                <w:sz w:val="20"/>
                <w:szCs w:val="20"/>
              </w:rPr>
            </w:pPr>
            <w:r w:rsidRPr="00547F04">
              <w:rPr>
                <w:sz w:val="20"/>
                <w:szCs w:val="20"/>
              </w:rPr>
              <w:t xml:space="preserve">Tang et al. </w:t>
            </w:r>
            <w:r w:rsidR="00611D87" w:rsidRPr="00547F04">
              <w:rPr>
                <w:sz w:val="20"/>
                <w:szCs w:val="20"/>
              </w:rPr>
              <w:fldChar w:fldCharType="begin"/>
            </w:r>
            <w:r w:rsidR="00B22777" w:rsidRPr="00547F04">
              <w:rPr>
                <w:sz w:val="20"/>
                <w:szCs w:val="20"/>
              </w:rPr>
              <w:instrText xml:space="preserve"> ADDIN ZOTERO_ITEM CSL_CITATION {"citationID":"rvpu4a7m","properties":{"formattedCitation":"[62]","plainCitation":"[62]","noteIndex":0},"citationItems":[{"id":1693,"uris":["http://zotero.org/users/local/mfHf28QG/items/PRF5KWG4"],"itemData":{"id":1693,"type":"article-journal","container-title":"eBioMedicine","DOI":"10.1016/j.ebiom.2018.07.028","ISSN":"2352-3964","journalAbbreviation":"eBioMedicine","language":"English","note":"publisher: Elsevier\nPMID: 30146341","page":"251-259","source":"www.thelancet.com","title":"Development and validation of a penumbra-based predictive model for thrombolysis outcome in acute ischemic stroke patients","volume":"35","author":[{"family":"Tang","given":"Tian-Yu"},{"family":"Jiao","given":"Yun"},{"family":"Cui","given":"Ying"},{"family":"Zeng","given":"Chu-Hui"},{"family":"Zhao","given":"Deng-Ling"},{"family":"Zhang","given":"Yi"},{"family":"Peng","given":"Cheng-Yu"},{"family":"Yin","given":"Xin-Dao"},{"family":"Gao","given":"Pei-Yi"},{"family":"Yang","given":"Yun-Jun"},{"family":"Ju","given":"Sheng-Hong"},{"family":"Teng","given":"Gao-Jun"}],"issued":{"date-parts":[["2018",9,1]]}},"suppress-author":true}],"schema":"https://github.com/citation-style-language/schema/raw/master/csl-citation.json"} </w:instrText>
            </w:r>
            <w:r w:rsidR="00611D87" w:rsidRPr="00547F04">
              <w:rPr>
                <w:sz w:val="20"/>
                <w:szCs w:val="20"/>
              </w:rPr>
              <w:fldChar w:fldCharType="separate"/>
            </w:r>
            <w:r w:rsidR="00B22777" w:rsidRPr="00547F04">
              <w:rPr>
                <w:sz w:val="20"/>
                <w:szCs w:val="20"/>
              </w:rPr>
              <w:t>[62]</w:t>
            </w:r>
            <w:r w:rsidR="00611D87" w:rsidRPr="00547F04">
              <w:rPr>
                <w:sz w:val="20"/>
                <w:szCs w:val="20"/>
              </w:rPr>
              <w:fldChar w:fldCharType="end"/>
            </w:r>
          </w:p>
        </w:tc>
        <w:tc>
          <w:tcPr>
            <w:tcW w:w="1531" w:type="dxa"/>
          </w:tcPr>
          <w:p w14:paraId="7470D8AB" w14:textId="4A6D93CA" w:rsidR="00E95002" w:rsidRPr="00B07E2B" w:rsidRDefault="00E95002" w:rsidP="00547F04">
            <w:pPr>
              <w:spacing w:line="276" w:lineRule="auto"/>
              <w:jc w:val="center"/>
              <w:rPr>
                <w:rFonts w:eastAsia="Calibri"/>
                <w:sz w:val="18"/>
                <w:szCs w:val="18"/>
              </w:rPr>
            </w:pPr>
            <w:r w:rsidRPr="00B07E2B">
              <w:rPr>
                <w:sz w:val="18"/>
                <w:szCs w:val="18"/>
              </w:rPr>
              <w:t>Logistic Regression ML</w:t>
            </w:r>
          </w:p>
        </w:tc>
        <w:tc>
          <w:tcPr>
            <w:tcW w:w="3964" w:type="dxa"/>
          </w:tcPr>
          <w:p w14:paraId="28350871" w14:textId="08573481" w:rsidR="00E95002" w:rsidRPr="00B07E2B" w:rsidRDefault="00E95002" w:rsidP="00547F04">
            <w:pPr>
              <w:spacing w:line="276" w:lineRule="auto"/>
              <w:rPr>
                <w:rFonts w:eastAsia="Calibri"/>
                <w:sz w:val="18"/>
                <w:szCs w:val="18"/>
                <w:lang w:val="en-US"/>
              </w:rPr>
            </w:pPr>
            <w:r w:rsidRPr="00B07E2B">
              <w:rPr>
                <w:sz w:val="18"/>
                <w:szCs w:val="18"/>
              </w:rPr>
              <w:t>Πρόβλεψη</w:t>
            </w:r>
            <w:r w:rsidRPr="00B07E2B">
              <w:rPr>
                <w:sz w:val="18"/>
                <w:szCs w:val="18"/>
                <w:lang w:val="en-US"/>
              </w:rPr>
              <w:t xml:space="preserve"> </w:t>
            </w:r>
            <w:r w:rsidRPr="00B07E2B">
              <w:rPr>
                <w:sz w:val="18"/>
                <w:szCs w:val="18"/>
              </w:rPr>
              <w:t>ανάρρωσης</w:t>
            </w:r>
            <w:r w:rsidRPr="00B07E2B">
              <w:rPr>
                <w:sz w:val="18"/>
                <w:szCs w:val="18"/>
                <w:lang w:val="en-US"/>
              </w:rPr>
              <w:t xml:space="preserve"> (</w:t>
            </w:r>
            <w:r w:rsidR="00AA6E37" w:rsidRPr="00B07E2B">
              <w:rPr>
                <w:sz w:val="18"/>
                <w:szCs w:val="18"/>
                <w:lang w:val="en-US"/>
              </w:rPr>
              <w:t xml:space="preserve">modified Rankin scale - </w:t>
            </w:r>
            <w:r w:rsidRPr="00B07E2B">
              <w:rPr>
                <w:sz w:val="18"/>
                <w:szCs w:val="18"/>
                <w:lang w:val="en-US"/>
              </w:rPr>
              <w:t xml:space="preserve">mRS </w:t>
            </w:r>
            <w:r w:rsidRPr="00B07E2B">
              <w:rPr>
                <w:sz w:val="18"/>
                <w:szCs w:val="18"/>
              </w:rPr>
              <w:t>ημέρα</w:t>
            </w:r>
            <w:r w:rsidRPr="00B07E2B">
              <w:rPr>
                <w:sz w:val="18"/>
                <w:szCs w:val="18"/>
                <w:lang w:val="en-US"/>
              </w:rPr>
              <w:t xml:space="preserve"> 7 &amp; 90)</w:t>
            </w:r>
          </w:p>
        </w:tc>
        <w:tc>
          <w:tcPr>
            <w:tcW w:w="1647" w:type="dxa"/>
          </w:tcPr>
          <w:p w14:paraId="15919552" w14:textId="66D540FB" w:rsidR="00E95002" w:rsidRPr="00C7272A" w:rsidRDefault="00E95002" w:rsidP="00547F04">
            <w:pPr>
              <w:spacing w:line="276" w:lineRule="auto"/>
              <w:jc w:val="center"/>
              <w:rPr>
                <w:rFonts w:eastAsia="Calibri"/>
                <w:sz w:val="20"/>
                <w:szCs w:val="20"/>
              </w:rPr>
            </w:pPr>
            <w:r w:rsidRPr="00C7272A">
              <w:rPr>
                <w:sz w:val="20"/>
                <w:szCs w:val="20"/>
              </w:rPr>
              <w:t>AUC = 0.863</w:t>
            </w:r>
          </w:p>
        </w:tc>
      </w:tr>
      <w:tr w:rsidR="00E95002" w:rsidRPr="00A831E7" w14:paraId="4F6655AC" w14:textId="77777777" w:rsidTr="00262127">
        <w:trPr>
          <w:tblHeader/>
        </w:trPr>
        <w:tc>
          <w:tcPr>
            <w:tcW w:w="1160" w:type="dxa"/>
          </w:tcPr>
          <w:p w14:paraId="3DB48C20" w14:textId="3066A0F9" w:rsidR="00E95002" w:rsidRPr="00547F04" w:rsidRDefault="00E95002" w:rsidP="00547F04">
            <w:pPr>
              <w:spacing w:line="276" w:lineRule="auto"/>
              <w:jc w:val="center"/>
              <w:rPr>
                <w:rFonts w:eastAsia="Calibri"/>
                <w:sz w:val="20"/>
                <w:szCs w:val="20"/>
              </w:rPr>
            </w:pPr>
            <w:r w:rsidRPr="00547F04">
              <w:rPr>
                <w:sz w:val="20"/>
                <w:szCs w:val="20"/>
              </w:rPr>
              <w:t xml:space="preserve">Rehme et al. </w:t>
            </w:r>
            <w:r w:rsidR="00611D87" w:rsidRPr="00547F04">
              <w:rPr>
                <w:sz w:val="20"/>
                <w:szCs w:val="20"/>
              </w:rPr>
              <w:fldChar w:fldCharType="begin"/>
            </w:r>
            <w:r w:rsidR="00B22777" w:rsidRPr="00547F04">
              <w:rPr>
                <w:sz w:val="20"/>
                <w:szCs w:val="20"/>
              </w:rPr>
              <w:instrText xml:space="preserve"> ADDIN ZOTERO_ITEM CSL_CITATION {"citationID":"VE21peF9","properties":{"formattedCitation":"[63]","plainCitation":"[63]","noteIndex":0},"citationItems":[{"id":1696,"uris":["http://zotero.org/users/local/mfHf28QG/items/FWQBA2S8"],"itemData":{"id":1696,"type":"article-journal","abstract":"Conventional mass-univariate analyses have been previously used to test for group differences in neural signals. However, machine learning algorithms represent a multivariate decoding approach that may help to identify neuroimaging patterns associated with functional impairment in “individual” patients. We investigated whether fMRI allows classification of individual motor impairment after stroke using support vector machines (SVMs). Forty acute stroke patients and 20 control subjects underwent resting-state fMRI. Half of the patients showed significant impairment in hand motor function. Resting-state connectivity was computed by means of whole-brain correlations of seed time-courses in ipsilesional primary motor cortex (M1). Lesion location was identified using diffusion-weighted images. These features were used for linear SVM classification of unseen patients with respect to motor impairment. SVM results were compared with conventional mass-univariate analyses. Resting-state connectivity classified patients with hand motor deficits compared with controls and nonimpaired patients with 82.6–87.6% accuracy. Classification was driven by reduced interhemispheric M1 connectivity and enhanced connectivity between ipsilesional M1 and premotor areas. In contrast, lesion location provided only 50% sensitivity to classify impaired patients. Hence, resting-state fMRI reflects behavioral deficits more accurately than structural MRI. In conclusion, multivariate fMRI analyses offer the potential to serve as markers for endophenotypes of functional impairment.","container-title":"Cerebral Cortex","DOI":"10.1093/cercor/bhu100","ISSN":"1047-3211","issue":"9","journalAbbreviation":"Cerebral Cortex","page":"3046-3056","source":"Silverchair","title":"Identifying Neuroimaging Markers of Motor Disability in Acute Stroke by Machine Learning Techniques","volume":"25","author":[{"family":"Rehme","given":"A. K."},{"family":"Volz","given":"L. J."},{"family":"Feis","given":"D.-L."},{"family":"Bomilcar-Focke","given":"I."},{"family":"Liebig","given":"T."},{"family":"Eickhoff","given":"S. B."},{"family":"Fink","given":"G. R."},{"family":"Grefkes","given":"C."}],"issued":{"date-parts":[["2015",9,1]]}},"suppress-author":true}],"schema":"https://github.com/citation-style-language/schema/raw/master/csl-citation.json"} </w:instrText>
            </w:r>
            <w:r w:rsidR="00611D87" w:rsidRPr="00547F04">
              <w:rPr>
                <w:sz w:val="20"/>
                <w:szCs w:val="20"/>
              </w:rPr>
              <w:fldChar w:fldCharType="separate"/>
            </w:r>
            <w:r w:rsidR="00B22777" w:rsidRPr="00547F04">
              <w:rPr>
                <w:sz w:val="20"/>
                <w:szCs w:val="20"/>
              </w:rPr>
              <w:t>[63]</w:t>
            </w:r>
            <w:r w:rsidR="00611D87" w:rsidRPr="00547F04">
              <w:rPr>
                <w:sz w:val="20"/>
                <w:szCs w:val="20"/>
              </w:rPr>
              <w:fldChar w:fldCharType="end"/>
            </w:r>
          </w:p>
        </w:tc>
        <w:tc>
          <w:tcPr>
            <w:tcW w:w="1531" w:type="dxa"/>
          </w:tcPr>
          <w:p w14:paraId="5270856F" w14:textId="32B78364" w:rsidR="00E95002" w:rsidRPr="00B07E2B" w:rsidRDefault="00E95002" w:rsidP="00547F04">
            <w:pPr>
              <w:spacing w:line="276" w:lineRule="auto"/>
              <w:jc w:val="center"/>
              <w:rPr>
                <w:rFonts w:eastAsia="Calibri"/>
                <w:sz w:val="18"/>
                <w:szCs w:val="18"/>
              </w:rPr>
            </w:pPr>
            <w:r w:rsidRPr="00B07E2B">
              <w:rPr>
                <w:sz w:val="18"/>
                <w:szCs w:val="18"/>
              </w:rPr>
              <w:t>SVM</w:t>
            </w:r>
          </w:p>
        </w:tc>
        <w:tc>
          <w:tcPr>
            <w:tcW w:w="3964" w:type="dxa"/>
          </w:tcPr>
          <w:p w14:paraId="41BBDD0C" w14:textId="6FCAF2D8" w:rsidR="00E95002" w:rsidRPr="00B07E2B" w:rsidRDefault="00AA6E37" w:rsidP="00547F04">
            <w:pPr>
              <w:spacing w:line="276" w:lineRule="auto"/>
              <w:rPr>
                <w:rFonts w:eastAsia="Calibri"/>
                <w:sz w:val="18"/>
                <w:szCs w:val="18"/>
              </w:rPr>
            </w:pPr>
            <w:r w:rsidRPr="00B07E2B">
              <w:rPr>
                <w:sz w:val="18"/>
                <w:szCs w:val="18"/>
              </w:rPr>
              <w:t>DWI &amp; fMRI για τ</w:t>
            </w:r>
            <w:r w:rsidR="00E95002" w:rsidRPr="00B07E2B">
              <w:rPr>
                <w:sz w:val="18"/>
                <w:szCs w:val="18"/>
              </w:rPr>
              <w:t>αξινόμηση ασθενών</w:t>
            </w:r>
            <w:r w:rsidRPr="00B07E2B">
              <w:rPr>
                <w:sz w:val="18"/>
                <w:szCs w:val="18"/>
              </w:rPr>
              <w:t xml:space="preserve"> ΑΕΕ</w:t>
            </w:r>
            <w:r w:rsidR="00E95002" w:rsidRPr="00B07E2B">
              <w:rPr>
                <w:sz w:val="18"/>
                <w:szCs w:val="18"/>
              </w:rPr>
              <w:t xml:space="preserve"> με κινητικ</w:t>
            </w:r>
            <w:r w:rsidRPr="00B07E2B">
              <w:rPr>
                <w:sz w:val="18"/>
                <w:szCs w:val="18"/>
              </w:rPr>
              <w:t>ές δυσκολίες άκρων</w:t>
            </w:r>
          </w:p>
        </w:tc>
        <w:tc>
          <w:tcPr>
            <w:tcW w:w="1647" w:type="dxa"/>
          </w:tcPr>
          <w:p w14:paraId="5F1BFA83" w14:textId="35BB7D7A" w:rsidR="00E95002" w:rsidRPr="00C7272A" w:rsidRDefault="00E95002" w:rsidP="00547F04">
            <w:pPr>
              <w:spacing w:line="276" w:lineRule="auto"/>
              <w:jc w:val="center"/>
              <w:rPr>
                <w:rFonts w:eastAsia="Calibri"/>
                <w:sz w:val="20"/>
                <w:szCs w:val="20"/>
              </w:rPr>
            </w:pPr>
            <w:r w:rsidRPr="00C7272A">
              <w:rPr>
                <w:sz w:val="20"/>
                <w:szCs w:val="20"/>
              </w:rPr>
              <w:t>Ακρίβεια = 88%</w:t>
            </w:r>
          </w:p>
        </w:tc>
      </w:tr>
    </w:tbl>
    <w:p w14:paraId="60E49D2B" w14:textId="77777777" w:rsidR="00C7272A" w:rsidRDefault="00C7272A" w:rsidP="00B07E2B">
      <w:pPr>
        <w:rPr>
          <w:rFonts w:eastAsia="Calibri"/>
        </w:rPr>
      </w:pPr>
    </w:p>
    <w:p w14:paraId="78707BFF" w14:textId="77777777" w:rsidR="00547F04" w:rsidRDefault="00547F04" w:rsidP="00B07E2B">
      <w:pPr>
        <w:rPr>
          <w:rFonts w:eastAsia="Calibri"/>
        </w:rPr>
      </w:pPr>
    </w:p>
    <w:p w14:paraId="57DCD0C4" w14:textId="77777777" w:rsidR="002F25E2" w:rsidRDefault="002F25E2" w:rsidP="00B07E2B">
      <w:pPr>
        <w:rPr>
          <w:rFonts w:eastAsia="Calibri"/>
        </w:rPr>
      </w:pPr>
    </w:p>
    <w:p w14:paraId="67E51969" w14:textId="4E730BF7" w:rsidR="0066323E" w:rsidRPr="00A831E7" w:rsidRDefault="0066323E" w:rsidP="00667F5D">
      <w:pPr>
        <w:pStyle w:val="2"/>
        <w:spacing w:line="360" w:lineRule="auto"/>
        <w:rPr>
          <w:rFonts w:ascii="Times New Roman" w:eastAsia="Calibri" w:hAnsi="Times New Roman" w:cs="Times New Roman"/>
          <w:b/>
          <w:bCs/>
          <w:i/>
          <w:iCs/>
          <w:color w:val="auto"/>
          <w:sz w:val="28"/>
          <w:szCs w:val="28"/>
        </w:rPr>
      </w:pPr>
      <w:bookmarkStart w:id="100" w:name="_Toc199787401"/>
      <w:bookmarkStart w:id="101" w:name="_Toc199946472"/>
      <w:r w:rsidRPr="00A831E7">
        <w:rPr>
          <w:rFonts w:ascii="Times New Roman" w:eastAsia="Calibri" w:hAnsi="Times New Roman" w:cs="Times New Roman"/>
          <w:b/>
          <w:bCs/>
          <w:i/>
          <w:iCs/>
          <w:color w:val="auto"/>
          <w:sz w:val="28"/>
          <w:szCs w:val="28"/>
        </w:rPr>
        <w:t>3</w:t>
      </w:r>
      <w:r w:rsidR="000C1BEC" w:rsidRPr="00A831E7">
        <w:rPr>
          <w:rFonts w:ascii="Times New Roman" w:eastAsia="Calibri" w:hAnsi="Times New Roman" w:cs="Times New Roman"/>
          <w:b/>
          <w:bCs/>
          <w:i/>
          <w:iCs/>
          <w:color w:val="auto"/>
          <w:sz w:val="28"/>
          <w:szCs w:val="28"/>
        </w:rPr>
        <w:t>.</w:t>
      </w:r>
      <w:r w:rsidR="005F5AD6" w:rsidRPr="00A831E7">
        <w:rPr>
          <w:rFonts w:ascii="Times New Roman" w:eastAsia="Calibri" w:hAnsi="Times New Roman" w:cs="Times New Roman"/>
          <w:b/>
          <w:bCs/>
          <w:i/>
          <w:iCs/>
          <w:color w:val="auto"/>
          <w:sz w:val="28"/>
          <w:szCs w:val="28"/>
        </w:rPr>
        <w:t>4</w:t>
      </w:r>
      <w:r w:rsidR="000C1BEC" w:rsidRPr="00A831E7">
        <w:rPr>
          <w:rFonts w:ascii="Times New Roman" w:eastAsia="Calibri" w:hAnsi="Times New Roman" w:cs="Times New Roman"/>
          <w:b/>
          <w:bCs/>
          <w:i/>
          <w:iCs/>
          <w:color w:val="auto"/>
          <w:sz w:val="28"/>
          <w:szCs w:val="28"/>
        </w:rPr>
        <w:t xml:space="preserve"> </w:t>
      </w:r>
      <w:r w:rsidR="00D61570" w:rsidRPr="00A831E7">
        <w:rPr>
          <w:rFonts w:ascii="Times New Roman" w:eastAsia="Calibri" w:hAnsi="Times New Roman" w:cs="Times New Roman"/>
          <w:b/>
          <w:bCs/>
          <w:i/>
          <w:iCs/>
          <w:color w:val="auto"/>
          <w:sz w:val="28"/>
          <w:szCs w:val="28"/>
        </w:rPr>
        <w:t>Κινητές Μονάδες Εγκεφαλικού Επεισοδίου (</w:t>
      </w:r>
      <w:r w:rsidR="00D61570" w:rsidRPr="00A831E7">
        <w:rPr>
          <w:rFonts w:ascii="Times New Roman" w:hAnsi="Times New Roman" w:cs="Times New Roman"/>
          <w:b/>
          <w:bCs/>
          <w:i/>
          <w:iCs/>
          <w:color w:val="auto"/>
          <w:sz w:val="28"/>
          <w:szCs w:val="28"/>
        </w:rPr>
        <w:t>Mobile Stroke Units</w:t>
      </w:r>
      <w:r w:rsidR="00D61570" w:rsidRPr="00A831E7">
        <w:rPr>
          <w:rFonts w:ascii="Times New Roman" w:eastAsia="Calibri" w:hAnsi="Times New Roman" w:cs="Times New Roman"/>
          <w:b/>
          <w:bCs/>
          <w:i/>
          <w:iCs/>
          <w:color w:val="auto"/>
          <w:sz w:val="28"/>
          <w:szCs w:val="28"/>
        </w:rPr>
        <w:t xml:space="preserve"> -MSUs)</w:t>
      </w:r>
      <w:r w:rsidR="00D61570" w:rsidRPr="00A831E7">
        <w:rPr>
          <w:rFonts w:ascii="Times New Roman" w:hAnsi="Times New Roman" w:cs="Times New Roman"/>
          <w:b/>
          <w:bCs/>
          <w:i/>
          <w:iCs/>
          <w:color w:val="auto"/>
          <w:sz w:val="28"/>
          <w:szCs w:val="28"/>
        </w:rPr>
        <w:t xml:space="preserve"> σε Point-of-Care</w:t>
      </w:r>
      <w:r w:rsidR="0057069D" w:rsidRPr="00A831E7">
        <w:rPr>
          <w:rFonts w:ascii="Times New Roman" w:hAnsi="Times New Roman" w:cs="Times New Roman"/>
          <w:b/>
          <w:bCs/>
          <w:i/>
          <w:iCs/>
          <w:color w:val="auto"/>
          <w:sz w:val="28"/>
          <w:szCs w:val="28"/>
        </w:rPr>
        <w:t xml:space="preserve"> </w:t>
      </w:r>
      <w:r w:rsidR="00D61570" w:rsidRPr="00A831E7">
        <w:rPr>
          <w:rFonts w:ascii="Times New Roman" w:hAnsi="Times New Roman" w:cs="Times New Roman"/>
          <w:b/>
          <w:bCs/>
          <w:i/>
          <w:iCs/>
          <w:color w:val="auto"/>
          <w:sz w:val="28"/>
          <w:szCs w:val="28"/>
        </w:rPr>
        <w:t>(P</w:t>
      </w:r>
      <w:r w:rsidR="007273FF" w:rsidRPr="00A831E7">
        <w:rPr>
          <w:rFonts w:ascii="Times New Roman" w:hAnsi="Times New Roman" w:cs="Times New Roman"/>
          <w:b/>
          <w:bCs/>
          <w:i/>
          <w:iCs/>
          <w:color w:val="auto"/>
          <w:sz w:val="28"/>
          <w:szCs w:val="28"/>
        </w:rPr>
        <w:t>o</w:t>
      </w:r>
      <w:r w:rsidR="00D61570" w:rsidRPr="00A831E7">
        <w:rPr>
          <w:rFonts w:ascii="Times New Roman" w:hAnsi="Times New Roman" w:cs="Times New Roman"/>
          <w:b/>
          <w:bCs/>
          <w:i/>
          <w:iCs/>
          <w:color w:val="auto"/>
          <w:sz w:val="28"/>
          <w:szCs w:val="28"/>
        </w:rPr>
        <w:t>C) διάγνωση ΑΕΕ</w:t>
      </w:r>
      <w:bookmarkEnd w:id="100"/>
      <w:bookmarkEnd w:id="101"/>
    </w:p>
    <w:p w14:paraId="7BD02A52" w14:textId="6066D352" w:rsidR="00F0022D" w:rsidRPr="00A831E7" w:rsidRDefault="00D61570" w:rsidP="00F32EEE">
      <w:pPr>
        <w:spacing w:line="360" w:lineRule="auto"/>
        <w:jc w:val="both"/>
        <w:rPr>
          <w:rFonts w:eastAsia="Calibri"/>
        </w:rPr>
      </w:pPr>
      <w:r w:rsidRPr="00A831E7">
        <w:rPr>
          <w:rFonts w:eastAsia="Calibri"/>
        </w:rPr>
        <w:tab/>
      </w:r>
      <w:bookmarkStart w:id="102" w:name="_Hlk198137077"/>
      <w:r w:rsidR="00F0022D" w:rsidRPr="00A831E7">
        <w:rPr>
          <w:rFonts w:eastAsia="Calibri"/>
        </w:rPr>
        <w:t>Οι κλασικές μέθοδοι απεικόνισης CT και MRI, είναι καθιερωμένα εργαλεία για τη διάγνωσ</w:t>
      </w:r>
      <w:bookmarkEnd w:id="102"/>
      <w:r w:rsidR="00F0022D" w:rsidRPr="00A831E7">
        <w:rPr>
          <w:rFonts w:eastAsia="Calibri"/>
        </w:rPr>
        <w:t>η του ΑΕΕ, όμως η αποκλειστική τους χρήση σε νοσοκομειακά περιβάλλοντα περιορίζει την αποτελεσματικότητά τους στην πρωτοβάθμια περίθαλψη. Οι Κινητές Μονάδες Εγκεφαλικού (MSUs) δημιουργήθηκαν για να καλύψουν αυτό το κενό</w:t>
      </w:r>
      <w:r w:rsidR="00E26281" w:rsidRPr="00A831E7">
        <w:rPr>
          <w:rFonts w:eastAsia="Calibri"/>
        </w:rPr>
        <w:t>.</w:t>
      </w:r>
      <w:bookmarkStart w:id="103" w:name="_Hlk198027459"/>
      <w:r w:rsidR="00E26281" w:rsidRPr="00A831E7">
        <w:rPr>
          <w:rFonts w:eastAsia="Calibri"/>
        </w:rPr>
        <w:t xml:space="preserve"> Διευκολύνουν τη διαλογή, παρέχοντας δ</w:t>
      </w:r>
      <w:bookmarkEnd w:id="103"/>
      <w:r w:rsidR="00E26281" w:rsidRPr="00A831E7">
        <w:rPr>
          <w:rFonts w:eastAsia="Calibri"/>
        </w:rPr>
        <w:t>ιαγνωστικές δυνατότητες, όπως οι</w:t>
      </w:r>
      <w:r w:rsidR="00F0022D" w:rsidRPr="00A831E7">
        <w:rPr>
          <w:rFonts w:eastAsia="Calibri"/>
        </w:rPr>
        <w:t xml:space="preserve"> απεικ</w:t>
      </w:r>
      <w:r w:rsidR="00E26281" w:rsidRPr="00A831E7">
        <w:rPr>
          <w:rFonts w:eastAsia="Calibri"/>
        </w:rPr>
        <w:t>ο</w:t>
      </w:r>
      <w:r w:rsidR="00F0022D" w:rsidRPr="00A831E7">
        <w:rPr>
          <w:rFonts w:eastAsia="Calibri"/>
        </w:rPr>
        <w:t>νισ</w:t>
      </w:r>
      <w:r w:rsidR="00E26281" w:rsidRPr="00A831E7">
        <w:rPr>
          <w:rFonts w:eastAsia="Calibri"/>
        </w:rPr>
        <w:t xml:space="preserve">τικές εξετάσεις, και  </w:t>
      </w:r>
      <w:r w:rsidR="00F0022D" w:rsidRPr="00A831E7">
        <w:rPr>
          <w:rFonts w:eastAsia="Calibri"/>
        </w:rPr>
        <w:t xml:space="preserve">άμεση χορήγηση </w:t>
      </w:r>
      <w:r w:rsidR="00E26281" w:rsidRPr="00A831E7">
        <w:rPr>
          <w:rFonts w:eastAsia="Calibri"/>
        </w:rPr>
        <w:t xml:space="preserve">θρομβολυτικής </w:t>
      </w:r>
      <w:r w:rsidR="00F0022D" w:rsidRPr="00A831E7">
        <w:rPr>
          <w:rFonts w:eastAsia="Calibri"/>
        </w:rPr>
        <w:t>θεραπείας πριν από τη μεταφορά του ασθενούς στο νοσοκομείο</w:t>
      </w:r>
      <w:r w:rsidRPr="00A831E7">
        <w:rPr>
          <w:rFonts w:eastAsia="Calibri"/>
        </w:rPr>
        <w:t>. Είναι εξοπλισμένες με αξονικό τομογράφο (CT), δυνατότητες τηλεϊατρικής και παρέχουν P</w:t>
      </w:r>
      <w:r w:rsidR="007273FF" w:rsidRPr="00A831E7">
        <w:rPr>
          <w:rFonts w:eastAsia="Calibri"/>
        </w:rPr>
        <w:t>o</w:t>
      </w:r>
      <w:r w:rsidRPr="00A831E7">
        <w:rPr>
          <w:rFonts w:eastAsia="Calibri"/>
        </w:rPr>
        <w:t>C εργαστηριακές εξετάσεις, μειώνοντας σημαντικά το χρόνο μεταξύ της έναρξης ενός ΑΕΕ και της θεραπείας αυτού</w:t>
      </w:r>
      <w:r w:rsidR="00F0022D" w:rsidRPr="00A831E7">
        <w:rPr>
          <w:rFonts w:eastAsia="Calibri"/>
        </w:rPr>
        <w:t xml:space="preserve"> </w:t>
      </w:r>
      <w:r w:rsidR="00F0022D" w:rsidRPr="00A831E7">
        <w:rPr>
          <w:rFonts w:eastAsia="Calibri"/>
        </w:rPr>
        <w:fldChar w:fldCharType="begin"/>
      </w:r>
      <w:r w:rsidR="00F0022D" w:rsidRPr="00A831E7">
        <w:rPr>
          <w:rFonts w:eastAsia="Calibri"/>
        </w:rPr>
        <w:instrText xml:space="preserve"> ADDIN ZOTERO_ITEM CSL_CITATION {"citationID":"fMMVpML9","properties":{"formattedCitation":"[19]","plainCitation":"[19]","noteIndex":0},"citationItems":[{"id":110,"uris":["http://zotero.org/users/local/mfHf28QG/items/QT2DILW2"],"itemData":{"id":110,"type":"article-journal","abstract":"Mobile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F0022D" w:rsidRPr="00A831E7">
        <w:rPr>
          <w:rFonts w:eastAsia="Calibri"/>
        </w:rPr>
        <w:fldChar w:fldCharType="separate"/>
      </w:r>
      <w:r w:rsidR="00F0022D" w:rsidRPr="00A831E7">
        <w:rPr>
          <w:rFonts w:eastAsia="Calibri"/>
        </w:rPr>
        <w:t>[19]</w:t>
      </w:r>
      <w:r w:rsidR="00F0022D" w:rsidRPr="00A831E7">
        <w:rPr>
          <w:rFonts w:eastAsia="Calibri"/>
        </w:rPr>
        <w:fldChar w:fldCharType="end"/>
      </w:r>
      <w:r w:rsidRPr="00A831E7">
        <w:rPr>
          <w:rFonts w:eastAsia="Calibri"/>
        </w:rPr>
        <w:t>.</w:t>
      </w:r>
      <w:r w:rsidR="00F0022D" w:rsidRPr="00A831E7">
        <w:t xml:space="preserve"> Κ</w:t>
      </w:r>
      <w:r w:rsidR="00F0022D" w:rsidRPr="00A831E7">
        <w:rPr>
          <w:rFonts w:eastAsia="Calibri"/>
        </w:rPr>
        <w:t>αθώς η τεχνητή νοημοσύνη (ΑΙ) και η μηχανική μάθηση (ML) εξελίσσονται, η ενσωμάτωσή τους στις MSUs βελτιώνει περαιτέρω τις δυνατότητές τους, βελτιστοποιώντας την κατανομή πόρων και επεκτείνοντας την πρόσβαση στη διάγνωση εγκεφαλικού σε απομακρυσμένες περιοχές</w:t>
      </w:r>
      <w:r w:rsidR="00BE6985" w:rsidRPr="00A831E7">
        <w:rPr>
          <w:rFonts w:eastAsia="Calibri"/>
        </w:rPr>
        <w:t xml:space="preserve"> </w:t>
      </w:r>
      <w:r w:rsidR="00F0022D" w:rsidRPr="00A831E7">
        <w:rPr>
          <w:rFonts w:eastAsia="Calibri"/>
        </w:rPr>
        <w:fldChar w:fldCharType="begin"/>
      </w:r>
      <w:r w:rsidR="00F0022D" w:rsidRPr="00A831E7">
        <w:rPr>
          <w:rFonts w:eastAsia="Calibri"/>
        </w:rPr>
        <w:instrText xml:space="preserve"> ADDIN ZOTERO_ITEM CSL_CITATION {"citationID":"jjZ1bktU","properties":{"formattedCitation":"[19]","plainCitation":"[19]","noteIndex":0},"citationItems":[{"id":110,"uris":["http://zotero.org/users/local/mfHf28QG/items/QT2DILW2"],"itemData":{"id":110,"type":"article-journal","abstract":"Mobile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F0022D" w:rsidRPr="00A831E7">
        <w:rPr>
          <w:rFonts w:eastAsia="Calibri"/>
        </w:rPr>
        <w:fldChar w:fldCharType="separate"/>
      </w:r>
      <w:r w:rsidR="00F0022D" w:rsidRPr="00A831E7">
        <w:rPr>
          <w:rFonts w:eastAsia="Calibri"/>
        </w:rPr>
        <w:t>[19]</w:t>
      </w:r>
      <w:r w:rsidR="00F0022D" w:rsidRPr="00A831E7">
        <w:rPr>
          <w:rFonts w:eastAsia="Calibri"/>
        </w:rPr>
        <w:fldChar w:fldCharType="end"/>
      </w:r>
      <w:r w:rsidR="00BE6985" w:rsidRPr="00A831E7">
        <w:rPr>
          <w:rFonts w:eastAsia="Calibri"/>
        </w:rPr>
        <w:t>.</w:t>
      </w:r>
    </w:p>
    <w:p w14:paraId="3271B05E" w14:textId="77777777" w:rsidR="00B93F11" w:rsidRPr="00A831E7" w:rsidRDefault="00B93F11" w:rsidP="00F32EEE">
      <w:pPr>
        <w:spacing w:line="360" w:lineRule="auto"/>
        <w:jc w:val="both"/>
        <w:rPr>
          <w:rFonts w:eastAsia="Calibri"/>
        </w:rPr>
      </w:pPr>
    </w:p>
    <w:p w14:paraId="5B58BE58" w14:textId="2BCB9C5D" w:rsidR="00D61570" w:rsidRPr="008F5904" w:rsidRDefault="00F0022D" w:rsidP="008F5904">
      <w:pPr>
        <w:pStyle w:val="3"/>
      </w:pPr>
      <w:bookmarkStart w:id="104" w:name="_Toc199787402"/>
      <w:bookmarkStart w:id="105" w:name="_Toc199946473"/>
      <w:r w:rsidRPr="008F5904">
        <w:t>3.</w:t>
      </w:r>
      <w:r w:rsidR="005F5AD6" w:rsidRPr="008F5904">
        <w:t>4</w:t>
      </w:r>
      <w:r w:rsidRPr="008F5904">
        <w:t>.1 Πλεονεκτήματα των MSUs στην απεικονιστική διάγνωση του ΑΕΕ</w:t>
      </w:r>
      <w:bookmarkEnd w:id="104"/>
      <w:bookmarkEnd w:id="105"/>
    </w:p>
    <w:p w14:paraId="3397ED95" w14:textId="668235BB" w:rsidR="00B93F11" w:rsidRPr="00A831E7" w:rsidRDefault="00F0022D" w:rsidP="00F32EEE">
      <w:pPr>
        <w:spacing w:line="360" w:lineRule="auto"/>
        <w:jc w:val="both"/>
        <w:rPr>
          <w:rFonts w:eastAsia="Calibri"/>
        </w:rPr>
      </w:pPr>
      <w:r w:rsidRPr="00A831E7">
        <w:rPr>
          <w:rFonts w:eastAsia="Calibri"/>
        </w:rPr>
        <w:tab/>
        <w:t>Η αξιοποίηση των MSUs έχει οδηγήσει σε κρίσιμες εξελίξεις στην προνοσοκομειακή απεικονιστική διάγνωση του ΑΕΕ, αντιμετωπίζοντας αρκετούς περιορισμούς της συμβατικής φροντίδας μέσω ασθενοφόρων.</w:t>
      </w:r>
    </w:p>
    <w:p w14:paraId="38483ABE" w14:textId="77777777" w:rsidR="00B93F11" w:rsidRPr="00A831E7" w:rsidRDefault="00B93F11" w:rsidP="00F32EEE">
      <w:pPr>
        <w:spacing w:line="360" w:lineRule="auto"/>
        <w:jc w:val="both"/>
        <w:rPr>
          <w:rFonts w:eastAsia="Calibri"/>
        </w:rPr>
      </w:pPr>
    </w:p>
    <w:p w14:paraId="37668732" w14:textId="2F25F590" w:rsidR="00F0022D" w:rsidRPr="00A831E7" w:rsidRDefault="003763F0" w:rsidP="00F32EEE">
      <w:pPr>
        <w:pStyle w:val="4"/>
        <w:spacing w:line="360" w:lineRule="auto"/>
        <w:rPr>
          <w:rFonts w:eastAsia="Calibri"/>
          <w:b w:val="0"/>
          <w:bCs/>
        </w:rPr>
      </w:pPr>
      <w:r w:rsidRPr="00A831E7">
        <w:rPr>
          <w:rFonts w:eastAsia="Calibri"/>
          <w:bCs/>
        </w:rPr>
        <w:t>CT Απεικόνιση για Άμεση Ταξινόμηση Εγκεφαλικού</w:t>
      </w:r>
    </w:p>
    <w:p w14:paraId="28F48665" w14:textId="02CB7384" w:rsidR="003E778F" w:rsidRPr="00A831E7" w:rsidRDefault="003763F0" w:rsidP="00F32EEE">
      <w:pPr>
        <w:spacing w:line="360" w:lineRule="auto"/>
        <w:jc w:val="both"/>
        <w:rPr>
          <w:rFonts w:eastAsia="Calibri"/>
        </w:rPr>
      </w:pPr>
      <w:r w:rsidRPr="00A831E7">
        <w:rPr>
          <w:rFonts w:eastAsia="Calibri"/>
        </w:rPr>
        <w:tab/>
        <w:t xml:space="preserve">Οι MSUs μειώνουν τους χρόνους διάγνωσης παρέχοντας CT εξετάσεις </w:t>
      </w:r>
      <w:r w:rsidR="002F25E2">
        <w:rPr>
          <w:rFonts w:eastAsia="Calibri"/>
        </w:rPr>
        <w:t xml:space="preserve">νωρίτερα στον </w:t>
      </w:r>
      <w:r w:rsidRPr="00A831E7">
        <w:rPr>
          <w:rFonts w:eastAsia="Calibri"/>
        </w:rPr>
        <w:t>ασθενή, επιτρέποντας τον άμεσο διαχωρισμό μεταξύ ισχαιμικού και αιμορραγικού εγκεφαλικού επεισοδίου. Οι παραδοσιακές διαγνώσεις εντός ασθενοφόρων κατά τη διακομιδή βασίζονται σε κλινικές κλίμακες</w:t>
      </w:r>
      <w:r w:rsidR="002F25E2">
        <w:rPr>
          <w:rFonts w:eastAsia="Calibri"/>
        </w:rPr>
        <w:t xml:space="preserve"> συμπτωμάτων</w:t>
      </w:r>
      <w:r w:rsidRPr="00A831E7">
        <w:rPr>
          <w:rFonts w:eastAsia="Calibri"/>
        </w:rPr>
        <w:t xml:space="preserve"> όπως η FAST και η RACE. Σε αντίθεση με αυτές οι MSUs προσφέρουν μεγαλύτερη ακρίβεια και ειδικότητα στην προνοσοκομειακή διάγνωση </w:t>
      </w:r>
      <w:r w:rsidRPr="00A831E7">
        <w:rPr>
          <w:rFonts w:eastAsia="Calibri"/>
        </w:rPr>
        <w:fldChar w:fldCharType="begin"/>
      </w:r>
      <w:r w:rsidRPr="00A831E7">
        <w:rPr>
          <w:rFonts w:eastAsia="Calibri"/>
        </w:rPr>
        <w:instrText xml:space="preserve"> ADDIN ZOTERO_ITEM CSL_CITATION {"citationID":"3ZutDIoz","properties":{"formattedCitation":"[19]","plainCitation":"[19]","noteIndex":0},"citationItems":[{"id":110,"uris":["http://zotero.org/users/local/mfHf28QG/items/QT2DILW2"],"itemData":{"id":110,"type":"article-journal","abstract":"Mobile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Pr="00A831E7">
        <w:rPr>
          <w:rFonts w:eastAsia="Calibri"/>
        </w:rPr>
        <w:t>.</w:t>
      </w:r>
    </w:p>
    <w:p w14:paraId="61BC884C" w14:textId="77777777" w:rsidR="00B93F11" w:rsidRPr="00A831E7" w:rsidRDefault="00B93F11" w:rsidP="00F32EEE">
      <w:pPr>
        <w:spacing w:line="360" w:lineRule="auto"/>
        <w:jc w:val="both"/>
        <w:rPr>
          <w:rFonts w:eastAsia="Calibri"/>
        </w:rPr>
      </w:pPr>
    </w:p>
    <w:p w14:paraId="503F1BE4" w14:textId="6EC16CBC" w:rsidR="003763F0" w:rsidRPr="00A831E7" w:rsidRDefault="003763F0" w:rsidP="00F32EEE">
      <w:pPr>
        <w:pStyle w:val="4"/>
        <w:spacing w:line="360" w:lineRule="auto"/>
        <w:rPr>
          <w:rFonts w:eastAsia="Calibri"/>
          <w:b w:val="0"/>
          <w:bCs/>
        </w:rPr>
      </w:pPr>
      <w:r w:rsidRPr="00A831E7">
        <w:rPr>
          <w:rFonts w:eastAsia="Calibri"/>
          <w:bCs/>
        </w:rPr>
        <w:lastRenderedPageBreak/>
        <w:t>CT Αγγειογραφία</w:t>
      </w:r>
      <w:r w:rsidR="0057069D" w:rsidRPr="00A831E7">
        <w:rPr>
          <w:rFonts w:eastAsia="Calibri"/>
          <w:bCs/>
        </w:rPr>
        <w:t xml:space="preserve"> </w:t>
      </w:r>
      <w:r w:rsidRPr="00A831E7">
        <w:rPr>
          <w:rFonts w:eastAsia="Calibri"/>
          <w:bCs/>
        </w:rPr>
        <w:t>(CTA) για Ανίχνευση Απόφραξης Μεγάλων Αγγείων (LVO)</w:t>
      </w:r>
    </w:p>
    <w:p w14:paraId="7120FCA1" w14:textId="3231894E" w:rsidR="003E778F" w:rsidRPr="00A831E7" w:rsidRDefault="003763F0" w:rsidP="00F32EEE">
      <w:pPr>
        <w:spacing w:line="360" w:lineRule="auto"/>
        <w:jc w:val="both"/>
        <w:rPr>
          <w:rFonts w:eastAsia="Calibri"/>
        </w:rPr>
      </w:pPr>
      <w:r w:rsidRPr="00A831E7">
        <w:rPr>
          <w:rFonts w:eastAsia="Calibri"/>
        </w:rPr>
        <w:tab/>
        <w:t xml:space="preserve">Εκτός από την απλή αξονική τομογραφία, οι MSUs χρησιμοποιούν και CT αγγειογραφία (CTA), επιτρέποντας την απεικόνιση των εγκεφαλικών αγγείων σε πραγματικό χρόνο. Αυτό είναι ιδιαίτερα σημαντικό για την αναγνώριση αποφράξεων μεγάλων αγγείων (LVOs) και κρίσιμης σημασίας για την έγκαιρη διαλογή ασθενών για θρομβεκτομή. Οι MSUs επιταχύνουν τον εντοπισμό LVOs, εξασφαλίζοντας έγκαιρη διακομιδή των ασθενών στα εξειδικευμένα κέντρα </w:t>
      </w:r>
      <w:r w:rsidRPr="00A831E7">
        <w:rPr>
          <w:rFonts w:eastAsia="Calibri"/>
        </w:rPr>
        <w:fldChar w:fldCharType="begin"/>
      </w:r>
      <w:r w:rsidRPr="00A831E7">
        <w:rPr>
          <w:rFonts w:eastAsia="Calibri"/>
        </w:rPr>
        <w:instrText xml:space="preserve"> ADDIN ZOTERO_ITEM CSL_CITATION {"citationID":"7feABJkn","properties":{"formattedCitation":"[19]","plainCitation":"[19]","noteIndex":0},"citationItems":[{"id":110,"uris":["http://zotero.org/users/local/mfHf28QG/items/QT2DILW2"],"itemData":{"id":110,"type":"article-journal","abstract":"Mobile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Pr="00A831E7">
        <w:rPr>
          <w:rFonts w:eastAsia="Calibri"/>
        </w:rPr>
        <w:t>.</w:t>
      </w:r>
    </w:p>
    <w:p w14:paraId="7268D2F0" w14:textId="77777777" w:rsidR="00B93F11" w:rsidRPr="00A831E7" w:rsidRDefault="00B93F11" w:rsidP="00F32EEE">
      <w:pPr>
        <w:spacing w:line="360" w:lineRule="auto"/>
        <w:jc w:val="both"/>
        <w:rPr>
          <w:rFonts w:eastAsia="Calibri"/>
        </w:rPr>
      </w:pPr>
    </w:p>
    <w:p w14:paraId="1CA43DF2" w14:textId="7D20AE32" w:rsidR="00D6166A" w:rsidRPr="00A831E7" w:rsidRDefault="00D6166A" w:rsidP="00F32EEE">
      <w:pPr>
        <w:pStyle w:val="4"/>
        <w:spacing w:line="360" w:lineRule="auto"/>
        <w:rPr>
          <w:rFonts w:eastAsia="Calibri"/>
          <w:b w:val="0"/>
          <w:bCs/>
        </w:rPr>
      </w:pPr>
      <w:r w:rsidRPr="00A831E7">
        <w:rPr>
          <w:rFonts w:eastAsia="Calibri"/>
          <w:bCs/>
        </w:rPr>
        <w:t>Τηλεϊατρική για Απομακρυσμένη Νευρολογική Αξιολόγηση</w:t>
      </w:r>
    </w:p>
    <w:p w14:paraId="1821D5CB" w14:textId="316D5505" w:rsidR="00E570F1" w:rsidRPr="00A831E7" w:rsidRDefault="00D6166A" w:rsidP="00F32EEE">
      <w:pPr>
        <w:spacing w:line="360" w:lineRule="auto"/>
        <w:ind w:firstLine="720"/>
        <w:jc w:val="both"/>
        <w:rPr>
          <w:rFonts w:eastAsia="Calibri"/>
        </w:rPr>
      </w:pPr>
      <w:r w:rsidRPr="00A831E7">
        <w:rPr>
          <w:rFonts w:eastAsia="Calibri"/>
        </w:rPr>
        <w:t>Οι MSUs αξιοποιούν την τηλεϊατρική ώστε να επιτρέψουν τη συνεργασία τ</w:t>
      </w:r>
      <w:r w:rsidR="003E778F" w:rsidRPr="00A831E7">
        <w:rPr>
          <w:rFonts w:eastAsia="Calibri"/>
        </w:rPr>
        <w:t>ου MSU προσωπικού</w:t>
      </w:r>
      <w:r w:rsidRPr="00A831E7">
        <w:rPr>
          <w:rFonts w:eastAsia="Calibri"/>
        </w:rPr>
        <w:t xml:space="preserve"> με εξειδικευμένους νευρολόγους εξ αποστάσεως</w:t>
      </w:r>
      <w:r w:rsidR="003E778F" w:rsidRPr="00A831E7">
        <w:rPr>
          <w:rFonts w:eastAsia="Calibri"/>
        </w:rPr>
        <w:t xml:space="preserve"> επιτρέποντας άμεση συμβουλευτική παρέμβαση και ανάλυση των απεικονιστικών εξετάσεων από ειδικούς</w:t>
      </w:r>
      <w:r w:rsidRPr="00A831E7">
        <w:rPr>
          <w:rFonts w:eastAsia="Calibri"/>
        </w:rPr>
        <w:t>. Αυτή η τεχνολογία μειώνει τη διαγνωστική ασάφεια και βελτιώνει τις αποφάσεις θεραπείας, ιδιαίτερα σε απομακρυσμένες περιοχές. Επιπλέον</w:t>
      </w:r>
      <w:r w:rsidR="003E778F" w:rsidRPr="00A831E7">
        <w:rPr>
          <w:rFonts w:eastAsia="Calibri"/>
        </w:rPr>
        <w:t xml:space="preserve"> ερευνάται και η χρήση</w:t>
      </w:r>
      <w:r w:rsidRPr="00A831E7">
        <w:rPr>
          <w:rFonts w:eastAsia="Calibri"/>
        </w:rPr>
        <w:t xml:space="preserve"> ΑΙ εφαρμογ</w:t>
      </w:r>
      <w:r w:rsidR="003E778F" w:rsidRPr="00A831E7">
        <w:rPr>
          <w:rFonts w:eastAsia="Calibri"/>
        </w:rPr>
        <w:t>ών</w:t>
      </w:r>
      <w:r w:rsidRPr="00A831E7">
        <w:rPr>
          <w:rFonts w:eastAsia="Calibri"/>
        </w:rPr>
        <w:t xml:space="preserve"> στην τηλεϊατρική</w:t>
      </w:r>
      <w:r w:rsidR="003E778F" w:rsidRPr="00A831E7">
        <w:rPr>
          <w:rFonts w:eastAsia="Calibri"/>
        </w:rPr>
        <w:t xml:space="preserve"> που θα</w:t>
      </w:r>
      <w:r w:rsidRPr="00A831E7">
        <w:rPr>
          <w:rFonts w:eastAsia="Calibri"/>
        </w:rPr>
        <w:t xml:space="preserve"> μπορούν να βελτιώσουν την αναγνώριση εγκεφαλικού μέσω ανάλυσης λόγου και κινήσεων του προσώπου</w:t>
      </w:r>
      <w:r w:rsidR="003E778F" w:rsidRPr="00A831E7">
        <w:rPr>
          <w:rFonts w:eastAsia="Calibri"/>
        </w:rPr>
        <w:t xml:space="preserve"> </w:t>
      </w:r>
      <w:r w:rsidR="003E778F" w:rsidRPr="00A831E7">
        <w:rPr>
          <w:rFonts w:eastAsia="Calibri"/>
        </w:rPr>
        <w:fldChar w:fldCharType="begin"/>
      </w:r>
      <w:r w:rsidR="003E778F" w:rsidRPr="00A831E7">
        <w:rPr>
          <w:rFonts w:eastAsia="Calibri"/>
        </w:rPr>
        <w:instrText xml:space="preserve"> ADDIN ZOTERO_ITEM CSL_CITATION {"citationID":"07457Zwm","properties":{"formattedCitation":"[19]","plainCitation":"[19]","noteIndex":0},"citationItems":[{"id":110,"uris":["http://zotero.org/users/local/mfHf28QG/items/QT2DILW2"],"itemData":{"id":110,"type":"article-journal","abstract":"Mobile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3E778F" w:rsidRPr="00A831E7">
        <w:rPr>
          <w:rFonts w:eastAsia="Calibri"/>
        </w:rPr>
        <w:fldChar w:fldCharType="separate"/>
      </w:r>
      <w:r w:rsidR="003E778F" w:rsidRPr="00A831E7">
        <w:rPr>
          <w:rFonts w:eastAsia="Calibri"/>
        </w:rPr>
        <w:t>[19]</w:t>
      </w:r>
      <w:r w:rsidR="003E778F" w:rsidRPr="00A831E7">
        <w:rPr>
          <w:rFonts w:eastAsia="Calibri"/>
        </w:rPr>
        <w:fldChar w:fldCharType="end"/>
      </w:r>
      <w:r w:rsidRPr="00A831E7">
        <w:rPr>
          <w:rFonts w:eastAsia="Calibri"/>
        </w:rPr>
        <w:t>.</w:t>
      </w:r>
    </w:p>
    <w:p w14:paraId="229C310B" w14:textId="77777777" w:rsidR="00B93F11" w:rsidRPr="00A831E7" w:rsidRDefault="00B93F11" w:rsidP="00F32EEE">
      <w:pPr>
        <w:spacing w:line="360" w:lineRule="auto"/>
        <w:ind w:firstLine="720"/>
        <w:jc w:val="both"/>
        <w:rPr>
          <w:rFonts w:eastAsia="Calibri"/>
        </w:rPr>
      </w:pPr>
    </w:p>
    <w:p w14:paraId="3B5B37A7" w14:textId="068E9BE1" w:rsidR="00E570F1" w:rsidRPr="00A831E7" w:rsidRDefault="005403E6" w:rsidP="00F32EEE">
      <w:pPr>
        <w:pStyle w:val="4"/>
        <w:spacing w:line="360" w:lineRule="auto"/>
        <w:rPr>
          <w:rFonts w:eastAsia="Calibri"/>
          <w:b w:val="0"/>
          <w:bCs/>
        </w:rPr>
      </w:pPr>
      <w:r w:rsidRPr="00A831E7">
        <w:rPr>
          <w:rFonts w:eastAsia="Calibri"/>
          <w:bCs/>
        </w:rPr>
        <w:t>Αξιοποίηση</w:t>
      </w:r>
      <w:r w:rsidR="003E778F" w:rsidRPr="00A831E7">
        <w:rPr>
          <w:rFonts w:eastAsia="Calibri"/>
          <w:bCs/>
        </w:rPr>
        <w:t xml:space="preserve"> MSUs για Διάγνωση με Βιοδείκτες</w:t>
      </w:r>
    </w:p>
    <w:p w14:paraId="12825F4C" w14:textId="2E4C4240" w:rsidR="00B93F11" w:rsidRPr="00A831E7" w:rsidRDefault="00D6166A" w:rsidP="00667F5D">
      <w:pPr>
        <w:spacing w:line="360" w:lineRule="auto"/>
        <w:ind w:firstLine="720"/>
        <w:jc w:val="both"/>
        <w:rPr>
          <w:rFonts w:eastAsia="Calibri"/>
        </w:rPr>
      </w:pPr>
      <w:r w:rsidRPr="00A831E7">
        <w:rPr>
          <w:rFonts w:eastAsia="Calibri"/>
        </w:rPr>
        <w:t xml:space="preserve">Εκτός της απεικόνισης, οι MSUs αποτελούν βασικό εργαλείο στη διερεύνηση βιοδεικτών για την </w:t>
      </w:r>
      <w:r w:rsidR="003E778F" w:rsidRPr="00A831E7">
        <w:rPr>
          <w:rFonts w:eastAsia="Calibri"/>
        </w:rPr>
        <w:t>έγκαιρη</w:t>
      </w:r>
      <w:r w:rsidRPr="00A831E7">
        <w:rPr>
          <w:rFonts w:eastAsia="Calibri"/>
        </w:rPr>
        <w:t xml:space="preserve"> διάγνωση εγκεφαλικού. </w:t>
      </w:r>
      <w:r w:rsidR="004674C1" w:rsidRPr="00A831E7">
        <w:rPr>
          <w:rFonts w:eastAsia="Calibri"/>
        </w:rPr>
        <w:t>Αρχικές</w:t>
      </w:r>
      <w:r w:rsidRPr="00A831E7">
        <w:rPr>
          <w:rFonts w:eastAsia="Calibri"/>
        </w:rPr>
        <w:t xml:space="preserve"> μελέτες σε MSUs έχουν δείξει ότι πρωτεΐνες όπως </w:t>
      </w:r>
      <w:r w:rsidR="004674C1" w:rsidRPr="00A831E7">
        <w:rPr>
          <w:rFonts w:eastAsia="Calibri"/>
        </w:rPr>
        <w:t>η</w:t>
      </w:r>
      <w:r w:rsidRPr="00A831E7">
        <w:rPr>
          <w:rFonts w:eastAsia="Calibri"/>
        </w:rPr>
        <w:t xml:space="preserve"> </w:t>
      </w:r>
      <w:r w:rsidR="004674C1" w:rsidRPr="00A831E7">
        <w:rPr>
          <w:rFonts w:eastAsia="Calibri"/>
        </w:rPr>
        <w:t>GFAP (</w:t>
      </w:r>
      <w:r w:rsidRPr="00A831E7">
        <w:rPr>
          <w:rFonts w:eastAsia="Calibri"/>
        </w:rPr>
        <w:t>Glial Fibrillary Acidic Protein</w:t>
      </w:r>
      <w:r w:rsidR="004674C1" w:rsidRPr="00A831E7">
        <w:rPr>
          <w:rFonts w:eastAsia="Calibri"/>
        </w:rPr>
        <w:t>)</w:t>
      </w:r>
      <w:r w:rsidRPr="00A831E7">
        <w:rPr>
          <w:rFonts w:eastAsia="Calibri"/>
        </w:rPr>
        <w:t xml:space="preserve"> είναι αξιόπιστοι δείκτες για την ανίχνευση εγκεφαλικής αιμορραγίας</w:t>
      </w:r>
      <w:r w:rsidR="004674C1" w:rsidRPr="00A831E7">
        <w:rPr>
          <w:rFonts w:eastAsia="Calibri"/>
        </w:rPr>
        <w:t xml:space="preserve"> και για την διαφοροποίηση ανάμεσα σε Ισχαιμικό (AIS), Αιμορραγικό (HS) AEE και mimics</w:t>
      </w:r>
      <w:r w:rsidR="00BE479B">
        <w:rPr>
          <w:rFonts w:eastAsia="Calibri"/>
        </w:rPr>
        <w:t xml:space="preserve"> </w:t>
      </w:r>
      <w:r w:rsidR="004674C1" w:rsidRPr="00A831E7">
        <w:rPr>
          <w:rFonts w:eastAsia="Calibri"/>
        </w:rPr>
        <w:t xml:space="preserve">(SMs) αυτών </w:t>
      </w:r>
      <w:r w:rsidR="004674C1" w:rsidRPr="00A831E7">
        <w:rPr>
          <w:rFonts w:eastAsia="Calibri"/>
        </w:rPr>
        <w:fldChar w:fldCharType="begin"/>
      </w:r>
      <w:r w:rsidR="004674C1" w:rsidRPr="00A831E7">
        <w:rPr>
          <w:rFonts w:eastAsia="Calibri"/>
        </w:rPr>
        <w:instrText xml:space="preserve"> ADDIN ZOTERO_ITEM CSL_CITATION {"citationID":"uVG4rMIS","properties":{"formattedCitation":"[19]","plainCitation":"[19]","noteIndex":0},"citationItems":[{"id":110,"uris":["http://zotero.org/users/local/mfHf28QG/items/QT2DILW2"],"itemData":{"id":110,"type":"article-journal","abstract":"Mobile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4674C1" w:rsidRPr="00A831E7">
        <w:rPr>
          <w:rFonts w:eastAsia="Calibri"/>
        </w:rPr>
        <w:fldChar w:fldCharType="separate"/>
      </w:r>
      <w:r w:rsidR="004674C1" w:rsidRPr="00A831E7">
        <w:rPr>
          <w:rFonts w:eastAsia="Calibri"/>
        </w:rPr>
        <w:t>[19]</w:t>
      </w:r>
      <w:r w:rsidR="004674C1" w:rsidRPr="00A831E7">
        <w:rPr>
          <w:rFonts w:eastAsia="Calibri"/>
        </w:rPr>
        <w:fldChar w:fldCharType="end"/>
      </w:r>
      <w:r w:rsidRPr="00A831E7">
        <w:rPr>
          <w:rFonts w:eastAsia="Calibri"/>
        </w:rPr>
        <w:t>.</w:t>
      </w:r>
      <w:r w:rsidR="004674C1" w:rsidRPr="00A831E7">
        <w:rPr>
          <w:rFonts w:eastAsia="Calibri"/>
        </w:rPr>
        <w:t xml:space="preserve"> Μέσω των MSUs προσφέρεται η δυνατότητα συλλογής και ανάλυσης δεδομένων βιοδεικτών, μέσα σε λίγα λεπτά από την έναρξη του εγκεφαλικού επεισοδίου, υποστηρίζοντας έτσι την ανάπτυξη μοντέλων </w:t>
      </w:r>
      <w:r w:rsidR="00A91598" w:rsidRPr="00A831E7">
        <w:rPr>
          <w:rFonts w:eastAsia="Calibri"/>
        </w:rPr>
        <w:t>διάγνωσης και πρόβλεψης με</w:t>
      </w:r>
      <w:r w:rsidR="004674C1" w:rsidRPr="00A831E7">
        <w:rPr>
          <w:rFonts w:eastAsia="Calibri"/>
        </w:rPr>
        <w:t xml:space="preserve"> αξιοποίηση μεθόδων</w:t>
      </w:r>
      <w:r w:rsidR="0095202A">
        <w:rPr>
          <w:rFonts w:eastAsia="Calibri"/>
          <w:lang w:val="en-US"/>
        </w:rPr>
        <w:t xml:space="preserve"> </w:t>
      </w:r>
      <w:r w:rsidR="0095202A">
        <w:rPr>
          <w:rFonts w:eastAsia="Calibri"/>
        </w:rPr>
        <w:t>μηχανικής μάθησης</w:t>
      </w:r>
      <w:r w:rsidR="0095202A">
        <w:rPr>
          <w:rFonts w:eastAsia="Calibri"/>
          <w:lang w:val="en-US"/>
        </w:rPr>
        <w:t xml:space="preserve"> (ML)</w:t>
      </w:r>
      <w:r w:rsidR="004674C1" w:rsidRPr="00A831E7">
        <w:rPr>
          <w:rFonts w:eastAsia="Calibri"/>
        </w:rPr>
        <w:t>. Όπως θα δούμε στα επόμενα κεφάλαια, η αξιοποίηση βιοδεικτών και μεθόδων</w:t>
      </w:r>
      <w:r w:rsidR="0095202A">
        <w:rPr>
          <w:rFonts w:eastAsia="Calibri"/>
          <w:lang w:val="en-US"/>
        </w:rPr>
        <w:t xml:space="preserve"> </w:t>
      </w:r>
      <w:r w:rsidR="0095202A">
        <w:rPr>
          <w:rFonts w:eastAsia="Calibri"/>
        </w:rPr>
        <w:t>μηχανικής μάθησης</w:t>
      </w:r>
      <w:r w:rsidR="0095202A">
        <w:rPr>
          <w:rFonts w:eastAsia="Calibri"/>
          <w:lang w:val="en-US"/>
        </w:rPr>
        <w:t xml:space="preserve"> (ML)</w:t>
      </w:r>
      <w:r w:rsidR="004674C1" w:rsidRPr="00A831E7">
        <w:rPr>
          <w:rFonts w:eastAsia="Calibri"/>
        </w:rPr>
        <w:t xml:space="preserve">  μπορεί να προσφέρει συμπληρωματική διάγνωση μαζί με τις απεικονιστικές εξετάσεις </w:t>
      </w:r>
      <w:r w:rsidR="004674C1" w:rsidRPr="00A831E7">
        <w:rPr>
          <w:rFonts w:eastAsia="Calibri"/>
        </w:rPr>
        <w:fldChar w:fldCharType="begin"/>
      </w:r>
      <w:r w:rsidR="004674C1" w:rsidRPr="00A831E7">
        <w:rPr>
          <w:rFonts w:eastAsia="Calibri"/>
        </w:rPr>
        <w:instrText xml:space="preserve"> ADDIN ZOTERO_ITEM CSL_CITATION {"citationID":"fpK492EU","properties":{"formattedCitation":"[19]","plainCitation":"[19]","noteIndex":0},"citationItems":[{"id":110,"uris":["http://zotero.org/users/local/mfHf28QG/items/QT2DILW2"],"itemData":{"id":110,"type":"article-journal","abstract":"Mobile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4674C1" w:rsidRPr="00A831E7">
        <w:rPr>
          <w:rFonts w:eastAsia="Calibri"/>
        </w:rPr>
        <w:fldChar w:fldCharType="separate"/>
      </w:r>
      <w:r w:rsidR="004674C1" w:rsidRPr="00A831E7">
        <w:rPr>
          <w:rFonts w:eastAsia="Calibri"/>
        </w:rPr>
        <w:t>[19]</w:t>
      </w:r>
      <w:r w:rsidR="004674C1" w:rsidRPr="00A831E7">
        <w:rPr>
          <w:rFonts w:eastAsia="Calibri"/>
        </w:rPr>
        <w:fldChar w:fldCharType="end"/>
      </w:r>
      <w:r w:rsidR="004674C1" w:rsidRPr="00A831E7">
        <w:rPr>
          <w:rFonts w:eastAsia="Calibri"/>
        </w:rPr>
        <w:t>.</w:t>
      </w:r>
    </w:p>
    <w:p w14:paraId="0DD2F074" w14:textId="77777777" w:rsidR="00780547" w:rsidRPr="00A831E7" w:rsidRDefault="00780547" w:rsidP="00F32EEE">
      <w:pPr>
        <w:spacing w:line="360" w:lineRule="auto"/>
        <w:jc w:val="both"/>
        <w:rPr>
          <w:rFonts w:eastAsia="Calibri"/>
        </w:rPr>
      </w:pPr>
    </w:p>
    <w:p w14:paraId="5EBE8C85" w14:textId="41289DAA" w:rsidR="00E570F1" w:rsidRPr="008F5904" w:rsidRDefault="00E570F1" w:rsidP="008F5904">
      <w:pPr>
        <w:pStyle w:val="3"/>
      </w:pPr>
      <w:bookmarkStart w:id="106" w:name="_Toc199787403"/>
      <w:bookmarkStart w:id="107" w:name="_Toc199946474"/>
      <w:r w:rsidRPr="008F5904">
        <w:lastRenderedPageBreak/>
        <w:t xml:space="preserve">3.4.2 </w:t>
      </w:r>
      <w:r w:rsidR="00D6166A" w:rsidRPr="008F5904">
        <w:t>Ενσωμάτωση της Μηχανικής Μάθησης</w:t>
      </w:r>
      <w:r w:rsidR="004674C1" w:rsidRPr="008F5904">
        <w:t xml:space="preserve"> (ML)</w:t>
      </w:r>
      <w:r w:rsidR="00D6166A" w:rsidRPr="008F5904">
        <w:t xml:space="preserve"> στην Απεικόνιση των MSUs</w:t>
      </w:r>
      <w:bookmarkEnd w:id="106"/>
      <w:bookmarkEnd w:id="107"/>
    </w:p>
    <w:p w14:paraId="08C06D2F" w14:textId="3FB6ED80" w:rsidR="00547F04" w:rsidRPr="00A831E7" w:rsidRDefault="00D6166A" w:rsidP="00F32EEE">
      <w:pPr>
        <w:spacing w:line="360" w:lineRule="auto"/>
        <w:jc w:val="both"/>
        <w:rPr>
          <w:rFonts w:eastAsia="Calibri"/>
        </w:rPr>
      </w:pPr>
      <w:r w:rsidRPr="00A831E7">
        <w:rPr>
          <w:rFonts w:eastAsia="Calibri"/>
        </w:rPr>
        <w:t>Η μηχανική μάθηση</w:t>
      </w:r>
      <w:r w:rsidR="004674C1" w:rsidRPr="00A831E7">
        <w:rPr>
          <w:rFonts w:eastAsia="Calibri"/>
        </w:rPr>
        <w:t xml:space="preserve"> (Machine Learning</w:t>
      </w:r>
      <w:r w:rsidR="00D85493" w:rsidRPr="00A831E7">
        <w:rPr>
          <w:rFonts w:eastAsia="Calibri"/>
        </w:rPr>
        <w:t>,</w:t>
      </w:r>
      <w:r w:rsidR="004674C1" w:rsidRPr="00A831E7">
        <w:rPr>
          <w:rFonts w:eastAsia="Calibri"/>
        </w:rPr>
        <w:t xml:space="preserve"> ML)</w:t>
      </w:r>
      <w:r w:rsidRPr="00A831E7">
        <w:rPr>
          <w:rFonts w:eastAsia="Calibri"/>
        </w:rPr>
        <w:t xml:space="preserve"> βελτιώνει τις διαγνωστικές δυνατότητες των MSUs με τις εξής εφαρμογές:</w:t>
      </w:r>
    </w:p>
    <w:p w14:paraId="137CD0F1" w14:textId="1F139043" w:rsidR="00D6166A" w:rsidRPr="00A831E7" w:rsidRDefault="00D6166A" w:rsidP="00F32EEE">
      <w:pPr>
        <w:pStyle w:val="4"/>
        <w:spacing w:line="360" w:lineRule="auto"/>
        <w:rPr>
          <w:rFonts w:eastAsia="Calibri"/>
          <w:b w:val="0"/>
          <w:bCs/>
        </w:rPr>
      </w:pPr>
      <w:r w:rsidRPr="00A831E7">
        <w:rPr>
          <w:rFonts w:eastAsia="Calibri"/>
          <w:bCs/>
        </w:rPr>
        <w:t>AI για Αυτόματη Ανάλυση Εγκεφαλικών Απεικονίσεων</w:t>
      </w:r>
    </w:p>
    <w:p w14:paraId="2A6A09BC" w14:textId="46943B62" w:rsidR="00B93F11" w:rsidRPr="00A831E7" w:rsidRDefault="00E40001" w:rsidP="00547F04">
      <w:pPr>
        <w:spacing w:line="360" w:lineRule="auto"/>
        <w:ind w:firstLine="720"/>
        <w:jc w:val="both"/>
        <w:rPr>
          <w:rFonts w:eastAsia="Calibri"/>
        </w:rPr>
      </w:pPr>
      <w:r w:rsidRPr="00A831E7">
        <w:rPr>
          <w:rFonts w:eastAsia="Calibri"/>
        </w:rPr>
        <w:t xml:space="preserve">Μοντέλα </w:t>
      </w:r>
      <w:r w:rsidR="004674C1" w:rsidRPr="00A831E7">
        <w:rPr>
          <w:rFonts w:eastAsia="Calibri"/>
        </w:rPr>
        <w:t xml:space="preserve">Deep Learning </w:t>
      </w:r>
      <w:r w:rsidRPr="00A831E7">
        <w:rPr>
          <w:rFonts w:eastAsia="Calibri"/>
        </w:rPr>
        <w:t>(</w:t>
      </w:r>
      <w:r w:rsidR="004674C1" w:rsidRPr="00A831E7">
        <w:rPr>
          <w:rFonts w:eastAsia="Calibri"/>
        </w:rPr>
        <w:t>DL</w:t>
      </w:r>
      <w:r w:rsidRPr="00A831E7">
        <w:rPr>
          <w:rFonts w:eastAsia="Calibri"/>
        </w:rPr>
        <w:t>) όπως τα Artificial</w:t>
      </w:r>
      <w:r w:rsidR="004674C1" w:rsidRPr="00A831E7">
        <w:rPr>
          <w:rFonts w:eastAsia="Calibri"/>
        </w:rPr>
        <w:t xml:space="preserve"> Neural Network</w:t>
      </w:r>
      <w:r w:rsidRPr="00A831E7">
        <w:rPr>
          <w:rFonts w:eastAsia="Calibri"/>
        </w:rPr>
        <w:t>s (ANNs)</w:t>
      </w:r>
      <w:r w:rsidR="00D6166A" w:rsidRPr="00A831E7">
        <w:rPr>
          <w:rFonts w:eastAsia="Calibri"/>
        </w:rPr>
        <w:t>, εκπαιδευμένα σε μεγάλα σύνολα δεδομένων, επιτρέπουν την αυτόματη ανίχνευση ισχαιμίας και αιμορραγιών στις CT απεικονίσεις των MSUs</w:t>
      </w:r>
      <w:r w:rsidRPr="00A831E7">
        <w:rPr>
          <w:rFonts w:eastAsia="Calibri"/>
        </w:rPr>
        <w:fldChar w:fldCharType="begin"/>
      </w:r>
      <w:r w:rsidRPr="00A831E7">
        <w:rPr>
          <w:rFonts w:eastAsia="Calibri"/>
        </w:rPr>
        <w:instrText xml:space="preserve"> ADDIN ZOTERO_ITEM CSL_CITATION {"citationID":"4Vr1ZTYk","properties":{"formattedCitation":"[19]","plainCitation":"[19]","noteIndex":0},"citationItems":[{"id":110,"uris":["http://zotero.org/users/local/mfHf28QG/items/QT2DILW2"],"itemData":{"id":110,"type":"article-journal","abstract":"Mobile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00D6166A" w:rsidRPr="00A831E7">
        <w:rPr>
          <w:rFonts w:eastAsia="Calibri"/>
        </w:rPr>
        <w:t>.</w:t>
      </w:r>
      <w:r w:rsidRPr="00A831E7">
        <w:rPr>
          <w:rFonts w:eastAsia="Calibri"/>
        </w:rPr>
        <w:t xml:space="preserve"> Έχουν επιδείξει υψηλή ακρίβεια στην ανίχνευση ισχαιμικών έμφρακτων και ενδοκρανιακών αιμορραγιών. Με την ενσωμάτωση αυτών των μοντέλων στις MSUs, οι αξονικές τομογραφίες μπορούν να αναλυθούν πιο γρήγορα, επισημαίνοντας ανωμαλίες και παρέχοντας προκαταρκτικές διαγνωστικές πληροφορίες στο πλήρωμα της κινητής μονάδας σε πραγματικό χρόνο </w:t>
      </w:r>
      <w:r w:rsidRPr="00A831E7">
        <w:rPr>
          <w:rFonts w:eastAsia="Calibri"/>
        </w:rPr>
        <w:fldChar w:fldCharType="begin"/>
      </w:r>
      <w:r w:rsidRPr="00A831E7">
        <w:rPr>
          <w:rFonts w:eastAsia="Calibri"/>
        </w:rPr>
        <w:instrText xml:space="preserve"> ADDIN ZOTERO_ITEM CSL_CITATION {"citationID":"pOmJxedt","properties":{"formattedCitation":"[19]","plainCitation":"[19]","noteIndex":0},"citationItems":[{"id":110,"uris":["http://zotero.org/users/local/mfHf28QG/items/QT2DILW2"],"itemData":{"id":110,"type":"article-journal","abstract":"Mobile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Pr="00A831E7">
        <w:rPr>
          <w:rFonts w:eastAsia="Calibri"/>
        </w:rPr>
        <w:t>.</w:t>
      </w:r>
    </w:p>
    <w:p w14:paraId="5EAF6C15" w14:textId="53FE1FA8" w:rsidR="00D6166A" w:rsidRPr="00A831E7" w:rsidRDefault="00E40001" w:rsidP="00F32EEE">
      <w:pPr>
        <w:pStyle w:val="4"/>
        <w:spacing w:line="360" w:lineRule="auto"/>
        <w:rPr>
          <w:rFonts w:eastAsia="Calibri"/>
          <w:b w:val="0"/>
          <w:bCs/>
        </w:rPr>
      </w:pPr>
      <w:r w:rsidRPr="00A831E7">
        <w:rPr>
          <w:rFonts w:eastAsia="Calibri"/>
          <w:bCs/>
        </w:rPr>
        <w:t>Χρήση ML για την βελτιστοποίηση της διαχείρισης των MSUs</w:t>
      </w:r>
    </w:p>
    <w:p w14:paraId="5BA0FC72" w14:textId="67C22B9A" w:rsidR="00B93F11" w:rsidRPr="00A831E7" w:rsidRDefault="00E40001" w:rsidP="00547F04">
      <w:pPr>
        <w:spacing w:line="360" w:lineRule="auto"/>
        <w:ind w:firstLine="720"/>
        <w:jc w:val="both"/>
        <w:rPr>
          <w:rFonts w:eastAsia="Calibri"/>
        </w:rPr>
      </w:pPr>
      <w:r w:rsidRPr="00A831E7">
        <w:rPr>
          <w:rFonts w:eastAsia="Calibri"/>
        </w:rPr>
        <w:t xml:space="preserve">Η αποτελεσματική </w:t>
      </w:r>
      <w:r w:rsidR="00871E71" w:rsidRPr="00A831E7">
        <w:rPr>
          <w:rFonts w:eastAsia="Calibri"/>
        </w:rPr>
        <w:t xml:space="preserve">διαχείριση και κατανομή των MSUs στα περιστατικά είναι κρίσιμη καθώς υπάρχει χαμηλή διαθεσιμότητας τέτοιων μονάδων. Το υψηλό κόστος απόκτησης και συντήρησης καθώς και η ανάγκη για ειδικά εκπαιδευμένο προσωπικό για την χρήση τους, καθιστά τις MSUs πολύτιμο διαγνωστικό εξοπλισμό και την αποδοτική τους διαχείριση απαραίτητη </w:t>
      </w:r>
      <w:r w:rsidR="00871E71" w:rsidRPr="00A831E7">
        <w:rPr>
          <w:rFonts w:eastAsia="Calibri"/>
        </w:rPr>
        <w:fldChar w:fldCharType="begin"/>
      </w:r>
      <w:r w:rsidR="00871E71" w:rsidRPr="00A831E7">
        <w:rPr>
          <w:rFonts w:eastAsia="Calibri"/>
        </w:rPr>
        <w:instrText xml:space="preserve"> ADDIN ZOTERO_ITEM CSL_CITATION {"citationID":"dTmkhJY4","properties":{"formattedCitation":"[19]","plainCitation":"[19]","noteIndex":0},"citationItems":[{"id":110,"uris":["http://zotero.org/users/local/mfHf28QG/items/QT2DILW2"],"itemData":{"id":110,"type":"article-journal","abstract":"Mobile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871E71" w:rsidRPr="00A831E7">
        <w:rPr>
          <w:rFonts w:eastAsia="Calibri"/>
        </w:rPr>
        <w:fldChar w:fldCharType="separate"/>
      </w:r>
      <w:r w:rsidR="00871E71" w:rsidRPr="00A831E7">
        <w:rPr>
          <w:rFonts w:eastAsia="Calibri"/>
        </w:rPr>
        <w:t>[19]</w:t>
      </w:r>
      <w:r w:rsidR="00871E71" w:rsidRPr="00A831E7">
        <w:rPr>
          <w:rFonts w:eastAsia="Calibri"/>
        </w:rPr>
        <w:fldChar w:fldCharType="end"/>
      </w:r>
      <w:r w:rsidR="00871E71" w:rsidRPr="00A831E7">
        <w:rPr>
          <w:rFonts w:eastAsia="Calibri"/>
        </w:rPr>
        <w:t xml:space="preserve">. </w:t>
      </w:r>
      <w:r w:rsidR="00D6166A" w:rsidRPr="00A831E7">
        <w:rPr>
          <w:rFonts w:eastAsia="Calibri"/>
        </w:rPr>
        <w:t xml:space="preserve">Η χρήση ΑΙ στην </w:t>
      </w:r>
      <w:r w:rsidRPr="00A831E7">
        <w:rPr>
          <w:rFonts w:eastAsia="Calibri"/>
        </w:rPr>
        <w:t>διαχείριση των</w:t>
      </w:r>
      <w:r w:rsidR="00D6166A" w:rsidRPr="00A831E7">
        <w:rPr>
          <w:rFonts w:eastAsia="Calibri"/>
        </w:rPr>
        <w:t xml:space="preserve"> MSUs βελτιώνει τη</w:t>
      </w:r>
      <w:r w:rsidRPr="00A831E7">
        <w:rPr>
          <w:rFonts w:eastAsia="Calibri"/>
        </w:rPr>
        <w:t>ν κατανομή</w:t>
      </w:r>
      <w:r w:rsidR="00D6166A" w:rsidRPr="00A831E7">
        <w:rPr>
          <w:rFonts w:eastAsia="Calibri"/>
        </w:rPr>
        <w:t xml:space="preserve"> πόρων</w:t>
      </w:r>
      <w:r w:rsidRPr="00A831E7">
        <w:rPr>
          <w:rFonts w:eastAsia="Calibri"/>
        </w:rPr>
        <w:t xml:space="preserve"> και την ανταπόκριση των MSUs ομάδων</w:t>
      </w:r>
      <w:r w:rsidR="00D6166A" w:rsidRPr="00A831E7">
        <w:rPr>
          <w:rFonts w:eastAsia="Calibri"/>
        </w:rPr>
        <w:t xml:space="preserve">, προβλέποντας τη σοβαρότητα των περιστατικών </w:t>
      </w:r>
      <w:r w:rsidR="00A91598" w:rsidRPr="00A831E7">
        <w:rPr>
          <w:rFonts w:eastAsia="Calibri"/>
        </w:rPr>
        <w:t>εγκεφαλικών επεισοδίων</w:t>
      </w:r>
      <w:r w:rsidR="00D6166A" w:rsidRPr="00A831E7">
        <w:rPr>
          <w:rFonts w:eastAsia="Calibri"/>
        </w:rPr>
        <w:t xml:space="preserve"> και κατευθύνοντας τις MSUs όπου υπάρχει μεγαλύτερη ανάγκη</w:t>
      </w:r>
      <w:r w:rsidRPr="00A831E7">
        <w:rPr>
          <w:rFonts w:eastAsia="Calibri"/>
        </w:rPr>
        <w:t xml:space="preserve"> </w:t>
      </w:r>
      <w:r w:rsidRPr="00A831E7">
        <w:rPr>
          <w:rFonts w:eastAsia="Calibri"/>
        </w:rPr>
        <w:fldChar w:fldCharType="begin"/>
      </w:r>
      <w:r w:rsidRPr="00A831E7">
        <w:rPr>
          <w:rFonts w:eastAsia="Calibri"/>
        </w:rPr>
        <w:instrText xml:space="preserve"> ADDIN ZOTERO_ITEM CSL_CITATION {"citationID":"8V6USPVN","properties":{"formattedCitation":"[19]","plainCitation":"[19]","noteIndex":0},"citationItems":[{"id":110,"uris":["http://zotero.org/users/local/mfHf28QG/items/QT2DILW2"],"itemData":{"id":110,"type":"article-journal","abstract":"Mobile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00D6166A" w:rsidRPr="00A831E7">
        <w:rPr>
          <w:rFonts w:eastAsia="Calibri"/>
        </w:rPr>
        <w:t>.</w:t>
      </w:r>
    </w:p>
    <w:p w14:paraId="20E40F66" w14:textId="5E2D714F" w:rsidR="00B93F11" w:rsidRPr="00A831E7" w:rsidRDefault="00B93F11" w:rsidP="00F32EEE">
      <w:pPr>
        <w:pStyle w:val="4"/>
        <w:spacing w:line="360" w:lineRule="auto"/>
        <w:rPr>
          <w:rFonts w:eastAsia="Calibri"/>
          <w:b w:val="0"/>
          <w:bCs/>
        </w:rPr>
      </w:pPr>
      <w:r w:rsidRPr="00A831E7">
        <w:rPr>
          <w:rFonts w:eastAsia="Calibri"/>
          <w:bCs/>
        </w:rPr>
        <w:t>Ανακατασκευή Εικόνας φορητού MRI υποβοηθούμενη από ΑΙ</w:t>
      </w:r>
    </w:p>
    <w:p w14:paraId="4770E6D3" w14:textId="74A4A5D8" w:rsidR="009E4CCE" w:rsidRPr="00A831E7" w:rsidRDefault="00D9167B" w:rsidP="00F32EEE">
      <w:pPr>
        <w:spacing w:line="360" w:lineRule="auto"/>
        <w:ind w:firstLine="720"/>
        <w:jc w:val="both"/>
        <w:rPr>
          <w:rFonts w:eastAsia="Calibri"/>
        </w:rPr>
      </w:pPr>
      <w:r w:rsidRPr="00A831E7">
        <w:rPr>
          <w:rFonts w:eastAsia="Calibri"/>
        </w:rPr>
        <w:t>Ενώ οι MSU χρησιμοποιούν κυρίως αξονική τομογραφία (CT),</w:t>
      </w:r>
      <w:r w:rsidR="005B1693" w:rsidRPr="00A831E7">
        <w:rPr>
          <w:rFonts w:eastAsia="Calibri"/>
        </w:rPr>
        <w:t xml:space="preserve"> οι πρόσφατες εξελίξεις στον τομέα των MRI έχει οδηγήσει στην ανάπτυξη και χρήση χαμηλού πεδίου φορητών MRI μονάδων (Low-Field Mobile MRI) οι οποίες είναι ελαφρύτερες με μειωμένο ηλεκτρικό φορτίο </w:t>
      </w:r>
      <w:r w:rsidR="005B1693" w:rsidRPr="00A831E7">
        <w:rPr>
          <w:rFonts w:eastAsia="Calibri"/>
        </w:rPr>
        <w:fldChar w:fldCharType="begin"/>
      </w:r>
      <w:r w:rsidR="005B1693" w:rsidRPr="00A831E7">
        <w:rPr>
          <w:rFonts w:eastAsia="Calibri"/>
        </w:rPr>
        <w:instrText xml:space="preserve"> ADDIN ZOTERO_ITEM CSL_CITATION {"citationID":"BHAFX5Rj","properties":{"formattedCitation":"[19]","plainCitation":"[19]","noteIndex":0},"citationItems":[{"id":110,"uris":["http://zotero.org/users/local/mfHf28QG/items/QT2DILW2"],"itemData":{"id":110,"type":"article-journal","abstract":"Mobile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5B1693" w:rsidRPr="00A831E7">
        <w:rPr>
          <w:rFonts w:eastAsia="Calibri"/>
        </w:rPr>
        <w:fldChar w:fldCharType="separate"/>
      </w:r>
      <w:r w:rsidR="005B1693" w:rsidRPr="00A831E7">
        <w:rPr>
          <w:rFonts w:eastAsia="Calibri"/>
        </w:rPr>
        <w:t>[19]</w:t>
      </w:r>
      <w:r w:rsidR="005B1693" w:rsidRPr="00A831E7">
        <w:rPr>
          <w:rFonts w:eastAsia="Calibri"/>
        </w:rPr>
        <w:fldChar w:fldCharType="end"/>
      </w:r>
      <w:r w:rsidRPr="00A831E7">
        <w:rPr>
          <w:rFonts w:eastAsia="Calibri"/>
        </w:rPr>
        <w:t>. Οι αλγόριθμοι ML βελτιώνουν την ανάλυση εικόνας κα</w:t>
      </w:r>
      <w:r w:rsidR="005B1693" w:rsidRPr="00A831E7">
        <w:rPr>
          <w:rFonts w:eastAsia="Calibri"/>
        </w:rPr>
        <w:t>ι</w:t>
      </w:r>
      <w:r w:rsidRPr="00A831E7">
        <w:rPr>
          <w:rFonts w:eastAsia="Calibri"/>
        </w:rPr>
        <w:t xml:space="preserve"> </w:t>
      </w:r>
      <w:r w:rsidR="005B1693" w:rsidRPr="00A831E7">
        <w:rPr>
          <w:rFonts w:eastAsia="Calibri"/>
        </w:rPr>
        <w:t xml:space="preserve">μειώνουν </w:t>
      </w:r>
      <w:r w:rsidRPr="00A831E7">
        <w:rPr>
          <w:rFonts w:eastAsia="Calibri"/>
        </w:rPr>
        <w:t>το</w:t>
      </w:r>
      <w:r w:rsidR="005B1693" w:rsidRPr="00A831E7">
        <w:rPr>
          <w:rFonts w:eastAsia="Calibri"/>
        </w:rPr>
        <w:t>ν</w:t>
      </w:r>
      <w:r w:rsidRPr="00A831E7">
        <w:rPr>
          <w:rFonts w:eastAsia="Calibri"/>
        </w:rPr>
        <w:t xml:space="preserve"> </w:t>
      </w:r>
      <w:r w:rsidR="005403E6" w:rsidRPr="00A831E7">
        <w:rPr>
          <w:rFonts w:eastAsia="Calibri"/>
        </w:rPr>
        <w:t>θόρυβο</w:t>
      </w:r>
      <w:r w:rsidRPr="00A831E7">
        <w:rPr>
          <w:rFonts w:eastAsia="Calibri"/>
        </w:rPr>
        <w:t xml:space="preserve">, καθιστώντας τις </w:t>
      </w:r>
      <w:r w:rsidR="005B1693" w:rsidRPr="00A831E7">
        <w:rPr>
          <w:rFonts w:eastAsia="Calibri"/>
        </w:rPr>
        <w:t>φορητές</w:t>
      </w:r>
      <w:r w:rsidRPr="00A831E7">
        <w:rPr>
          <w:rFonts w:eastAsia="Calibri"/>
        </w:rPr>
        <w:t xml:space="preserve"> συσκευές </w:t>
      </w:r>
      <w:r w:rsidR="005B1693" w:rsidRPr="00A831E7">
        <w:rPr>
          <w:rFonts w:eastAsia="Calibri"/>
        </w:rPr>
        <w:t>MRI</w:t>
      </w:r>
      <w:r w:rsidRPr="00A831E7">
        <w:rPr>
          <w:rFonts w:eastAsia="Calibri"/>
        </w:rPr>
        <w:t xml:space="preserve"> πιο βιώσιμες για προνοσοκομειακή διάγνωση εγκεφαλικού επεισοδίου. Αν και δεν </w:t>
      </w:r>
      <w:r w:rsidR="009E4CCE" w:rsidRPr="00A831E7">
        <w:rPr>
          <w:rFonts w:eastAsia="Calibri"/>
        </w:rPr>
        <w:t>χρησιμοποιείται</w:t>
      </w:r>
      <w:r w:rsidRPr="00A831E7">
        <w:rPr>
          <w:rFonts w:eastAsia="Calibri"/>
        </w:rPr>
        <w:t xml:space="preserve"> ακόμη</w:t>
      </w:r>
      <w:r w:rsidR="009E4CCE" w:rsidRPr="00A831E7">
        <w:rPr>
          <w:rFonts w:eastAsia="Calibri"/>
        </w:rPr>
        <w:t xml:space="preserve"> ευρέως</w:t>
      </w:r>
      <w:r w:rsidRPr="00A831E7">
        <w:rPr>
          <w:rFonts w:eastAsia="Calibri"/>
        </w:rPr>
        <w:t xml:space="preserve"> στις MSU</w:t>
      </w:r>
      <w:r w:rsidR="009E4CCE" w:rsidRPr="00A831E7">
        <w:rPr>
          <w:rFonts w:eastAsia="Calibri"/>
        </w:rPr>
        <w:t>s</w:t>
      </w:r>
      <w:r w:rsidRPr="00A831E7">
        <w:rPr>
          <w:rFonts w:eastAsia="Calibri"/>
        </w:rPr>
        <w:t>, η μελλοντική ενσωμάτωση της ενισχυμένης με ML</w:t>
      </w:r>
      <w:r w:rsidR="009E4CCE" w:rsidRPr="00A831E7">
        <w:rPr>
          <w:rFonts w:eastAsia="Calibri"/>
        </w:rPr>
        <w:t xml:space="preserve"> MRI</w:t>
      </w:r>
      <w:r w:rsidRPr="00A831E7">
        <w:rPr>
          <w:rFonts w:eastAsia="Calibri"/>
        </w:rPr>
        <w:t xml:space="preserve"> θα μπορούσε να επεκτείνει τις δυνατότητες κινητής διάγνωσης πέρα από την CT</w:t>
      </w:r>
      <w:r w:rsidR="009E4CCE" w:rsidRPr="00A831E7">
        <w:rPr>
          <w:rFonts w:eastAsia="Calibri"/>
        </w:rPr>
        <w:t xml:space="preserve"> </w:t>
      </w:r>
      <w:r w:rsidR="009E4CCE" w:rsidRPr="00A831E7">
        <w:rPr>
          <w:rFonts w:eastAsia="Calibri"/>
        </w:rPr>
        <w:fldChar w:fldCharType="begin"/>
      </w:r>
      <w:r w:rsidR="009E4CCE" w:rsidRPr="00A831E7">
        <w:rPr>
          <w:rFonts w:eastAsia="Calibri"/>
        </w:rPr>
        <w:instrText xml:space="preserve"> ADDIN ZOTERO_ITEM CSL_CITATION {"citationID":"44wc8KGE","properties":{"formattedCitation":"[19]","plainCitation":"[19]","noteIndex":0},"citationItems":[{"id":110,"uris":["http://zotero.org/users/local/mfHf28QG/items/QT2DILW2"],"itemData":{"id":110,"type":"article-journal","abstract":"Mobile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9E4CCE" w:rsidRPr="00A831E7">
        <w:rPr>
          <w:rFonts w:eastAsia="Calibri"/>
        </w:rPr>
        <w:fldChar w:fldCharType="separate"/>
      </w:r>
      <w:r w:rsidR="009E4CCE" w:rsidRPr="00A831E7">
        <w:rPr>
          <w:rFonts w:eastAsia="Calibri"/>
        </w:rPr>
        <w:t>[19]</w:t>
      </w:r>
      <w:r w:rsidR="009E4CCE" w:rsidRPr="00A831E7">
        <w:rPr>
          <w:rFonts w:eastAsia="Calibri"/>
        </w:rPr>
        <w:fldChar w:fldCharType="end"/>
      </w:r>
      <w:r w:rsidRPr="00A831E7">
        <w:rPr>
          <w:rFonts w:eastAsia="Calibri"/>
        </w:rPr>
        <w:t>.</w:t>
      </w:r>
    </w:p>
    <w:p w14:paraId="3AB366CE" w14:textId="77777777" w:rsidR="00B93F11" w:rsidRPr="00A831E7" w:rsidRDefault="00B93F11" w:rsidP="00F32EEE">
      <w:pPr>
        <w:spacing w:line="360" w:lineRule="auto"/>
        <w:jc w:val="both"/>
        <w:rPr>
          <w:rFonts w:eastAsia="Calibri"/>
        </w:rPr>
      </w:pPr>
    </w:p>
    <w:p w14:paraId="5558CE5D" w14:textId="2A0E43D6" w:rsidR="009E4CCE" w:rsidRPr="00A831E7" w:rsidRDefault="009E4CCE" w:rsidP="00F32EEE">
      <w:pPr>
        <w:pStyle w:val="4"/>
        <w:spacing w:line="360" w:lineRule="auto"/>
        <w:rPr>
          <w:rFonts w:eastAsia="Calibri"/>
          <w:b w:val="0"/>
          <w:bCs/>
        </w:rPr>
      </w:pPr>
      <w:r w:rsidRPr="00A831E7">
        <w:rPr>
          <w:rFonts w:eastAsia="Calibri"/>
          <w:bCs/>
        </w:rPr>
        <w:lastRenderedPageBreak/>
        <w:t>Προγνωστική μοντελοποίηση για υποστήριξη αποφάσεων θεραπείας</w:t>
      </w:r>
    </w:p>
    <w:p w14:paraId="4AF1BA86" w14:textId="630D5C06" w:rsidR="009E4CCE" w:rsidRPr="00A831E7" w:rsidRDefault="009E4CCE" w:rsidP="00F32EEE">
      <w:pPr>
        <w:spacing w:line="360" w:lineRule="auto"/>
        <w:ind w:firstLine="720"/>
        <w:jc w:val="both"/>
        <w:rPr>
          <w:rFonts w:eastAsia="Calibri"/>
        </w:rPr>
      </w:pPr>
      <w:r w:rsidRPr="00A831E7">
        <w:rPr>
          <w:rFonts w:eastAsia="Calibri"/>
        </w:rPr>
        <w:t xml:space="preserve">Τα μοντέλα ML που εκπαιδεύονται με προνοσοκομειακά σετ δεδομένων εγκεφαλικού επεισοδίου μπορούν να βοηθήσουν τις ομάδες MSU στην έγκαιρη διάγνωση και στην παροχή κατάλληλης </w:t>
      </w:r>
      <w:r w:rsidR="00A91598" w:rsidRPr="00A831E7">
        <w:rPr>
          <w:rFonts w:eastAsia="Calibri"/>
        </w:rPr>
        <w:t>θεραπείας</w:t>
      </w:r>
      <w:r w:rsidRPr="00A831E7">
        <w:rPr>
          <w:rFonts w:eastAsia="Calibri"/>
        </w:rPr>
        <w:t xml:space="preserve">. Αυτά τα μοντέλα ενσωματώνουν ευρήματα απεικόνισης, κλινικές αξιολογήσεις και δεδομένα βιοδεικτών για τη βελτίωση της λήψης τελικών και ολοκληρωμένων αποφάσεων αλλά και την ανάπτυξη στρατηγικών διαλογής ώστε να επισπευσθεί η παροχή θεραπείας </w:t>
      </w:r>
      <w:r w:rsidRPr="00A831E7">
        <w:rPr>
          <w:rFonts w:eastAsia="Calibri"/>
        </w:rPr>
        <w:fldChar w:fldCharType="begin"/>
      </w:r>
      <w:r w:rsidRPr="00A831E7">
        <w:rPr>
          <w:rFonts w:eastAsia="Calibri"/>
        </w:rPr>
        <w:instrText xml:space="preserve"> ADDIN ZOTERO_ITEM CSL_CITATION {"citationID":"A5z3Nxoq","properties":{"formattedCitation":"[19]","plainCitation":"[19]","noteIndex":0},"citationItems":[{"id":110,"uris":["http://zotero.org/users/local/mfHf28QG/items/QT2DILW2"],"itemData":{"id":110,"type":"article-journal","abstract":"Mobile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Pr="00A831E7">
        <w:rPr>
          <w:rFonts w:eastAsia="Calibri"/>
        </w:rPr>
        <w:t>.</w:t>
      </w:r>
    </w:p>
    <w:p w14:paraId="22A638A3" w14:textId="77777777" w:rsidR="009E4CCE" w:rsidRPr="00A831E7" w:rsidRDefault="009E4CCE" w:rsidP="00F32EEE">
      <w:pPr>
        <w:spacing w:line="360" w:lineRule="auto"/>
        <w:jc w:val="both"/>
        <w:rPr>
          <w:rFonts w:eastAsia="Calibri"/>
        </w:rPr>
      </w:pPr>
    </w:p>
    <w:p w14:paraId="2FD1DE39" w14:textId="4E354AEA" w:rsidR="009E4CCE" w:rsidRPr="008F5904" w:rsidRDefault="009E4CCE" w:rsidP="008F5904">
      <w:pPr>
        <w:pStyle w:val="3"/>
      </w:pPr>
      <w:bookmarkStart w:id="108" w:name="_Toc199787404"/>
      <w:bookmarkStart w:id="109" w:name="_Toc199946475"/>
      <w:r w:rsidRPr="008F5904">
        <w:t xml:space="preserve">3.4.3 </w:t>
      </w:r>
      <w:r w:rsidR="00D6166A" w:rsidRPr="008F5904">
        <w:t xml:space="preserve">Διεύρυνση της Διάγνωσης </w:t>
      </w:r>
      <w:r w:rsidR="00F8676A" w:rsidRPr="008F5904">
        <w:t>πέρα από τα MSUs</w:t>
      </w:r>
      <w:bookmarkEnd w:id="108"/>
      <w:bookmarkEnd w:id="109"/>
    </w:p>
    <w:p w14:paraId="073ACBCB" w14:textId="1F0FA690" w:rsidR="00DC453D" w:rsidRPr="00547F04" w:rsidRDefault="00D6166A" w:rsidP="00547F04">
      <w:pPr>
        <w:spacing w:line="360" w:lineRule="auto"/>
        <w:ind w:firstLine="720"/>
        <w:jc w:val="both"/>
        <w:rPr>
          <w:rFonts w:eastAsia="Calibri"/>
        </w:rPr>
      </w:pPr>
      <w:r w:rsidRPr="00A831E7">
        <w:rPr>
          <w:rFonts w:eastAsia="Calibri"/>
        </w:rPr>
        <w:t>Παρόλο που οι MSUs προσφέρουν προηγμένη διάγνωση, η γεωγραφική τους κάλυψη είναι περιορισμένη. Νέες τεχνολογίες ΑΙ και φορητ</w:t>
      </w:r>
      <w:r w:rsidR="00DC453D" w:rsidRPr="00A831E7">
        <w:rPr>
          <w:rFonts w:eastAsia="Calibri"/>
        </w:rPr>
        <w:t>ές P</w:t>
      </w:r>
      <w:r w:rsidR="007273FF" w:rsidRPr="00A831E7">
        <w:rPr>
          <w:rFonts w:eastAsia="Calibri"/>
        </w:rPr>
        <w:t>o</w:t>
      </w:r>
      <w:r w:rsidR="00DC453D" w:rsidRPr="00A831E7">
        <w:rPr>
          <w:rFonts w:eastAsia="Calibri"/>
        </w:rPr>
        <w:t>C</w:t>
      </w:r>
      <w:r w:rsidRPr="00A831E7">
        <w:rPr>
          <w:rFonts w:eastAsia="Calibri"/>
        </w:rPr>
        <w:t xml:space="preserve"> συσκευ</w:t>
      </w:r>
      <w:r w:rsidR="00DC453D" w:rsidRPr="00A831E7">
        <w:rPr>
          <w:rFonts w:eastAsia="Calibri"/>
        </w:rPr>
        <w:t>ές</w:t>
      </w:r>
      <w:r w:rsidRPr="00A831E7">
        <w:rPr>
          <w:rFonts w:eastAsia="Calibri"/>
        </w:rPr>
        <w:t xml:space="preserve"> προσφέρουν λύσεις για επέκταση αυτών των διαγνωστικών δυνατοτήτων.</w:t>
      </w:r>
    </w:p>
    <w:p w14:paraId="771B53FB" w14:textId="6BDCBF37" w:rsidR="00D6166A" w:rsidRPr="00A831E7" w:rsidRDefault="00DC453D" w:rsidP="00F32EEE">
      <w:pPr>
        <w:pStyle w:val="4"/>
        <w:spacing w:line="360" w:lineRule="auto"/>
        <w:rPr>
          <w:rFonts w:eastAsia="Calibri"/>
        </w:rPr>
      </w:pPr>
      <w:r w:rsidRPr="00A831E7">
        <w:rPr>
          <w:rFonts w:eastAsia="Calibri"/>
          <w:bCs/>
        </w:rPr>
        <w:t>Φορητές Διαγνωστικές Συσκευές</w:t>
      </w:r>
    </w:p>
    <w:p w14:paraId="55AD3CC2" w14:textId="3675A034" w:rsidR="00E86535" w:rsidRPr="00A831E7" w:rsidRDefault="00DC453D" w:rsidP="00547F04">
      <w:pPr>
        <w:spacing w:line="360" w:lineRule="auto"/>
        <w:ind w:firstLine="720"/>
        <w:jc w:val="both"/>
        <w:rPr>
          <w:rFonts w:eastAsia="Calibri"/>
        </w:rPr>
      </w:pPr>
      <w:r w:rsidRPr="00A831E7">
        <w:rPr>
          <w:rFonts w:eastAsia="Calibri"/>
        </w:rPr>
        <w:t xml:space="preserve">Για την παροχή διαγνωστικών δυνατοτήτων αντίστοιχων των MSUs αλλά σε συμβατικά ασθενοφόρα έχουν αναπτυχθεί φορητές </w:t>
      </w:r>
      <w:r w:rsidR="00D6166A" w:rsidRPr="00A831E7">
        <w:rPr>
          <w:rFonts w:eastAsia="Calibri"/>
        </w:rPr>
        <w:t xml:space="preserve">CT </w:t>
      </w:r>
      <w:r w:rsidRPr="00A831E7">
        <w:rPr>
          <w:rFonts w:eastAsia="Calibri"/>
        </w:rPr>
        <w:t xml:space="preserve">συσκευές και νευροδιαγνωστικά εργαλεία όπως ο διακρανιακός υπέρηχος Doppler </w:t>
      </w:r>
      <w:r w:rsidR="00D6166A" w:rsidRPr="00A831E7">
        <w:rPr>
          <w:rFonts w:eastAsia="Calibri"/>
        </w:rPr>
        <w:t>(TCD) και η φασματο</w:t>
      </w:r>
      <w:r w:rsidRPr="00A831E7">
        <w:rPr>
          <w:rFonts w:eastAsia="Calibri"/>
        </w:rPr>
        <w:t>μετρία εγγύς υπερύρθου</w:t>
      </w:r>
      <w:r w:rsidR="00D6166A" w:rsidRPr="00A831E7">
        <w:rPr>
          <w:rFonts w:eastAsia="Calibri"/>
        </w:rPr>
        <w:t xml:space="preserve"> (NIRS)</w:t>
      </w:r>
      <w:r w:rsidR="00E86535" w:rsidRPr="00A831E7">
        <w:rPr>
          <w:rFonts w:eastAsia="Calibri"/>
        </w:rPr>
        <w:t xml:space="preserve">. H χρήση ΑΙ για την αξιολόγηση των απεικονιστικών εξετάσεων μπορεί να ενισχύσει τη χρήση φορητών συσκευών στο συμβατικό περιβάλλον των κλασσικών ασθενοφόρων </w:t>
      </w:r>
      <w:r w:rsidR="00E86535" w:rsidRPr="00A831E7">
        <w:rPr>
          <w:rFonts w:eastAsia="Calibri"/>
        </w:rPr>
        <w:fldChar w:fldCharType="begin"/>
      </w:r>
      <w:r w:rsidR="00E86535" w:rsidRPr="00A831E7">
        <w:rPr>
          <w:rFonts w:eastAsia="Calibri"/>
        </w:rPr>
        <w:instrText xml:space="preserve"> ADDIN ZOTERO_ITEM CSL_CITATION {"citationID":"xU2gW5Kg","properties":{"formattedCitation":"[19]","plainCitation":"[19]","noteIndex":0},"citationItems":[{"id":110,"uris":["http://zotero.org/users/local/mfHf28QG/items/QT2DILW2"],"itemData":{"id":110,"type":"article-journal","abstract":"Mobile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E86535" w:rsidRPr="00A831E7">
        <w:rPr>
          <w:rFonts w:eastAsia="Calibri"/>
        </w:rPr>
        <w:fldChar w:fldCharType="separate"/>
      </w:r>
      <w:r w:rsidR="00E86535" w:rsidRPr="00A831E7">
        <w:rPr>
          <w:rFonts w:eastAsia="Calibri"/>
        </w:rPr>
        <w:t>[19]</w:t>
      </w:r>
      <w:r w:rsidR="00E86535" w:rsidRPr="00A831E7">
        <w:rPr>
          <w:rFonts w:eastAsia="Calibri"/>
        </w:rPr>
        <w:fldChar w:fldCharType="end"/>
      </w:r>
      <w:r w:rsidR="00E86535" w:rsidRPr="00A831E7">
        <w:rPr>
          <w:rFonts w:eastAsia="Calibri"/>
        </w:rPr>
        <w:t>.</w:t>
      </w:r>
    </w:p>
    <w:p w14:paraId="508E3893" w14:textId="0060D99D" w:rsidR="00F8676A" w:rsidRPr="00A831E7" w:rsidRDefault="00F8676A" w:rsidP="00F32EEE">
      <w:pPr>
        <w:pStyle w:val="4"/>
        <w:spacing w:line="360" w:lineRule="auto"/>
        <w:rPr>
          <w:rFonts w:eastAsia="Calibri"/>
          <w:b w:val="0"/>
          <w:bCs/>
        </w:rPr>
      </w:pPr>
      <w:r w:rsidRPr="00A831E7">
        <w:rPr>
          <w:rFonts w:eastAsia="Calibri"/>
          <w:bCs/>
        </w:rPr>
        <w:t>Λύσεις σε άλλους διαγνωστικούς τομείς</w:t>
      </w:r>
    </w:p>
    <w:p w14:paraId="2024C95A" w14:textId="24345D57" w:rsidR="00E86535" w:rsidRPr="00A831E7" w:rsidRDefault="00D6166A" w:rsidP="00F32EEE">
      <w:pPr>
        <w:spacing w:line="360" w:lineRule="auto"/>
        <w:jc w:val="both"/>
        <w:rPr>
          <w:rFonts w:eastAsia="Calibri"/>
        </w:rPr>
      </w:pPr>
      <w:r w:rsidRPr="00A831E7">
        <w:rPr>
          <w:rFonts w:eastAsia="Calibri"/>
        </w:rPr>
        <w:t xml:space="preserve"> </w:t>
      </w:r>
      <w:r w:rsidR="00E86535" w:rsidRPr="00A831E7">
        <w:rPr>
          <w:rFonts w:eastAsia="Calibri"/>
        </w:rPr>
        <w:tab/>
        <w:t>Τα μοντέλα επεξεργασίας φυσικής γλώσσας (NLP) βελτιώνουν την αναγνώριση εγκεφαλικού επεισοδίου κατά τις κλήσεις έκτακτης ανάγκης αναλύοντας μοτίβα ομιλίας και από τις περιγραφές του καλούντος</w:t>
      </w:r>
      <w:r w:rsidR="00BE479B">
        <w:rPr>
          <w:rFonts w:eastAsia="Calibri"/>
        </w:rPr>
        <w:t>,</w:t>
      </w:r>
      <w:r w:rsidR="00F8676A" w:rsidRPr="00A831E7">
        <w:rPr>
          <w:rFonts w:eastAsia="Calibri"/>
        </w:rPr>
        <w:t xml:space="preserve"> βελτιώνοντας τις διαδικασίες διαλογής </w:t>
      </w:r>
      <w:r w:rsidR="00F8676A" w:rsidRPr="00A831E7">
        <w:rPr>
          <w:rFonts w:eastAsia="Calibri"/>
        </w:rPr>
        <w:fldChar w:fldCharType="begin"/>
      </w:r>
      <w:r w:rsidR="00F8676A" w:rsidRPr="00A831E7">
        <w:rPr>
          <w:rFonts w:eastAsia="Calibri"/>
        </w:rPr>
        <w:instrText xml:space="preserve"> ADDIN ZOTERO_ITEM CSL_CITATION {"citationID":"Oxbf9Co9","properties":{"formattedCitation":"[19]","plainCitation":"[19]","noteIndex":0},"citationItems":[{"id":110,"uris":["http://zotero.org/users/local/mfHf28QG/items/QT2DILW2"],"itemData":{"id":110,"type":"article-journal","abstract":"Mobile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F8676A" w:rsidRPr="00A831E7">
        <w:rPr>
          <w:rFonts w:eastAsia="Calibri"/>
        </w:rPr>
        <w:fldChar w:fldCharType="separate"/>
      </w:r>
      <w:r w:rsidR="00F8676A" w:rsidRPr="00A831E7">
        <w:rPr>
          <w:rFonts w:eastAsia="Calibri"/>
        </w:rPr>
        <w:t>[19]</w:t>
      </w:r>
      <w:r w:rsidR="00F8676A" w:rsidRPr="00A831E7">
        <w:rPr>
          <w:rFonts w:eastAsia="Calibri"/>
        </w:rPr>
        <w:fldChar w:fldCharType="end"/>
      </w:r>
      <w:r w:rsidR="00F8676A" w:rsidRPr="00A831E7">
        <w:rPr>
          <w:rFonts w:eastAsia="Calibri"/>
        </w:rPr>
        <w:t>.</w:t>
      </w:r>
    </w:p>
    <w:p w14:paraId="6396CFA1" w14:textId="6BB61DFB" w:rsidR="0066323E" w:rsidRPr="00A831E7" w:rsidRDefault="00E86535" w:rsidP="00C7272A">
      <w:pPr>
        <w:spacing w:line="360" w:lineRule="auto"/>
        <w:ind w:firstLine="720"/>
        <w:jc w:val="both"/>
        <w:rPr>
          <w:rFonts w:eastAsia="Calibri"/>
        </w:rPr>
      </w:pPr>
      <w:r w:rsidRPr="00A831E7">
        <w:rPr>
          <w:rFonts w:eastAsia="Calibri"/>
        </w:rPr>
        <w:t xml:space="preserve">Φορετοί βιοαισθητήρες που ανιχνεύουν φυσιολογικές αλλαγές σε πραγματικό χρόνο </w:t>
      </w:r>
      <w:r w:rsidR="00F8676A" w:rsidRPr="00A831E7">
        <w:rPr>
          <w:rFonts w:eastAsia="Calibri"/>
        </w:rPr>
        <w:t>θα μπορούσαν να εντοπίσουν αλλαγές που</w:t>
      </w:r>
      <w:r w:rsidRPr="00A831E7">
        <w:rPr>
          <w:rFonts w:eastAsia="Calibri"/>
        </w:rPr>
        <w:t xml:space="preserve"> σχετίζονται με την έναρξη εγκεφαλικού επεισοδίου</w:t>
      </w:r>
      <w:r w:rsidR="00F8676A" w:rsidRPr="00A831E7">
        <w:rPr>
          <w:rFonts w:eastAsia="Calibri"/>
        </w:rPr>
        <w:t xml:space="preserve"> αποκτώντας συμπληρωματική διαγνωστική αξία</w:t>
      </w:r>
      <w:r w:rsidRPr="00A831E7">
        <w:rPr>
          <w:rFonts w:eastAsia="Calibri"/>
        </w:rPr>
        <w:t xml:space="preserve">. Οι αλγόριθμοι ML ερμηνεύουν τα δεδομένα αισθητήρων για να εντοπίσουν δείκτες εγκεφαλικού επεισοδίου με υψηλή ευαισθησία, επιτρέποντας ενδεχομένως την έγκαιρη ανίχνευση ακόμη και </w:t>
      </w:r>
      <w:r w:rsidR="00F8676A" w:rsidRPr="00A831E7">
        <w:rPr>
          <w:rFonts w:eastAsia="Calibri"/>
        </w:rPr>
        <w:t xml:space="preserve">σε περιοχές χωρίς </w:t>
      </w:r>
      <w:r w:rsidRPr="00A831E7">
        <w:rPr>
          <w:rFonts w:eastAsia="Calibri"/>
        </w:rPr>
        <w:t>MSU</w:t>
      </w:r>
      <w:r w:rsidR="00F8676A" w:rsidRPr="00A831E7">
        <w:rPr>
          <w:rFonts w:eastAsia="Calibri"/>
        </w:rPr>
        <w:t xml:space="preserve">s </w:t>
      </w:r>
      <w:r w:rsidR="00F8676A" w:rsidRPr="00A831E7">
        <w:rPr>
          <w:rFonts w:eastAsia="Calibri"/>
        </w:rPr>
        <w:fldChar w:fldCharType="begin"/>
      </w:r>
      <w:r w:rsidR="00F8676A" w:rsidRPr="00A831E7">
        <w:rPr>
          <w:rFonts w:eastAsia="Calibri"/>
        </w:rPr>
        <w:instrText xml:space="preserve"> ADDIN ZOTERO_ITEM CSL_CITATION {"citationID":"Qcy0adnB","properties":{"formattedCitation":"[19]","plainCitation":"[19]","noteIndex":0},"citationItems":[{"id":110,"uris":["http://zotero.org/users/local/mfHf28QG/items/QT2DILW2"],"itemData":{"id":110,"type":"article-journal","abstract":"Mobile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uppress-author":true}],"schema":"https://github.com/citation-style-language/schema/raw/master/csl-citation.json"} </w:instrText>
      </w:r>
      <w:r w:rsidR="00F8676A" w:rsidRPr="00A831E7">
        <w:rPr>
          <w:rFonts w:eastAsia="Calibri"/>
        </w:rPr>
        <w:fldChar w:fldCharType="separate"/>
      </w:r>
      <w:r w:rsidR="00F8676A" w:rsidRPr="00A831E7">
        <w:rPr>
          <w:rFonts w:eastAsia="Calibri"/>
        </w:rPr>
        <w:t>[19]</w:t>
      </w:r>
      <w:r w:rsidR="00F8676A" w:rsidRPr="00A831E7">
        <w:rPr>
          <w:rFonts w:eastAsia="Calibri"/>
        </w:rPr>
        <w:fldChar w:fldCharType="end"/>
      </w:r>
      <w:r w:rsidRPr="00A831E7">
        <w:rPr>
          <w:rFonts w:eastAsia="Calibri"/>
        </w:rPr>
        <w:t>.</w:t>
      </w:r>
      <w:r w:rsidR="0066323E" w:rsidRPr="00A831E7">
        <w:rPr>
          <w:rFonts w:eastAsia="Calibri"/>
        </w:rPr>
        <w:tab/>
      </w:r>
      <w:r w:rsidR="00C7272A">
        <w:rPr>
          <w:rFonts w:eastAsia="Calibri"/>
        </w:rPr>
        <w:br w:type="page"/>
      </w:r>
    </w:p>
    <w:p w14:paraId="503019E3" w14:textId="6D87C9C6" w:rsidR="006075F8" w:rsidRPr="00EB2D8D" w:rsidRDefault="006075F8" w:rsidP="0057069D">
      <w:pPr>
        <w:pStyle w:val="1"/>
        <w:spacing w:line="360" w:lineRule="auto"/>
        <w:rPr>
          <w:rFonts w:ascii="Times New Roman" w:eastAsia="Calibri" w:hAnsi="Times New Roman" w:cs="Times New Roman"/>
          <w:b/>
          <w:bCs/>
          <w:color w:val="auto"/>
          <w:sz w:val="32"/>
          <w:szCs w:val="32"/>
        </w:rPr>
      </w:pPr>
      <w:bookmarkStart w:id="110" w:name="_Toc199787405"/>
      <w:bookmarkStart w:id="111" w:name="_Toc199946476"/>
      <w:bookmarkStart w:id="112" w:name="_Hlk198407671"/>
      <w:bookmarkStart w:id="113" w:name="_Hlk198285394"/>
      <w:r w:rsidRPr="00EB2D8D">
        <w:rPr>
          <w:rFonts w:ascii="Times New Roman" w:eastAsia="Calibri" w:hAnsi="Times New Roman" w:cs="Times New Roman"/>
          <w:b/>
          <w:bCs/>
          <w:color w:val="auto"/>
          <w:sz w:val="32"/>
          <w:szCs w:val="32"/>
        </w:rPr>
        <w:lastRenderedPageBreak/>
        <w:t xml:space="preserve">4. Διάγνωση </w:t>
      </w:r>
      <w:r w:rsidR="006B3C52" w:rsidRPr="00EB2D8D">
        <w:rPr>
          <w:rFonts w:ascii="Times New Roman" w:eastAsia="Calibri" w:hAnsi="Times New Roman" w:cs="Times New Roman"/>
          <w:b/>
          <w:bCs/>
          <w:color w:val="auto"/>
          <w:sz w:val="32"/>
          <w:szCs w:val="32"/>
        </w:rPr>
        <w:t>Εγκεφαλικού Επεισοδίου</w:t>
      </w:r>
      <w:r w:rsidRPr="00EB2D8D">
        <w:rPr>
          <w:rFonts w:ascii="Times New Roman" w:eastAsia="Calibri" w:hAnsi="Times New Roman" w:cs="Times New Roman"/>
          <w:b/>
          <w:bCs/>
          <w:color w:val="auto"/>
          <w:sz w:val="32"/>
          <w:szCs w:val="32"/>
        </w:rPr>
        <w:t xml:space="preserve"> με Βιοδείκτες</w:t>
      </w:r>
      <w:bookmarkEnd w:id="110"/>
      <w:bookmarkEnd w:id="111"/>
    </w:p>
    <w:p w14:paraId="59E7A1FB" w14:textId="0D5497CF" w:rsidR="006075F8" w:rsidRPr="00A831E7" w:rsidRDefault="006075F8" w:rsidP="0057069D">
      <w:pPr>
        <w:pStyle w:val="2"/>
        <w:spacing w:line="360" w:lineRule="auto"/>
        <w:rPr>
          <w:rFonts w:ascii="Times New Roman" w:hAnsi="Times New Roman" w:cs="Times New Roman"/>
          <w:b/>
          <w:bCs/>
          <w:i/>
          <w:iCs/>
          <w:color w:val="auto"/>
          <w:sz w:val="28"/>
          <w:szCs w:val="28"/>
        </w:rPr>
      </w:pPr>
      <w:bookmarkStart w:id="114" w:name="_Toc199787406"/>
      <w:bookmarkStart w:id="115" w:name="_Toc199946477"/>
      <w:r w:rsidRPr="00A831E7">
        <w:rPr>
          <w:rFonts w:ascii="Times New Roman" w:hAnsi="Times New Roman" w:cs="Times New Roman"/>
          <w:b/>
          <w:bCs/>
          <w:i/>
          <w:iCs/>
          <w:color w:val="auto"/>
          <w:sz w:val="28"/>
          <w:szCs w:val="28"/>
        </w:rPr>
        <w:t>4.1 Γενικά</w:t>
      </w:r>
      <w:bookmarkEnd w:id="114"/>
      <w:bookmarkEnd w:id="115"/>
    </w:p>
    <w:p w14:paraId="5654C594" w14:textId="1C9495B6" w:rsidR="001206FE" w:rsidRPr="00A831E7" w:rsidRDefault="0011104D" w:rsidP="0057069D">
      <w:pPr>
        <w:spacing w:line="360" w:lineRule="auto"/>
        <w:ind w:firstLine="720"/>
        <w:jc w:val="both"/>
        <w:rPr>
          <w:rFonts w:eastAsia="Calibri"/>
        </w:rPr>
      </w:pPr>
      <w:r w:rsidRPr="00A831E7">
        <w:rPr>
          <w:rFonts w:eastAsia="Calibri"/>
        </w:rPr>
        <w:t>Ο όρος «βιοδείκτης» προέρχεται από τη σύνθεση των λέξεων «βιολογικός» και  «δείκτης» και αναφέρεται σε έναν αντικειμενικό δείκτη της βιολογικής κατάστασης ενός οργανισμού</w:t>
      </w:r>
      <w:r w:rsidR="00EF522C">
        <w:rPr>
          <w:rFonts w:eastAsia="Calibri"/>
        </w:rPr>
        <w:t xml:space="preserve"> </w:t>
      </w:r>
      <w:r w:rsidR="00EF522C" w:rsidRPr="00A831E7">
        <w:rPr>
          <w:rFonts w:eastAsia="Calibri"/>
        </w:rPr>
        <w:fldChar w:fldCharType="begin"/>
      </w:r>
      <w:r w:rsidR="00EF522C" w:rsidRPr="00A831E7">
        <w:rPr>
          <w:rFonts w:eastAsia="Calibri"/>
        </w:rPr>
        <w:instrText xml:space="preserve"> ADDIN ZOTERO_ITEM CSL_CITATION {"citationID":"kiqWQnG4","properties":{"formattedCitation":"[64]","plainCitation":"[64]","noteIndex":0},"citationItems":[{"id":355,"uris":["http://zotero.org/users/local/mfHf28QG/items/ZGPB4CMC"],"itemData":{"id":355,"type":"article-journal","abstract":"Surface-plasmon-resonance (SPR) is a quantum-electromagnetic phenomenon arising from the interaction of light with free electrons at a metal-dielectric interface. At a specific angle/wavelength of light, the photon’s energy is transferred to excite ...","container-title":"Sensors (Basel, Switzerland)","DOI":"10.3390/s19112533","issue":"11","language":"en","note":"PMID: 31163612","page":"2533","source":"pmc.ncbi.nlm.nih.gov","title":"Point-of-Care Surface Plasmon Resonance Biosensor for Stroke Biomarkers NT-proBNP and S100β Using a Functionalized Gold Chip with Specific Antibody","volume":"19","author":[{"family":"Harpaz","given":"Dorin"},{"family":"Koh","given":"Brescia"},{"family":"Marks","given":"Robert S."},{"family":"Seet","given":"Raymond CS"},{"family":"Abdulhalim","given":"Ibrahim"},{"family":"Tok","given":"Alfred IY"}],"issued":{"date-parts":[["2019",6,3]]}},"suppress-author":true}],"schema":"https://github.com/citation-style-language/schema/raw/master/csl-citation.json"} </w:instrText>
      </w:r>
      <w:r w:rsidR="00EF522C" w:rsidRPr="00A831E7">
        <w:rPr>
          <w:rFonts w:eastAsia="Calibri"/>
        </w:rPr>
        <w:fldChar w:fldCharType="separate"/>
      </w:r>
      <w:r w:rsidR="00EF522C" w:rsidRPr="00A831E7">
        <w:rPr>
          <w:rFonts w:eastAsia="Calibri"/>
        </w:rPr>
        <w:t>[64]</w:t>
      </w:r>
      <w:r w:rsidR="00EF522C" w:rsidRPr="00A831E7">
        <w:rPr>
          <w:rFonts w:eastAsia="Calibri"/>
        </w:rPr>
        <w:fldChar w:fldCharType="end"/>
      </w:r>
      <w:r w:rsidR="00EF522C">
        <w:rPr>
          <w:rFonts w:eastAsia="Calibri"/>
        </w:rPr>
        <w:t>. Οι βιοδείκτες</w:t>
      </w:r>
      <w:r w:rsidR="001206FE" w:rsidRPr="00A831E7">
        <w:rPr>
          <w:rFonts w:eastAsia="Calibri"/>
        </w:rPr>
        <w:t xml:space="preserve"> μπορούν να σηματοδοτήσουν την εμφάνιση μιας ιατρικής πάθησης πριν από την εκδήλωση των συμπτωμάτων της. </w:t>
      </w:r>
    </w:p>
    <w:p w14:paraId="6030DD45" w14:textId="5FAB5702" w:rsidR="007261DF" w:rsidRPr="00A831E7" w:rsidRDefault="00EF522C" w:rsidP="0057069D">
      <w:pPr>
        <w:spacing w:line="360" w:lineRule="auto"/>
        <w:ind w:firstLine="720"/>
        <w:jc w:val="both"/>
        <w:rPr>
          <w:rFonts w:eastAsia="Calibri"/>
        </w:rPr>
      </w:pPr>
      <w:r>
        <w:rPr>
          <w:rFonts w:eastAsia="Calibri"/>
        </w:rPr>
        <w:t>Α</w:t>
      </w:r>
      <w:r w:rsidR="006075F8" w:rsidRPr="00A831E7">
        <w:rPr>
          <w:rFonts w:eastAsia="Calibri"/>
        </w:rPr>
        <w:t>ποτελούν ένα ισχυρό εργαλείο στη διάγνωση του εγκεφαλικού επεισοδίου, προσφέροντας μοριακές και κυτταρικές πληροφορίε</w:t>
      </w:r>
      <w:r w:rsidR="00F71ED9" w:rsidRPr="00A831E7">
        <w:rPr>
          <w:rFonts w:eastAsia="Calibri"/>
        </w:rPr>
        <w:t>ς  και δ</w:t>
      </w:r>
      <w:r w:rsidR="006075F8" w:rsidRPr="00A831E7">
        <w:rPr>
          <w:rFonts w:eastAsia="Calibri"/>
        </w:rPr>
        <w:t xml:space="preserve">ιαγνωστικά μπορούν να αξιοποιηθούν </w:t>
      </w:r>
      <w:r w:rsidR="004152CC" w:rsidRPr="00A831E7">
        <w:rPr>
          <w:rFonts w:eastAsia="Calibri"/>
        </w:rPr>
        <w:t>συμπληρωματικά</w:t>
      </w:r>
      <w:r w:rsidR="006075F8" w:rsidRPr="00A831E7">
        <w:rPr>
          <w:rFonts w:eastAsia="Calibri"/>
        </w:rPr>
        <w:t xml:space="preserve"> </w:t>
      </w:r>
      <w:r w:rsidR="00A91598" w:rsidRPr="00A831E7">
        <w:rPr>
          <w:rFonts w:eastAsia="Calibri"/>
        </w:rPr>
        <w:t>με τις</w:t>
      </w:r>
      <w:r w:rsidR="006075F8" w:rsidRPr="00A831E7">
        <w:rPr>
          <w:rFonts w:eastAsia="Calibri"/>
        </w:rPr>
        <w:t xml:space="preserve"> απεικονιστικές τεχνικές. Αποτελούν μια ευρεία κατηγορία μοριακών και κυτταρικών δεικτών, οι οποίοι προσφέρουν αντικειμενικές ενδείξεις για τη φυσιολογική και παθολογική κατάσταση του ασθενούς και μπορούν να ανιχνευθούν στην περιφερική κυκλοφορία</w:t>
      </w:r>
      <w:r w:rsidR="00F71ED9" w:rsidRPr="00A831E7">
        <w:rPr>
          <w:rFonts w:eastAsia="Calibri"/>
        </w:rPr>
        <w:t xml:space="preserve"> του αίματος</w:t>
      </w:r>
      <w:r w:rsidR="006075F8" w:rsidRPr="00A831E7">
        <w:rPr>
          <w:rFonts w:eastAsia="Calibri"/>
        </w:rPr>
        <w:t xml:space="preserve"> μετά από ισχαιμικό ή αιμορραγικό επεισόδιο.</w:t>
      </w:r>
      <w:r w:rsidR="007261DF" w:rsidRPr="00A831E7">
        <w:rPr>
          <w:rFonts w:eastAsia="Calibri"/>
        </w:rPr>
        <w:t xml:space="preserve"> Τέτοιοι βιοδείκτες μπορούν να προέρχονται </w:t>
      </w:r>
      <w:r w:rsidRPr="00A831E7">
        <w:rPr>
          <w:rFonts w:eastAsia="Calibri"/>
        </w:rPr>
        <w:t>από</w:t>
      </w:r>
      <w:r w:rsidR="007261DF" w:rsidRPr="00A831E7">
        <w:rPr>
          <w:rFonts w:eastAsia="Calibri"/>
        </w:rPr>
        <w:t xml:space="preserve"> νευρογλοιακά κύτταρα, νευρ</w:t>
      </w:r>
      <w:r w:rsidR="00D50862">
        <w:rPr>
          <w:rFonts w:eastAsia="Calibri"/>
        </w:rPr>
        <w:t>ωνι</w:t>
      </w:r>
      <w:r w:rsidR="007261DF" w:rsidRPr="00A831E7">
        <w:rPr>
          <w:rFonts w:eastAsia="Calibri"/>
        </w:rPr>
        <w:t>κά κύτταρα, κύτταρα καρδιακού μυός (καρδιομυοκύτταρα), κύτταρα αιμοφόρων αγγείων (μυοκύτταρα), γενικές φλεγμονώδεις κυτ</w:t>
      </w:r>
      <w:r w:rsidR="005403E6">
        <w:rPr>
          <w:rFonts w:eastAsia="Calibri"/>
        </w:rPr>
        <w:t>ταρ</w:t>
      </w:r>
      <w:r w:rsidR="007261DF" w:rsidRPr="00A831E7">
        <w:rPr>
          <w:rFonts w:eastAsia="Calibri"/>
        </w:rPr>
        <w:t xml:space="preserve">οκίνες, πρωτεΐνες κυτταροσκελετού, αιμοστατικές πρωτεΐνες, λιπίδια, μεταβολικές πρωτεΐνες και άλλα κύτταρα </w:t>
      </w:r>
      <w:r w:rsidR="007261DF" w:rsidRPr="00A831E7">
        <w:rPr>
          <w:rFonts w:eastAsia="Calibri"/>
        </w:rPr>
        <w:fldChar w:fldCharType="begin"/>
      </w:r>
      <w:r w:rsidR="00B22777" w:rsidRPr="00A831E7">
        <w:rPr>
          <w:rFonts w:eastAsia="Calibri"/>
        </w:rPr>
        <w:instrText xml:space="preserve"> ADDIN ZOTERO_ITEM CSL_CITATION {"citationID":"MoHkUfq3","properties":{"formattedCitation":"[65]","plainCitation":"[65]","noteIndex":0},"citationItems":[{"id":857,"uris":["http://zotero.org/users/local/mfHf28QG/items/G96NVX9I"],"itemData":{"id":857,"type":"article-journal","abstract":"Stroke is a top leading cause of death, which occurs due to interference in the blood flow of the brain. Ischemic stroke (blockage) accounts for most cases (87%) and is further subtyped into cardioembolic, atherosclerosis, lacunar, other causes, and cryptogenic strokes. The main value of subtyping ischemic stroke patients is for a better therapeutic decision-making process. The current classification methods are complex and time-consuming (hours to days). Specific blood-based biomarker measurements have promising potential to improve ischemic stroke mechanism classification. Over the past decades, the hypothesis that different blood-based biomarkers are associated with different ischemic stroke mechanisms is increasingly investigated. This review presents the recent studies that investigated blood-based biomarker characteristics differentiation between ischemic stroke mechanisms. Different blood-based biomarkers are specifically discussed (b-type natriuretic peptide, d-dimer, c-reactive protein, tumor necrosis factor-α, interleukin-6, interleukin-1β, neutrophil–lymphocyte ratio, total cholesterol, triglycerides, low-density lipoprotein, high-density lipoprotein and apolipoprotein A), as well as the different cut-off values that may be useful in specific classifications for cardioembolic and atherosclerosis etiologies. Lastly, the structure of a point-of-care biosensor device is presented, as a measuring tool on-site. The information presented in this review will hopefully contribute to the major efforts to improve the care for stroke patients.","container-title":"Diagnostics","DOI":"10.3390/diagnostics10100804","ISSN":"2075-4418","issue":"10","language":"en","license":"http://creativecommons.org/licenses/by/3.0/","note":"number: 10\npublisher: Multidisciplinary Digital Publishing Institute","page":"804","source":"www.mdpi.com","title":"Blood-Based Biomarkers Are Associated with Different Ischemic Stroke Mechanisms and Enable Rapid Classification between Cardioembolic and Atherosclerosis Etiologies","volume":"10","author":[{"family":"Harpaz","given":"Dorin"},{"family":"Seet","given":"Raymond C. S."},{"family":"Marks","given":"Robert S."},{"family":"Tok","given":"Alfred I. Y."}],"issued":{"date-parts":[["2020",10]]}},"suppress-author":true}],"schema":"https://github.com/citation-style-language/schema/raw/master/csl-citation.json"} </w:instrText>
      </w:r>
      <w:r w:rsidR="007261DF" w:rsidRPr="00A831E7">
        <w:rPr>
          <w:rFonts w:eastAsia="Calibri"/>
        </w:rPr>
        <w:fldChar w:fldCharType="separate"/>
      </w:r>
      <w:r w:rsidR="00B22777" w:rsidRPr="00A831E7">
        <w:rPr>
          <w:rFonts w:eastAsia="Calibri"/>
        </w:rPr>
        <w:t>[65]</w:t>
      </w:r>
      <w:r w:rsidR="007261DF" w:rsidRPr="00A831E7">
        <w:rPr>
          <w:rFonts w:eastAsia="Calibri"/>
        </w:rPr>
        <w:fldChar w:fldCharType="end"/>
      </w:r>
      <w:r w:rsidR="007261DF" w:rsidRPr="00A831E7">
        <w:rPr>
          <w:rFonts w:eastAsia="Calibri"/>
        </w:rPr>
        <w:t xml:space="preserve">. Στους βιοδείκτες που </w:t>
      </w:r>
      <w:r w:rsidR="006B4C0C" w:rsidRPr="00A831E7">
        <w:rPr>
          <w:rFonts w:eastAsia="Calibri"/>
        </w:rPr>
        <w:t>έχουν</w:t>
      </w:r>
      <w:r w:rsidR="007261DF" w:rsidRPr="00A831E7">
        <w:rPr>
          <w:rFonts w:eastAsia="Calibri"/>
        </w:rPr>
        <w:t xml:space="preserve"> εξεταστεί στη βιβλιογραφία συγκαταλέγονται </w:t>
      </w:r>
      <w:r w:rsidR="006075F8" w:rsidRPr="00A831E7">
        <w:rPr>
          <w:rFonts w:eastAsia="Calibri"/>
        </w:rPr>
        <w:t>γονίδια, αντισώματα, ένζυμα, πρωτεΐνες, μεταβολίτες, πεπτίδια, ορμόνες</w:t>
      </w:r>
      <w:r w:rsidR="007261DF" w:rsidRPr="00A831E7">
        <w:rPr>
          <w:rFonts w:eastAsia="Calibri"/>
        </w:rPr>
        <w:t xml:space="preserve"> και</w:t>
      </w:r>
      <w:r w:rsidR="006075F8" w:rsidRPr="00A831E7">
        <w:rPr>
          <w:rFonts w:eastAsia="Calibri"/>
        </w:rPr>
        <w:t xml:space="preserve"> miRNAs. </w:t>
      </w:r>
    </w:p>
    <w:p w14:paraId="29EA847D" w14:textId="10AB52D2" w:rsidR="006075F8" w:rsidRPr="00A831E7" w:rsidRDefault="006075F8" w:rsidP="00F32EEE">
      <w:pPr>
        <w:spacing w:line="360" w:lineRule="auto"/>
        <w:ind w:firstLine="720"/>
        <w:jc w:val="both"/>
        <w:rPr>
          <w:rFonts w:eastAsia="Calibri"/>
        </w:rPr>
      </w:pPr>
      <w:r w:rsidRPr="00A831E7">
        <w:rPr>
          <w:rFonts w:eastAsia="Calibri"/>
        </w:rPr>
        <w:t>Η προσθήκη αυτών των πληροφοριών στην κλινική αξιολόγηση βελτιώνει τη διαγνωστική προσέγγιση, ιδίως στις προνοσοκομειακές συνθήκες, όπου οι απεικονιστικές μέθοδοι, όπως η αξονική τομογραφία, μπορεί να μην είναι άμεσα διαθέσιμες.</w:t>
      </w:r>
      <w:r w:rsidR="007261DF" w:rsidRPr="00A831E7">
        <w:rPr>
          <w:rFonts w:eastAsia="Calibri"/>
        </w:rPr>
        <w:t xml:space="preserve"> Η πλειονότητα των υφιστάμενων εργαλείων διαλογής για το εγκεφαλικό επεισόδιο βασίζεται στην αξιολόγηση των κλινικών συμπτωμάτων των ασθενών και των δημογραφικών παραγόντων κινδύνου </w:t>
      </w:r>
      <w:r w:rsidR="007261DF" w:rsidRPr="00A831E7">
        <w:rPr>
          <w:rFonts w:eastAsia="Calibri"/>
        </w:rPr>
        <w:fldChar w:fldCharType="begin"/>
      </w:r>
      <w:r w:rsidR="00B22777" w:rsidRPr="00A831E7">
        <w:rPr>
          <w:rFonts w:eastAsia="Calibri"/>
        </w:rPr>
        <w:instrText xml:space="preserve"> ADDIN ZOTERO_ITEM CSL_CITATION {"citationID":"0ho0yDVb","properties":{"formattedCitation":"[66]","plainCitation":"[66]","noteIndex":0},"citationItems":[{"id":318,"uris":["http://zotero.org/users/local/mfHf28QG/items/YFMJEJ4J"],"itemData":{"id":318,"type":"article-journal","abstract":"Early stroke diagnosis remains a big challenge in healthcare partly due to the lack of reliable diagnostic blood biomarkers, which in turn leads to increased rates of mortality and disability. Current screening methods are optimised to identify ...","container-title":"Journal of Clinical Medicine","DOI":"10.3390/jcm11144243","issue":"14","language":"en","note":"PMID: 35888011","page":"4243","source":"pmc.ncbi.nlm.nih.gov","title":"Blood Biomarkers for Triaging Patients for Suspected Stroke: Every Minute Counts","title-short":"Blood Biomarkers for Triaging Patients for Suspected Stroke","volume":"11","author":[{"family":"Jadav","given":"Radhika Kiritsinh"},{"family":"Mortazavi","given":"Reza"},{"family":"Yee","given":"Kwang Choon"}],"issued":{"date-parts":[["2022",7,21]]}},"suppress-author":true}],"schema":"https://github.com/citation-style-language/schema/raw/master/csl-citation.json"} </w:instrText>
      </w:r>
      <w:r w:rsidR="007261DF" w:rsidRPr="00A831E7">
        <w:rPr>
          <w:rFonts w:eastAsia="Calibri"/>
        </w:rPr>
        <w:fldChar w:fldCharType="separate"/>
      </w:r>
      <w:r w:rsidR="00B22777" w:rsidRPr="00A831E7">
        <w:rPr>
          <w:rFonts w:eastAsia="Calibri"/>
        </w:rPr>
        <w:t>[66]</w:t>
      </w:r>
      <w:r w:rsidR="007261DF" w:rsidRPr="00A831E7">
        <w:rPr>
          <w:rFonts w:eastAsia="Calibri"/>
        </w:rPr>
        <w:fldChar w:fldCharType="end"/>
      </w:r>
      <w:r w:rsidR="007261DF" w:rsidRPr="00A831E7">
        <w:rPr>
          <w:rFonts w:eastAsia="Calibri"/>
        </w:rPr>
        <w:t xml:space="preserve">. Ωστόσο, αυτή η προσέγγιση έχει περιορισμούς, καθώς ασθενείς που δεν εμφανίζουν τυπικά συμπτώματα ή θεωρούνται χαμηλού κινδύνου, όπως παιδιά και νεαροί ενήλικες, ενδέχεται να μην αναγνωρίζονται αξιόπιστα και εγκαίρως. Συνεπώς, απαιτούνται εναλλακτικές μέθοδοι για την ανίχνευση πιθανών περιστατικών εγκεφαλικού, οι οποίες δεν βασίζονται αποκλειστικά σε αυτά τα κριτήρια ταξινόμησης </w:t>
      </w:r>
      <w:r w:rsidR="007261DF" w:rsidRPr="00A831E7">
        <w:rPr>
          <w:rFonts w:eastAsia="Calibri"/>
        </w:rPr>
        <w:fldChar w:fldCharType="begin"/>
      </w:r>
      <w:r w:rsidR="00B22777" w:rsidRPr="00A831E7">
        <w:rPr>
          <w:rFonts w:eastAsia="Calibri"/>
        </w:rPr>
        <w:instrText xml:space="preserve"> ADDIN ZOTERO_ITEM CSL_CITATION {"citationID":"QWW0YnNW","properties":{"formattedCitation":"[66]","plainCitation":"[66]","noteIndex":0},"citationItems":[{"id":318,"uris":["http://zotero.org/users/local/mfHf28QG/items/YFMJEJ4J"],"itemData":{"id":318,"type":"article-journal","abstract":"Early stroke diagnosis remains a big challenge in healthcare partly due to the lack of reliable diagnostic blood biomarkers, which in turn leads to increased rates of mortality and disability. Current screening methods are optimised to identify ...","container-title":"Journal of Clinical Medicine","DOI":"10.3390/jcm11144243","issue":"14","language":"en","note":"PMID: 35888011","page":"4243","source":"pmc.ncbi.nlm.nih.gov","title":"Blood Biomarkers for Triaging Patients for Suspected Stroke: Every Minute Counts","title-short":"Blood Biomarkers for Triaging Patients for Suspected Stroke","volume":"11","author":[{"family":"Jadav","given":"Radhika Kiritsinh"},{"family":"Mortazavi","given":"Reza"},{"family":"Yee","given":"Kwang Choon"}],"issued":{"date-parts":[["2022",7,21]]}},"suppress-author":true}],"schema":"https://github.com/citation-style-language/schema/raw/master/csl-citation.json"} </w:instrText>
      </w:r>
      <w:r w:rsidR="007261DF" w:rsidRPr="00A831E7">
        <w:rPr>
          <w:rFonts w:eastAsia="Calibri"/>
        </w:rPr>
        <w:fldChar w:fldCharType="separate"/>
      </w:r>
      <w:r w:rsidR="00B22777" w:rsidRPr="00A831E7">
        <w:rPr>
          <w:rFonts w:eastAsia="Calibri"/>
        </w:rPr>
        <w:t>[66]</w:t>
      </w:r>
      <w:r w:rsidR="007261DF" w:rsidRPr="00A831E7">
        <w:rPr>
          <w:rFonts w:eastAsia="Calibri"/>
        </w:rPr>
        <w:fldChar w:fldCharType="end"/>
      </w:r>
      <w:r w:rsidR="007261DF" w:rsidRPr="00A831E7">
        <w:rPr>
          <w:rFonts w:eastAsia="Calibri"/>
        </w:rPr>
        <w:t>.</w:t>
      </w:r>
    </w:p>
    <w:p w14:paraId="24E98B46" w14:textId="4A679696" w:rsidR="006075F8" w:rsidRPr="00A831E7" w:rsidRDefault="00BC2A98" w:rsidP="00D50862">
      <w:pPr>
        <w:spacing w:line="360" w:lineRule="auto"/>
        <w:ind w:firstLine="720"/>
        <w:jc w:val="both"/>
        <w:rPr>
          <w:rFonts w:eastAsia="Calibri"/>
        </w:rPr>
      </w:pPr>
      <w:r w:rsidRPr="00A831E7">
        <w:rPr>
          <w:rFonts w:eastAsia="Calibri"/>
        </w:rPr>
        <w:t xml:space="preserve">Ο εγκέφαλος είναι ένας πολύπλοκος ιστός που περιλαμβάνει διαφορετικά μοναδικά κύτταρα, συμπεριλαμβανομένων διαφόρων νευρώνων και νευρογλοιακών </w:t>
      </w:r>
      <w:r w:rsidRPr="00A831E7">
        <w:rPr>
          <w:rFonts w:eastAsia="Calibri"/>
        </w:rPr>
        <w:lastRenderedPageBreak/>
        <w:t xml:space="preserve">κυττάρων, καθώς και εξωκυτταρικές μήτρες </w:t>
      </w:r>
      <w:r w:rsidRPr="00A831E7">
        <w:rPr>
          <w:rFonts w:eastAsia="Calibri"/>
        </w:rPr>
        <w:fldChar w:fldCharType="begin"/>
      </w:r>
      <w:r w:rsidR="00B22777" w:rsidRPr="00A831E7">
        <w:rPr>
          <w:rFonts w:eastAsia="Calibri"/>
        </w:rPr>
        <w:instrText xml:space="preserve"> ADDIN ZOTERO_ITEM CSL_CITATION {"citationID":"Hc4T2NRe","properties":{"formattedCitation":"[66]","plainCitation":"[66]","noteIndex":0},"citationItems":[{"id":318,"uris":["http://zotero.org/users/local/mfHf28QG/items/YFMJEJ4J"],"itemData":{"id":318,"type":"article-journal","abstract":"Early stroke diagnosis remains a big challenge in healthcare partly due to the lack of reliable diagnostic blood biomarkers, which in turn leads to increased rates of mortality and disability. Current screening methods are optimised to identify ...","container-title":"Journal of Clinical Medicine","DOI":"10.3390/jcm11144243","issue":"14","language":"en","note":"PMID: 35888011","page":"4243","source":"pmc.ncbi.nlm.nih.gov","title":"Blood Biomarkers for Triaging Patients for Suspected Stroke: Every Minute Counts","title-short":"Blood Biomarkers for Triaging Patients for Suspected Stroke","volume":"11","author":[{"family":"Jadav","given":"Radhika Kiritsinh"},{"family":"Mortazavi","given":"Reza"},{"family":"Yee","given":"Kwang Choon"}],"issued":{"date-parts":[["2022",7,21]]}},"suppress-author":true}],"schema":"https://github.com/citation-style-language/schema/raw/master/csl-citation.json"} </w:instrText>
      </w:r>
      <w:r w:rsidRPr="00A831E7">
        <w:rPr>
          <w:rFonts w:eastAsia="Calibri"/>
        </w:rPr>
        <w:fldChar w:fldCharType="separate"/>
      </w:r>
      <w:r w:rsidR="00B22777" w:rsidRPr="00A831E7">
        <w:rPr>
          <w:rFonts w:eastAsia="Calibri"/>
        </w:rPr>
        <w:t>[66]</w:t>
      </w:r>
      <w:r w:rsidRPr="00A831E7">
        <w:rPr>
          <w:rFonts w:eastAsia="Calibri"/>
        </w:rPr>
        <w:fldChar w:fldCharType="end"/>
      </w:r>
      <w:r w:rsidRPr="00A831E7">
        <w:rPr>
          <w:rFonts w:eastAsia="Calibri"/>
        </w:rPr>
        <w:t>. Επομένως σ</w:t>
      </w:r>
      <w:r w:rsidR="007261DF" w:rsidRPr="00A831E7">
        <w:rPr>
          <w:rFonts w:eastAsia="Calibri"/>
        </w:rPr>
        <w:t xml:space="preserve">ε περίπτωση εγκεφαλικού επεισοδίου όπου πολλοί νευρωνικοί ιστοί έχουν υποστεί βλάβη, αναμένεται </w:t>
      </w:r>
      <w:r w:rsidR="00A91598" w:rsidRPr="00A831E7">
        <w:rPr>
          <w:rFonts w:eastAsia="Calibri"/>
        </w:rPr>
        <w:t>άμεση</w:t>
      </w:r>
      <w:r w:rsidR="007261DF" w:rsidRPr="00A831E7">
        <w:rPr>
          <w:rFonts w:eastAsia="Calibri"/>
        </w:rPr>
        <w:t xml:space="preserve"> απελευθέρωση</w:t>
      </w:r>
      <w:r w:rsidR="00A91598" w:rsidRPr="00A831E7">
        <w:rPr>
          <w:rFonts w:eastAsia="Calibri"/>
        </w:rPr>
        <w:t xml:space="preserve"> βιοδεικτών από το</w:t>
      </w:r>
      <w:r w:rsidR="007261DF" w:rsidRPr="00A831E7">
        <w:rPr>
          <w:rFonts w:eastAsia="Calibri"/>
        </w:rPr>
        <w:t xml:space="preserve"> του ΚΝΣ ή/και αγγειακών βιοδεικτών στο περιφερικό αίμα</w:t>
      </w:r>
      <w:r w:rsidR="00C549F9" w:rsidRPr="00A831E7">
        <w:rPr>
          <w:rFonts w:eastAsia="Calibri"/>
        </w:rPr>
        <w:t xml:space="preserve"> </w:t>
      </w:r>
      <w:r w:rsidR="00C549F9" w:rsidRPr="00A831E7">
        <w:rPr>
          <w:rFonts w:eastAsia="Calibri"/>
        </w:rPr>
        <w:fldChar w:fldCharType="begin"/>
      </w:r>
      <w:r w:rsidR="00B22777" w:rsidRPr="00A831E7">
        <w:rPr>
          <w:rFonts w:eastAsia="Calibri"/>
        </w:rPr>
        <w:instrText xml:space="preserve"> ADDIN ZOTERO_ITEM CSL_CITATION {"citationID":"1ydv7IOv","properties":{"formattedCitation":"[66]","plainCitation":"[66]","noteIndex":0},"citationItems":[{"id":318,"uris":["http://zotero.org/users/local/mfHf28QG/items/YFMJEJ4J"],"itemData":{"id":318,"type":"article-journal","abstract":"Early stroke diagnosis remains a big challenge in healthcare partly due to the lack of reliable diagnostic blood biomarkers, which in turn leads to increased rates of mortality and disability. Current screening methods are optimised to identify ...","container-title":"Journal of Clinical Medicine","DOI":"10.3390/jcm11144243","issue":"14","language":"en","note":"PMID: 35888011","page":"4243","source":"pmc.ncbi.nlm.nih.gov","title":"Blood Biomarkers for Triaging Patients for Suspected Stroke: Every Minute Counts","title-short":"Blood Biomarkers for Triaging Patients for Suspected Stroke","volume":"11","author":[{"family":"Jadav","given":"Radhika Kiritsinh"},{"family":"Mortazavi","given":"Reza"},{"family":"Yee","given":"Kwang Choon"}],"issued":{"date-parts":[["2022",7,21]]}},"suppress-author":true}],"schema":"https://github.com/citation-style-language/schema/raw/master/csl-citation.json"} </w:instrText>
      </w:r>
      <w:r w:rsidR="00C549F9" w:rsidRPr="00A831E7">
        <w:rPr>
          <w:rFonts w:eastAsia="Calibri"/>
        </w:rPr>
        <w:fldChar w:fldCharType="separate"/>
      </w:r>
      <w:r w:rsidR="00B22777" w:rsidRPr="00A831E7">
        <w:rPr>
          <w:rFonts w:eastAsia="Calibri"/>
        </w:rPr>
        <w:t>[66]</w:t>
      </w:r>
      <w:r w:rsidR="00C549F9" w:rsidRPr="00A831E7">
        <w:rPr>
          <w:rFonts w:eastAsia="Calibri"/>
        </w:rPr>
        <w:fldChar w:fldCharType="end"/>
      </w:r>
      <w:r w:rsidR="007261DF" w:rsidRPr="00A831E7">
        <w:rPr>
          <w:rFonts w:eastAsia="Calibri"/>
        </w:rPr>
        <w:t xml:space="preserve">. Εάν τέτοιοι βιοδείκτες μετρηθούν αξιόπιστα στα δείγματα περιφερικού αίματος, τότε θα μπορούσαν να χρησιμοποιηθούν για </w:t>
      </w:r>
      <w:r w:rsidRPr="00A831E7">
        <w:rPr>
          <w:rFonts w:eastAsia="Calibri"/>
        </w:rPr>
        <w:t>ταξινόμηση ενός ΑΕΕ αλλά και για διαλογή.</w:t>
      </w:r>
      <w:r w:rsidR="00D50862">
        <w:rPr>
          <w:rFonts w:eastAsia="Calibri"/>
        </w:rPr>
        <w:t xml:space="preserve"> </w:t>
      </w:r>
      <w:r w:rsidR="006075F8" w:rsidRPr="00A831E7">
        <w:rPr>
          <w:rFonts w:eastAsia="Calibri"/>
        </w:rPr>
        <w:t>Η χρήση υγρών βιοψιών (Liquid Biopsies</w:t>
      </w:r>
      <w:r w:rsidR="00D85493" w:rsidRPr="00A831E7">
        <w:rPr>
          <w:rFonts w:eastAsia="Calibri"/>
        </w:rPr>
        <w:t>,</w:t>
      </w:r>
      <w:r w:rsidR="006075F8" w:rsidRPr="00A831E7">
        <w:rPr>
          <w:rFonts w:eastAsia="Calibri"/>
        </w:rPr>
        <w:t xml:space="preserve"> LB), μέσω της ανάλυσης βιολογικών υγρών όπως αίμα, πλάσμα, ορός, εγκεφαλονωτιαίο υγρό (CSF) και σάλιο, έχει κεντρίσει το επιστημονικό ενδιαφέρον λόγω της μη επεμβατικής προσέγγισης και της δυνατότητας ανίχνευσης βιοδεικτών σε πραγματικό χρόνο </w:t>
      </w:r>
      <w:r w:rsidR="00F71ED9" w:rsidRPr="00A831E7">
        <w:rPr>
          <w:rFonts w:eastAsia="Calibri"/>
        </w:rPr>
        <w:fldChar w:fldCharType="begin"/>
      </w:r>
      <w:r w:rsidR="00F71ED9" w:rsidRPr="00A831E7">
        <w:rPr>
          <w:rFonts w:eastAsia="Calibri"/>
        </w:rPr>
        <w:instrText xml:space="preserve"> ADDIN ZOTERO_ITEM CSL_CITATION {"citationID":"X6nOtDPo","properties":{"formattedCitation":"[16]","plainCitation":"[16]","noteIndex":0},"citationItems":[{"id":172,"uris":["http://zotero.org/users/local/mfHf28QG/items/NFV5AQIQ"],"itemData":{"id":172,"type":"article-journal","abstract":"There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F71ED9" w:rsidRPr="00A831E7">
        <w:rPr>
          <w:rFonts w:eastAsia="Calibri"/>
        </w:rPr>
        <w:fldChar w:fldCharType="separate"/>
      </w:r>
      <w:r w:rsidR="00F71ED9" w:rsidRPr="00A831E7">
        <w:rPr>
          <w:rFonts w:eastAsia="Calibri"/>
        </w:rPr>
        <w:t>[16]</w:t>
      </w:r>
      <w:r w:rsidR="00F71ED9" w:rsidRPr="00A831E7">
        <w:rPr>
          <w:rFonts w:eastAsia="Calibri"/>
        </w:rPr>
        <w:fldChar w:fldCharType="end"/>
      </w:r>
      <w:r w:rsidR="006075F8" w:rsidRPr="00A831E7">
        <w:rPr>
          <w:rFonts w:eastAsia="Calibri"/>
        </w:rPr>
        <w:t xml:space="preserve">. </w:t>
      </w:r>
    </w:p>
    <w:p w14:paraId="5DF64C18" w14:textId="453D41E5" w:rsidR="00804DEB" w:rsidRPr="00A831E7" w:rsidRDefault="006075F8" w:rsidP="0057069D">
      <w:pPr>
        <w:spacing w:line="360" w:lineRule="auto"/>
        <w:ind w:firstLine="720"/>
        <w:jc w:val="both"/>
        <w:rPr>
          <w:rFonts w:eastAsia="Calibri"/>
        </w:rPr>
      </w:pPr>
      <w:r w:rsidRPr="00A831E7">
        <w:rPr>
          <w:rFonts w:eastAsia="Calibri"/>
        </w:rPr>
        <w:t>Οι βιοδείκτες του εγκεφαλικού επεισοδίου μπορούν να ταξινομηθούν σύμφωνα με τον μηχανισμό δράσης και τη διαγνωστική χρησιμότητά τους. Μεταξύ των σημαντικότερων υποψήφιων βιοδεικτών, οι νευρογλοιακοί βιοδείκτες, όπως το GFAP, συμβάλλουν στη διαφοροποίηση μεταξύ ισχαιμικού και αιμορραγικού εγκεφαλικού. Οι πρωτεϊνικοί βιοδείκτες, όπως S100B, συνδέονται με νευροφλεγμονώδεις μηχανισμούς, ενώ τα νευρο</w:t>
      </w:r>
      <w:r w:rsidR="006B4C0C">
        <w:rPr>
          <w:rFonts w:eastAsia="Calibri"/>
        </w:rPr>
        <w:t>ïνίδια</w:t>
      </w:r>
      <w:r w:rsidRPr="00A831E7">
        <w:rPr>
          <w:rFonts w:eastAsia="Calibri"/>
        </w:rPr>
        <w:t xml:space="preserve"> (NFL) αποτελούν δείκτες εκτεταμένης νευρ</w:t>
      </w:r>
      <w:r w:rsidR="00DD6A2E">
        <w:rPr>
          <w:rFonts w:eastAsia="Calibri"/>
        </w:rPr>
        <w:t>ωνική</w:t>
      </w:r>
      <w:r w:rsidRPr="00A831E7">
        <w:rPr>
          <w:rFonts w:eastAsia="Calibri"/>
        </w:rPr>
        <w:t>ς βλάβης.</w:t>
      </w:r>
      <w:r w:rsidR="004152CC" w:rsidRPr="00A831E7">
        <w:rPr>
          <w:rFonts w:eastAsia="Calibri"/>
        </w:rPr>
        <w:t xml:space="preserve"> </w:t>
      </w:r>
      <w:r w:rsidRPr="00A831E7">
        <w:rPr>
          <w:rFonts w:eastAsia="Calibri"/>
        </w:rPr>
        <w:t>Μοριακοί και γονιδιακοί δείκτες όπως τα miRNA, τα οποία ρυθμίζουν την έκφραση γονιδίων και επηρεάζουν μηχανισμούς ισχαιμίας, καθώς και οι μεταλλοπρωτεϊνάσες (MMPs), που σχετίζονται με τη διάσπαση του αιματοεγκεφαλικού φραγμού (BBB), είναι επίσης σημαντικοί μοριακοί δείκτες για τη διάγνωση και την πρόγνωση εγκεφαλικών επεισοδίων. Παράλληλα, φλεγμονώδεις δείκτες, όπως IL-6 και TNF-α, υποδεικνύουν νευροφλεγμονώδεις διεργασίες, ενώ οι CRP και άλλοι δείκτες φλεγμονής έχουν συνδεθεί με τον κίνδυνο δευτερογενών εγκεφαλικών επεισοδίων</w:t>
      </w:r>
      <w:r w:rsidR="00D50862">
        <w:rPr>
          <w:rFonts w:eastAsia="Calibri"/>
        </w:rPr>
        <w:t xml:space="preserve"> </w:t>
      </w:r>
      <w:r w:rsidR="00D50862">
        <w:rPr>
          <w:rFonts w:eastAsia="Calibri"/>
        </w:rPr>
        <w:fldChar w:fldCharType="begin"/>
      </w:r>
      <w:r w:rsidR="00D50862">
        <w:rPr>
          <w:rFonts w:eastAsia="Calibri"/>
        </w:rPr>
        <w:instrText xml:space="preserve"> ADDIN ZOTERO_ITEM CSL_CITATION {"citationID":"DfpifnyX","properties":{"formattedCitation":"[16]","plainCitation":"[16]","noteIndex":0},"citationItems":[{"id":172,"uris":["http://zotero.org/users/local/mfHf28QG/items/NFV5AQIQ"],"itemData":{"id":172,"type":"article-journal","abstract":"There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A."}],"issued":{"date-parts":[["2020",7,5]]}}}],"schema":"https://github.com/citation-style-language/schema/raw/master/csl-citation.json"} </w:instrText>
      </w:r>
      <w:r w:rsidR="00D50862">
        <w:rPr>
          <w:rFonts w:eastAsia="Calibri"/>
        </w:rPr>
        <w:fldChar w:fldCharType="separate"/>
      </w:r>
      <w:r w:rsidR="00D50862" w:rsidRPr="00D50862">
        <w:rPr>
          <w:rFonts w:eastAsia="Calibri"/>
        </w:rPr>
        <w:t>[16]</w:t>
      </w:r>
      <w:r w:rsidR="00D50862">
        <w:rPr>
          <w:rFonts w:eastAsia="Calibri"/>
        </w:rPr>
        <w:fldChar w:fldCharType="end"/>
      </w:r>
      <w:r w:rsidRPr="00A831E7">
        <w:rPr>
          <w:rFonts w:eastAsia="Calibri"/>
        </w:rPr>
        <w:t>.</w:t>
      </w:r>
    </w:p>
    <w:p w14:paraId="38C84A47" w14:textId="11A14952" w:rsidR="0062532A" w:rsidRPr="00A831E7" w:rsidRDefault="006075F8" w:rsidP="0057069D">
      <w:pPr>
        <w:spacing w:line="360" w:lineRule="auto"/>
        <w:ind w:firstLine="720"/>
        <w:jc w:val="both"/>
        <w:rPr>
          <w:rFonts w:eastAsia="Calibri"/>
        </w:rPr>
      </w:pPr>
      <w:r w:rsidRPr="00A831E7">
        <w:rPr>
          <w:rFonts w:eastAsia="Calibri"/>
        </w:rPr>
        <w:t xml:space="preserve">Παρόλο που η έρευνα έχει αναδείξει </w:t>
      </w:r>
      <w:r w:rsidR="004152CC" w:rsidRPr="00A831E7">
        <w:rPr>
          <w:rFonts w:eastAsia="Calibri"/>
        </w:rPr>
        <w:t xml:space="preserve">αξιόλογα αποτελέσματα από </w:t>
      </w:r>
      <w:r w:rsidR="0062532A" w:rsidRPr="00A831E7">
        <w:rPr>
          <w:rFonts w:eastAsia="Calibri"/>
        </w:rPr>
        <w:t>πληθώρα</w:t>
      </w:r>
      <w:r w:rsidR="004152CC" w:rsidRPr="00A831E7">
        <w:rPr>
          <w:rFonts w:eastAsia="Calibri"/>
        </w:rPr>
        <w:t xml:space="preserve"> βιοδεικτών</w:t>
      </w:r>
      <w:r w:rsidRPr="00A831E7">
        <w:rPr>
          <w:rFonts w:eastAsia="Calibri"/>
        </w:rPr>
        <w:t>, κανένας μεμονωμένος βιοδείκτης δεν είναι ακόμη εγκεκριμένος από τον FDA για αποκλειστική χρήση στη διάγνωση εγκεφαλικού επεισοδίου</w:t>
      </w:r>
      <w:r w:rsidR="004152CC" w:rsidRPr="00A831E7">
        <w:rPr>
          <w:rFonts w:eastAsia="Calibri"/>
        </w:rPr>
        <w:t xml:space="preserve"> </w:t>
      </w:r>
      <w:r w:rsidR="004152CC" w:rsidRPr="00A831E7">
        <w:rPr>
          <w:rFonts w:eastAsia="Calibri"/>
        </w:rPr>
        <w:fldChar w:fldCharType="begin"/>
      </w:r>
      <w:r w:rsidR="004152CC" w:rsidRPr="00A831E7">
        <w:rPr>
          <w:rFonts w:eastAsia="Calibri"/>
        </w:rPr>
        <w:instrText xml:space="preserve"> ADDIN ZOTERO_ITEM CSL_CITATION {"citationID":"7YRK34RK","properties":{"formattedCitation":"[16]","plainCitation":"[16]","noteIndex":0},"citationItems":[{"id":172,"uris":["http://zotero.org/users/local/mfHf28QG/items/NFV5AQIQ"],"itemData":{"id":172,"type":"article-journal","abstract":"There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A."}],"issued":{"date-parts":[["2020",7,5]]}},"suppress-author":true}],"schema":"https://github.com/citation-style-language/schema/raw/master/csl-citation.json"} </w:instrText>
      </w:r>
      <w:r w:rsidR="004152CC" w:rsidRPr="00A831E7">
        <w:rPr>
          <w:rFonts w:eastAsia="Calibri"/>
        </w:rPr>
        <w:fldChar w:fldCharType="separate"/>
      </w:r>
      <w:r w:rsidR="004152CC" w:rsidRPr="00A831E7">
        <w:rPr>
          <w:rFonts w:eastAsia="Calibri"/>
        </w:rPr>
        <w:t>[16]</w:t>
      </w:r>
      <w:r w:rsidR="004152CC" w:rsidRPr="00A831E7">
        <w:rPr>
          <w:rFonts w:eastAsia="Calibri"/>
        </w:rPr>
        <w:fldChar w:fldCharType="end"/>
      </w:r>
      <w:r w:rsidRPr="00A831E7">
        <w:rPr>
          <w:rFonts w:eastAsia="Calibri"/>
        </w:rPr>
        <w:t>. Ωστόσο, οι νεότερες προσεγγίσεις επικεντρώνονται στη χρήση πολλαπλών βιοδεικτών (biomarker panels) για τη βελτίωση της διαγνωστικής ακρίβειας, αξιοποίηση μηχανικής μάθησης για την προσπέλαση</w:t>
      </w:r>
      <w:r w:rsidR="00806A90" w:rsidRPr="00A831E7">
        <w:rPr>
          <w:rFonts w:eastAsia="Calibri"/>
        </w:rPr>
        <w:t>, μοντελοποίηση</w:t>
      </w:r>
      <w:r w:rsidRPr="00A831E7">
        <w:rPr>
          <w:rFonts w:eastAsia="Calibri"/>
        </w:rPr>
        <w:t xml:space="preserve"> και αξιολόγηση ακόμη μεγαλύτερου πλήθους δεικτών καθώς και στη δημιουργία τεχνολογιών </w:t>
      </w:r>
      <w:r w:rsidR="004152CC" w:rsidRPr="00A831E7">
        <w:rPr>
          <w:rFonts w:eastAsia="Calibri"/>
        </w:rPr>
        <w:t>Point-of-Care</w:t>
      </w:r>
      <w:r w:rsidRPr="00A831E7">
        <w:rPr>
          <w:rFonts w:eastAsia="Calibri"/>
        </w:rPr>
        <w:t xml:space="preserve"> (POCT), οι οποίες θα μπορούσαν να επιτρέψουν άμεση ανίχνευση σε επείγουσες συνθήκες στο προνοσοκομειακό περιβάλλον.</w:t>
      </w:r>
    </w:p>
    <w:p w14:paraId="4389B0A1" w14:textId="77777777" w:rsidR="00804DEB" w:rsidRPr="00A831E7" w:rsidRDefault="00804DEB" w:rsidP="0057069D">
      <w:pPr>
        <w:spacing w:line="360" w:lineRule="auto"/>
        <w:ind w:firstLine="720"/>
        <w:jc w:val="both"/>
        <w:rPr>
          <w:rFonts w:eastAsia="Calibri"/>
        </w:rPr>
      </w:pPr>
    </w:p>
    <w:p w14:paraId="0E8E762D" w14:textId="0A5861A9" w:rsidR="00D50862" w:rsidRPr="00D50862" w:rsidRDefault="0062532A" w:rsidP="00D50862">
      <w:pPr>
        <w:pStyle w:val="2"/>
        <w:spacing w:line="360" w:lineRule="auto"/>
        <w:rPr>
          <w:rFonts w:ascii="Times New Roman" w:hAnsi="Times New Roman" w:cs="Times New Roman"/>
          <w:b/>
          <w:bCs/>
          <w:i/>
          <w:iCs/>
          <w:color w:val="auto"/>
          <w:sz w:val="28"/>
          <w:szCs w:val="28"/>
        </w:rPr>
      </w:pPr>
      <w:bookmarkStart w:id="116" w:name="_Toc199787407"/>
      <w:bookmarkStart w:id="117" w:name="_Toc199946478"/>
      <w:r w:rsidRPr="00A831E7">
        <w:rPr>
          <w:rFonts w:ascii="Times New Roman" w:hAnsi="Times New Roman" w:cs="Times New Roman"/>
          <w:b/>
          <w:bCs/>
          <w:i/>
          <w:iCs/>
          <w:color w:val="auto"/>
          <w:sz w:val="28"/>
          <w:szCs w:val="28"/>
        </w:rPr>
        <w:lastRenderedPageBreak/>
        <w:t>4.2 Αξιολόγηση της Διαγνωστικής Επίδοσης Βιοδεικτών</w:t>
      </w:r>
      <w:bookmarkEnd w:id="116"/>
      <w:bookmarkEnd w:id="117"/>
    </w:p>
    <w:p w14:paraId="64C4F2E3" w14:textId="77777777" w:rsidR="00D50862" w:rsidRDefault="008540BC" w:rsidP="00D50862">
      <w:pPr>
        <w:spacing w:line="360" w:lineRule="auto"/>
        <w:ind w:firstLine="720"/>
        <w:jc w:val="both"/>
        <w:rPr>
          <w:rFonts w:eastAsia="Calibri"/>
        </w:rPr>
      </w:pPr>
      <w:r w:rsidRPr="00A831E7">
        <w:rPr>
          <w:rFonts w:eastAsia="Calibri"/>
        </w:rPr>
        <w:t xml:space="preserve">Η αξιοποίηση των βιοδεικτών στη διάγνωση του εγκεφαλικού επεισοδίου απαιτεί λεπτομερή αξιολόγηση της διαγνωστικής τους επίδοσης με βάση κλινικά και εργαστηριακά δεδομένα. Για να είναι ένας βιοδείκτης κλινικά χρήσιμος, δεν αρκεί απλώς να ανιχνεύει μια παθολογική κατάσταση </w:t>
      </w:r>
      <w:r w:rsidR="003F6BC2" w:rsidRPr="00A831E7">
        <w:rPr>
          <w:rFonts w:eastAsia="Calibri"/>
        </w:rPr>
        <w:t>–</w:t>
      </w:r>
      <w:r w:rsidRPr="00A831E7">
        <w:rPr>
          <w:rFonts w:eastAsia="Calibri"/>
        </w:rPr>
        <w:t xml:space="preserve"> πρέπει να παρουσιάζει διαχρονική αξιοπιστία, με συνεπή αποτελέσματα σε διαφορετικά χρονικά σημεία εντός της ίδιας πληθυσμιακής ομάδας. Η διαγνωστική και προγνωστική ισχύς του καθορίζει την αξία του στην έγκαιρη διάγνωση, καθώς η ικανότητά του να σηματοδοτεί την έναρξη της νόσου πριν την εκδήλωση συμπτωμάτων μπορεί να βελτιώσει τη λήψη κλινικών αποφάσεων και την αποτελεσματικότητα των θεραπευτικών παρεμβάσεων. Εξίσου σημαντική είναι η δυνατότητα κλινικής εφαρμογής, δηλαδή η ευκολία ανίχνευσής του σε βιολογικά υγρά όπως το πλάσμα, ο ορός και το εγκεφαλονωτιαίο υγρό (CSF), χωρίς να απαιτεί περίπλοκες ή δαπανηρές διαδικασίες για τη λήψη και επεξεργασία των μετρήσεων. Οι μετρήσεις ευαισθησίας, ειδικότητας και της περιοχής κάτω από την καμπύλη </w:t>
      </w:r>
      <w:r w:rsidR="00806A90" w:rsidRPr="00A831E7">
        <w:rPr>
          <w:rFonts w:eastAsia="Calibri"/>
        </w:rPr>
        <w:t>(</w:t>
      </w:r>
      <w:r w:rsidRPr="00A831E7">
        <w:rPr>
          <w:rFonts w:eastAsia="Calibri"/>
        </w:rPr>
        <w:t>ROC-AUC</w:t>
      </w:r>
      <w:r w:rsidR="00806A90" w:rsidRPr="00A831E7">
        <w:rPr>
          <w:rFonts w:eastAsia="Calibri"/>
        </w:rPr>
        <w:t>),</w:t>
      </w:r>
      <w:r w:rsidRPr="00A831E7">
        <w:rPr>
          <w:rFonts w:eastAsia="Calibri"/>
        </w:rPr>
        <w:t xml:space="preserve"> καθορίζουν την ικανότητα κάθε βιοδείκτη στη διάκριση μεταξύ ισχαιμικών και αιμορραγικών ΑΕΕ, προσδιορίζοντας τη συνολική διαγνωστική του αξία.</w:t>
      </w:r>
      <w:r w:rsidR="00D50862">
        <w:rPr>
          <w:rFonts w:eastAsia="Calibri"/>
        </w:rPr>
        <w:t xml:space="preserve"> </w:t>
      </w:r>
    </w:p>
    <w:p w14:paraId="6CE1D792" w14:textId="0F7709F0" w:rsidR="00AE69B7" w:rsidRPr="00A831E7" w:rsidRDefault="00877EEC" w:rsidP="00D50862">
      <w:pPr>
        <w:spacing w:line="360" w:lineRule="auto"/>
        <w:ind w:firstLine="720"/>
        <w:jc w:val="both"/>
        <w:rPr>
          <w:rFonts w:eastAsia="Calibri"/>
        </w:rPr>
      </w:pPr>
      <w:r w:rsidRPr="00A831E7">
        <w:rPr>
          <w:rFonts w:eastAsia="Calibri"/>
        </w:rPr>
        <w:t>Τα δεδομένα που παρουσιάζονται στον ακόλουθο πίνακα (</w:t>
      </w:r>
      <w:r w:rsidRPr="00A831E7">
        <w:rPr>
          <w:rFonts w:eastAsia="Calibri"/>
          <w:i/>
          <w:iCs/>
        </w:rPr>
        <w:t>Πίνακας 1</w:t>
      </w:r>
      <w:r w:rsidR="0011104D" w:rsidRPr="00A831E7">
        <w:rPr>
          <w:rFonts w:eastAsia="Calibri"/>
          <w:i/>
          <w:iCs/>
        </w:rPr>
        <w:t>5</w:t>
      </w:r>
      <w:r w:rsidRPr="00A831E7">
        <w:rPr>
          <w:rFonts w:eastAsia="Calibri"/>
        </w:rPr>
        <w:t xml:space="preserve">) </w:t>
      </w:r>
      <w:r w:rsidR="008A6F8D" w:rsidRPr="00A831E7">
        <w:rPr>
          <w:rFonts w:eastAsia="Calibri"/>
        </w:rPr>
        <w:t xml:space="preserve">και στην επόμενη ενότητα, </w:t>
      </w:r>
      <w:r w:rsidRPr="00A831E7">
        <w:rPr>
          <w:rFonts w:eastAsia="Calibri"/>
        </w:rPr>
        <w:t>προέρχονται από βιβλιογραφικές μελέτες και συγκεντρώνουν συγκριτικά στοιχεία για επιλεγμένους βιοδείκτες, με έμφαση στη διαγνωστική τους ακρίβεια, τις μεθόδους μέτρησης και τον τύπο βιολογικού υγρού που χρησιμοποιείται.</w:t>
      </w:r>
    </w:p>
    <w:p w14:paraId="1D8DB7A3" w14:textId="77777777" w:rsidR="00AE69B7" w:rsidRPr="00A831E7" w:rsidRDefault="00444202" w:rsidP="00D50862">
      <w:pPr>
        <w:spacing w:line="360" w:lineRule="auto"/>
        <w:jc w:val="both"/>
        <w:rPr>
          <w:rFonts w:eastAsia="Calibri"/>
        </w:rPr>
      </w:pPr>
      <w:r w:rsidRPr="00A831E7">
        <w:rPr>
          <w:rFonts w:eastAsia="Calibri"/>
        </w:rPr>
        <w:t xml:space="preserve"> </w:t>
      </w:r>
      <w:r w:rsidR="00AE69B7" w:rsidRPr="00A831E7">
        <w:rPr>
          <w:rFonts w:eastAsia="Calibri"/>
        </w:rPr>
        <w:t>Συγκεκριμένα οι μελέτες που ακολουθούν εξετάζουν δείγματα ολικού αίματος, ορού και πλάσματος:</w:t>
      </w:r>
    </w:p>
    <w:p w14:paraId="486B3E75" w14:textId="6C1A9BE2" w:rsidR="00AE69B7" w:rsidRPr="00A831E7" w:rsidRDefault="00AE69B7" w:rsidP="0057069D">
      <w:pPr>
        <w:pStyle w:val="a6"/>
        <w:numPr>
          <w:ilvl w:val="0"/>
          <w:numId w:val="19"/>
        </w:numPr>
        <w:spacing w:line="360" w:lineRule="auto"/>
        <w:ind w:left="180" w:hanging="180"/>
        <w:jc w:val="both"/>
        <w:rPr>
          <w:rFonts w:eastAsia="Calibri"/>
        </w:rPr>
      </w:pPr>
      <w:r w:rsidRPr="00A831E7">
        <w:rPr>
          <w:rFonts w:eastAsia="Calibri"/>
        </w:rPr>
        <w:t>Ο ο</w:t>
      </w:r>
      <w:r w:rsidR="00444202" w:rsidRPr="00A831E7">
        <w:rPr>
          <w:rFonts w:eastAsia="Calibri"/>
        </w:rPr>
        <w:t>ρός</w:t>
      </w:r>
      <w:r w:rsidRPr="00A831E7">
        <w:rPr>
          <w:rFonts w:eastAsia="Calibri"/>
        </w:rPr>
        <w:t xml:space="preserve"> αίματος</w:t>
      </w:r>
      <w:r w:rsidR="00444202" w:rsidRPr="00A831E7">
        <w:rPr>
          <w:rFonts w:eastAsia="Calibri"/>
        </w:rPr>
        <w:t xml:space="preserve"> λαμβάνεται μετά από πήξη </w:t>
      </w:r>
      <w:r w:rsidRPr="00A831E7">
        <w:rPr>
          <w:rFonts w:eastAsia="Calibri"/>
        </w:rPr>
        <w:t>αυτού</w:t>
      </w:r>
      <w:r w:rsidR="00444202" w:rsidRPr="00A831E7">
        <w:rPr>
          <w:rFonts w:eastAsia="Calibri"/>
        </w:rPr>
        <w:t>, δεν περιέχει ινωδογόνο και άλλους παράγοντες πήξης, μειώνοντας την παρεμβολή από αντιπηκτικά και προσφέροντας σταθερές συνθήκες για ανάλυση πρωτεϊνικών βιοδεικτών. Ωστόσο, απαιτεί 30</w:t>
      </w:r>
      <w:r w:rsidR="00061EE9">
        <w:rPr>
          <w:rFonts w:eastAsia="Calibri"/>
        </w:rPr>
        <w:t>-</w:t>
      </w:r>
      <w:r w:rsidR="00444202" w:rsidRPr="00A831E7">
        <w:rPr>
          <w:rFonts w:eastAsia="Calibri"/>
        </w:rPr>
        <w:t xml:space="preserve">60 λεπτά </w:t>
      </w:r>
      <w:r w:rsidRPr="00A831E7">
        <w:rPr>
          <w:rFonts w:eastAsia="Calibri"/>
        </w:rPr>
        <w:t xml:space="preserve">αναμονής </w:t>
      </w:r>
      <w:r w:rsidR="00444202" w:rsidRPr="00A831E7">
        <w:rPr>
          <w:rFonts w:eastAsia="Calibri"/>
        </w:rPr>
        <w:t>πριν από τον διαχωρισμό.</w:t>
      </w:r>
    </w:p>
    <w:p w14:paraId="51C93351" w14:textId="189892DC" w:rsidR="00AE69B7" w:rsidRPr="00A831E7" w:rsidRDefault="00AE69B7" w:rsidP="0057069D">
      <w:pPr>
        <w:pStyle w:val="a6"/>
        <w:numPr>
          <w:ilvl w:val="0"/>
          <w:numId w:val="19"/>
        </w:numPr>
        <w:spacing w:line="360" w:lineRule="auto"/>
        <w:ind w:left="180" w:hanging="180"/>
        <w:jc w:val="both"/>
        <w:rPr>
          <w:rFonts w:eastAsia="Calibri"/>
        </w:rPr>
      </w:pPr>
      <w:r w:rsidRPr="00A831E7">
        <w:rPr>
          <w:rFonts w:eastAsia="Calibri"/>
        </w:rPr>
        <w:t>Το π</w:t>
      </w:r>
      <w:r w:rsidR="00444202" w:rsidRPr="00A831E7">
        <w:rPr>
          <w:rFonts w:eastAsia="Calibri"/>
        </w:rPr>
        <w:t>λάσμα</w:t>
      </w:r>
      <w:r w:rsidRPr="00A831E7">
        <w:rPr>
          <w:rFonts w:eastAsia="Calibri"/>
        </w:rPr>
        <w:t xml:space="preserve"> αίματος</w:t>
      </w:r>
      <w:r w:rsidR="00D268DF">
        <w:rPr>
          <w:rFonts w:eastAsia="Calibri"/>
        </w:rPr>
        <w:t xml:space="preserve"> προκύπτει από προσθήκη αντιπηκτικών μετά τη συλλογή και</w:t>
      </w:r>
      <w:r w:rsidR="00444202" w:rsidRPr="00A831E7">
        <w:rPr>
          <w:rFonts w:eastAsia="Calibri"/>
        </w:rPr>
        <w:t xml:space="preserve"> διατηρεί τους παράγοντες πήξης, προσφέρ</w:t>
      </w:r>
      <w:r w:rsidRPr="00A831E7">
        <w:rPr>
          <w:rFonts w:eastAsia="Calibri"/>
        </w:rPr>
        <w:t>οντας</w:t>
      </w:r>
      <w:r w:rsidR="00444202" w:rsidRPr="00A831E7">
        <w:rPr>
          <w:rFonts w:eastAsia="Calibri"/>
        </w:rPr>
        <w:t xml:space="preserve"> υψηλότερη απόδοση δείγματος</w:t>
      </w:r>
      <w:r w:rsidRPr="00A831E7">
        <w:rPr>
          <w:rFonts w:eastAsia="Calibri"/>
        </w:rPr>
        <w:t xml:space="preserve"> και άμεση ανάλυση,</w:t>
      </w:r>
      <w:r w:rsidR="00444202" w:rsidRPr="00A831E7">
        <w:rPr>
          <w:rFonts w:eastAsia="Calibri"/>
        </w:rPr>
        <w:t xml:space="preserve"> </w:t>
      </w:r>
      <w:r w:rsidRPr="00A831E7">
        <w:rPr>
          <w:rFonts w:eastAsia="Calibri"/>
        </w:rPr>
        <w:t>ενώ</w:t>
      </w:r>
      <w:r w:rsidR="00444202" w:rsidRPr="00A831E7">
        <w:rPr>
          <w:rFonts w:eastAsia="Calibri"/>
        </w:rPr>
        <w:t xml:space="preserve"> αντανακλά πιο άμεσα τις φυσιολογικές αλληλεπιδράσεις, καθιστώντας το προτιμότερο για τη μελέτη δυναμικών βιοδεικτών.</w:t>
      </w:r>
    </w:p>
    <w:p w14:paraId="306902E2" w14:textId="745706B8" w:rsidR="00444202" w:rsidRPr="00A831E7" w:rsidRDefault="00AE69B7" w:rsidP="0057069D">
      <w:pPr>
        <w:pStyle w:val="a6"/>
        <w:numPr>
          <w:ilvl w:val="0"/>
          <w:numId w:val="19"/>
        </w:numPr>
        <w:spacing w:line="360" w:lineRule="auto"/>
        <w:ind w:left="180" w:hanging="180"/>
        <w:jc w:val="both"/>
        <w:rPr>
          <w:rFonts w:eastAsia="Calibri"/>
        </w:rPr>
      </w:pPr>
      <w:r w:rsidRPr="00A831E7">
        <w:rPr>
          <w:rFonts w:eastAsia="Calibri"/>
        </w:rPr>
        <w:t>Το ο</w:t>
      </w:r>
      <w:r w:rsidR="00444202" w:rsidRPr="00A831E7">
        <w:rPr>
          <w:rFonts w:eastAsia="Calibri"/>
        </w:rPr>
        <w:t xml:space="preserve">λικό αίμα περιέχει </w:t>
      </w:r>
      <w:r w:rsidR="00D268DF">
        <w:rPr>
          <w:rFonts w:eastAsia="Calibri"/>
        </w:rPr>
        <w:t xml:space="preserve">όλα τα συστατικά του αίματος, </w:t>
      </w:r>
      <w:r w:rsidR="00444202" w:rsidRPr="00A831E7">
        <w:rPr>
          <w:rFonts w:eastAsia="Calibri"/>
        </w:rPr>
        <w:t xml:space="preserve">ερυθρά και λευκά αιμοσφαίρια, που μπορούν να επηρεάσουν την ευαισθησία των δοκιμών και να </w:t>
      </w:r>
      <w:r w:rsidR="00444202" w:rsidRPr="00A831E7">
        <w:rPr>
          <w:rFonts w:eastAsia="Calibri"/>
        </w:rPr>
        <w:lastRenderedPageBreak/>
        <w:t>οδηγήσουν σε μεταβλητότητα στα αποτελέσματα, αλλά είναι ταχύτερο στην επεξεργασία, καθώς δεν απαιτεί φυγοκέντρηση, καθιστώντας το χρήσιμο για ταχεία διάγνωση σε επείγοντα περιστατικά.</w:t>
      </w:r>
    </w:p>
    <w:p w14:paraId="2214B612" w14:textId="2C46E297" w:rsidR="002B7A5E" w:rsidRPr="00A831E7" w:rsidRDefault="00444202" w:rsidP="00D50862">
      <w:pPr>
        <w:spacing w:line="360" w:lineRule="auto"/>
        <w:jc w:val="both"/>
        <w:rPr>
          <w:rFonts w:eastAsia="Calibri"/>
        </w:rPr>
      </w:pPr>
      <w:r w:rsidRPr="00A831E7">
        <w:rPr>
          <w:rFonts w:eastAsia="Calibri"/>
        </w:rPr>
        <w:t>Η επιλογή</w:t>
      </w:r>
      <w:r w:rsidR="00AE69B7" w:rsidRPr="00A831E7">
        <w:rPr>
          <w:rFonts w:eastAsia="Calibri"/>
        </w:rPr>
        <w:t xml:space="preserve"> του</w:t>
      </w:r>
      <w:r w:rsidRPr="00A831E7">
        <w:rPr>
          <w:rFonts w:eastAsia="Calibri"/>
        </w:rPr>
        <w:t xml:space="preserve"> </w:t>
      </w:r>
      <w:r w:rsidR="00AE69B7" w:rsidRPr="00A831E7">
        <w:rPr>
          <w:rFonts w:eastAsia="Calibri"/>
        </w:rPr>
        <w:t xml:space="preserve">υγρού λήψης δειγμάτων </w:t>
      </w:r>
      <w:r w:rsidRPr="00A831E7">
        <w:rPr>
          <w:rFonts w:eastAsia="Calibri"/>
        </w:rPr>
        <w:t xml:space="preserve">εξαρτάται από τις ιδιότητες του βιοδείκτη, τη μεθοδολογία της ανάλυσης και την κλινική εφαρμογή, καθώς οι διαφορές στη σύνθεση επηρεάζουν την ευαισθησία, την </w:t>
      </w:r>
      <w:r w:rsidR="00AE69B7" w:rsidRPr="00A831E7">
        <w:rPr>
          <w:rFonts w:eastAsia="Calibri"/>
        </w:rPr>
        <w:t>επαναληψιμότητα</w:t>
      </w:r>
      <w:r w:rsidRPr="00A831E7">
        <w:rPr>
          <w:rFonts w:eastAsia="Calibri"/>
        </w:rPr>
        <w:t xml:space="preserve"> και τη διαγνωστική αξία στις προσεγγίσεις υγρής βιοψίας.</w:t>
      </w:r>
      <w:r w:rsidR="00877EEC" w:rsidRPr="00A831E7">
        <w:rPr>
          <w:rFonts w:eastAsia="Calibri"/>
        </w:rPr>
        <w:t xml:space="preserve"> Η συγκριτική αξιολόγηση</w:t>
      </w:r>
      <w:r w:rsidR="00D50862">
        <w:rPr>
          <w:rFonts w:eastAsia="Calibri"/>
        </w:rPr>
        <w:t xml:space="preserve"> των βιοδεικτών</w:t>
      </w:r>
      <w:r w:rsidR="00877EEC" w:rsidRPr="00A831E7">
        <w:rPr>
          <w:rFonts w:eastAsia="Calibri"/>
        </w:rPr>
        <w:t xml:space="preserve"> αποτελεί το θεμέλιο για περαιτέρω αναλύσεις σε προηγμένα διαγνωστικά εργαλεία, όπως αλγορίθμους μηχανικής μάθησης (ML) και τεχνολογίες Point-of-Care (PoC).</w:t>
      </w:r>
      <w:bookmarkEnd w:id="112"/>
    </w:p>
    <w:p w14:paraId="1D7DCA4E" w14:textId="329C0E1C" w:rsidR="003B0C15" w:rsidRPr="00A831E7" w:rsidRDefault="0091505C" w:rsidP="00D50862">
      <w:pPr>
        <w:pStyle w:val="af5"/>
        <w:spacing w:before="240" w:after="0"/>
        <w:jc w:val="center"/>
        <w:rPr>
          <w:rFonts w:eastAsia="Calibri"/>
          <w:b/>
          <w:bCs/>
          <w:i w:val="0"/>
          <w:iCs w:val="0"/>
          <w:color w:val="auto"/>
          <w:sz w:val="20"/>
          <w:szCs w:val="20"/>
        </w:rPr>
      </w:pPr>
      <w:bookmarkStart w:id="118" w:name="_Toc199787750"/>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15</w:t>
      </w:r>
      <w:r w:rsidRPr="00A831E7">
        <w:rPr>
          <w:b/>
          <w:bCs/>
          <w:color w:val="auto"/>
          <w:sz w:val="20"/>
          <w:szCs w:val="20"/>
        </w:rPr>
        <w:fldChar w:fldCharType="end"/>
      </w:r>
      <w:r w:rsidRPr="00A831E7">
        <w:rPr>
          <w:b/>
          <w:bCs/>
          <w:color w:val="auto"/>
          <w:sz w:val="20"/>
          <w:szCs w:val="20"/>
        </w:rPr>
        <w:t>: Διαγνωστική Επίδοση Βιοδεικτών</w:t>
      </w:r>
      <w:bookmarkEnd w:id="118"/>
    </w:p>
    <w:tbl>
      <w:tblPr>
        <w:tblStyle w:val="af0"/>
        <w:tblW w:w="8280" w:type="dxa"/>
        <w:tblInd w:w="-15" w:type="dxa"/>
        <w:tblLayout w:type="fixed"/>
        <w:tblLook w:val="04A0" w:firstRow="1" w:lastRow="0" w:firstColumn="1" w:lastColumn="0" w:noHBand="0" w:noVBand="1"/>
      </w:tblPr>
      <w:tblGrid>
        <w:gridCol w:w="1260"/>
        <w:gridCol w:w="2340"/>
        <w:gridCol w:w="900"/>
        <w:gridCol w:w="990"/>
        <w:gridCol w:w="630"/>
        <w:gridCol w:w="630"/>
        <w:gridCol w:w="630"/>
        <w:gridCol w:w="900"/>
      </w:tblGrid>
      <w:tr w:rsidR="00877EEC" w:rsidRPr="00A831E7" w14:paraId="77735170" w14:textId="77777777" w:rsidTr="0057069D">
        <w:trPr>
          <w:cantSplit/>
          <w:tblHeader/>
        </w:trPr>
        <w:tc>
          <w:tcPr>
            <w:tcW w:w="1260" w:type="dxa"/>
            <w:tcBorders>
              <w:top w:val="single" w:sz="12" w:space="0" w:color="auto"/>
              <w:left w:val="single" w:sz="12" w:space="0" w:color="auto"/>
              <w:bottom w:val="single" w:sz="12" w:space="0" w:color="auto"/>
            </w:tcBorders>
            <w:shd w:val="clear" w:color="auto" w:fill="D9D9D9" w:themeFill="background1" w:themeFillShade="D9"/>
          </w:tcPr>
          <w:p w14:paraId="76958559" w14:textId="77777777" w:rsidR="00322313" w:rsidRPr="00A831E7" w:rsidRDefault="00322313" w:rsidP="00BB36DD">
            <w:pPr>
              <w:jc w:val="center"/>
              <w:rPr>
                <w:b/>
                <w:bCs/>
                <w:i/>
                <w:iCs/>
                <w:sz w:val="20"/>
                <w:szCs w:val="20"/>
              </w:rPr>
            </w:pPr>
            <w:bookmarkStart w:id="119" w:name="_Hlk198285167"/>
            <w:r w:rsidRPr="00A831E7">
              <w:rPr>
                <w:b/>
                <w:bCs/>
                <w:i/>
                <w:iCs/>
                <w:sz w:val="20"/>
                <w:szCs w:val="20"/>
              </w:rPr>
              <w:t>Biomarker</w:t>
            </w:r>
          </w:p>
        </w:tc>
        <w:tc>
          <w:tcPr>
            <w:tcW w:w="2340" w:type="dxa"/>
            <w:tcBorders>
              <w:top w:val="single" w:sz="12" w:space="0" w:color="auto"/>
              <w:bottom w:val="single" w:sz="12" w:space="0" w:color="auto"/>
            </w:tcBorders>
            <w:shd w:val="clear" w:color="auto" w:fill="D9D9D9" w:themeFill="background1" w:themeFillShade="D9"/>
          </w:tcPr>
          <w:p w14:paraId="6129AFB3" w14:textId="77777777" w:rsidR="00322313" w:rsidRPr="00A831E7" w:rsidRDefault="00322313" w:rsidP="00BB36DD">
            <w:pPr>
              <w:jc w:val="center"/>
              <w:rPr>
                <w:b/>
                <w:bCs/>
                <w:i/>
                <w:iCs/>
                <w:sz w:val="20"/>
                <w:szCs w:val="20"/>
              </w:rPr>
            </w:pPr>
            <w:r w:rsidRPr="00A831E7">
              <w:rPr>
                <w:b/>
                <w:bCs/>
                <w:i/>
                <w:iCs/>
                <w:sz w:val="20"/>
                <w:szCs w:val="20"/>
              </w:rPr>
              <w:t>Biomarker function/source</w:t>
            </w:r>
          </w:p>
        </w:tc>
        <w:tc>
          <w:tcPr>
            <w:tcW w:w="900" w:type="dxa"/>
            <w:tcBorders>
              <w:top w:val="single" w:sz="12" w:space="0" w:color="auto"/>
              <w:bottom w:val="single" w:sz="12" w:space="0" w:color="auto"/>
            </w:tcBorders>
            <w:shd w:val="clear" w:color="auto" w:fill="D9D9D9" w:themeFill="background1" w:themeFillShade="D9"/>
          </w:tcPr>
          <w:p w14:paraId="17465659" w14:textId="77777777" w:rsidR="00322313" w:rsidRPr="00A831E7" w:rsidRDefault="00322313" w:rsidP="00BB36DD">
            <w:pPr>
              <w:jc w:val="center"/>
              <w:rPr>
                <w:b/>
                <w:bCs/>
                <w:i/>
                <w:iCs/>
                <w:sz w:val="20"/>
                <w:szCs w:val="20"/>
              </w:rPr>
            </w:pPr>
            <w:r w:rsidRPr="00A831E7">
              <w:rPr>
                <w:b/>
                <w:bCs/>
                <w:i/>
                <w:iCs/>
                <w:sz w:val="20"/>
                <w:szCs w:val="20"/>
              </w:rPr>
              <w:t>Ts &amp;</w:t>
            </w:r>
            <w:r w:rsidRPr="00A831E7">
              <w:rPr>
                <w:b/>
                <w:bCs/>
                <w:i/>
                <w:iCs/>
                <w:sz w:val="20"/>
                <w:szCs w:val="20"/>
              </w:rPr>
              <w:br/>
            </w:r>
            <w:r w:rsidRPr="00A831E7">
              <w:rPr>
                <w:b/>
                <w:bCs/>
                <w:i/>
                <w:iCs/>
                <w:sz w:val="18"/>
                <w:szCs w:val="18"/>
              </w:rPr>
              <w:t>source</w:t>
            </w:r>
          </w:p>
        </w:tc>
        <w:tc>
          <w:tcPr>
            <w:tcW w:w="990" w:type="dxa"/>
            <w:tcBorders>
              <w:top w:val="single" w:sz="12" w:space="0" w:color="auto"/>
              <w:bottom w:val="single" w:sz="12" w:space="0" w:color="auto"/>
            </w:tcBorders>
            <w:shd w:val="clear" w:color="auto" w:fill="D9D9D9" w:themeFill="background1" w:themeFillShade="D9"/>
          </w:tcPr>
          <w:p w14:paraId="006B5287" w14:textId="77777777" w:rsidR="00322313" w:rsidRPr="00A831E7" w:rsidRDefault="00322313" w:rsidP="00BB36DD">
            <w:pPr>
              <w:jc w:val="center"/>
              <w:rPr>
                <w:b/>
                <w:bCs/>
                <w:i/>
                <w:iCs/>
                <w:sz w:val="20"/>
                <w:szCs w:val="20"/>
              </w:rPr>
            </w:pPr>
            <w:r w:rsidRPr="00A831E7">
              <w:rPr>
                <w:b/>
                <w:bCs/>
                <w:i/>
                <w:iCs/>
                <w:sz w:val="20"/>
                <w:szCs w:val="20"/>
              </w:rPr>
              <w:t>Stroke</w:t>
            </w:r>
            <w:r w:rsidRPr="00A831E7">
              <w:rPr>
                <w:b/>
                <w:bCs/>
                <w:i/>
                <w:iCs/>
                <w:sz w:val="20"/>
                <w:szCs w:val="20"/>
              </w:rPr>
              <w:br/>
              <w:t xml:space="preserve">&amp; </w:t>
            </w:r>
            <w:r w:rsidRPr="00A831E7">
              <w:rPr>
                <w:b/>
                <w:bCs/>
                <w:i/>
                <w:iCs/>
                <w:sz w:val="18"/>
                <w:szCs w:val="18"/>
              </w:rPr>
              <w:t>sample types</w:t>
            </w:r>
          </w:p>
        </w:tc>
        <w:tc>
          <w:tcPr>
            <w:tcW w:w="630" w:type="dxa"/>
            <w:tcBorders>
              <w:top w:val="single" w:sz="12" w:space="0" w:color="auto"/>
              <w:bottom w:val="single" w:sz="12" w:space="0" w:color="auto"/>
            </w:tcBorders>
            <w:shd w:val="clear" w:color="auto" w:fill="D9D9D9" w:themeFill="background1" w:themeFillShade="D9"/>
          </w:tcPr>
          <w:p w14:paraId="3049AF61" w14:textId="77777777" w:rsidR="00322313" w:rsidRPr="00A831E7" w:rsidRDefault="00322313" w:rsidP="00BB36DD">
            <w:pPr>
              <w:jc w:val="center"/>
              <w:rPr>
                <w:b/>
                <w:bCs/>
                <w:i/>
                <w:iCs/>
                <w:sz w:val="20"/>
                <w:szCs w:val="20"/>
              </w:rPr>
            </w:pPr>
            <w:r w:rsidRPr="00A831E7">
              <w:rPr>
                <w:b/>
                <w:bCs/>
                <w:i/>
                <w:iCs/>
                <w:sz w:val="20"/>
                <w:szCs w:val="20"/>
              </w:rPr>
              <w:t>AUC</w:t>
            </w:r>
          </w:p>
        </w:tc>
        <w:tc>
          <w:tcPr>
            <w:tcW w:w="630" w:type="dxa"/>
            <w:tcBorders>
              <w:top w:val="single" w:sz="12" w:space="0" w:color="auto"/>
              <w:bottom w:val="single" w:sz="12" w:space="0" w:color="auto"/>
            </w:tcBorders>
            <w:shd w:val="clear" w:color="auto" w:fill="D9D9D9" w:themeFill="background1" w:themeFillShade="D9"/>
          </w:tcPr>
          <w:p w14:paraId="15D9E7C5" w14:textId="77777777" w:rsidR="00322313" w:rsidRPr="00A831E7" w:rsidRDefault="00322313" w:rsidP="00BB36DD">
            <w:pPr>
              <w:jc w:val="center"/>
              <w:rPr>
                <w:b/>
                <w:bCs/>
                <w:i/>
                <w:iCs/>
                <w:sz w:val="18"/>
                <w:szCs w:val="18"/>
              </w:rPr>
            </w:pPr>
            <w:r w:rsidRPr="00A831E7">
              <w:rPr>
                <w:b/>
                <w:bCs/>
                <w:i/>
                <w:iCs/>
                <w:sz w:val="18"/>
                <w:szCs w:val="18"/>
              </w:rPr>
              <w:t>Sensitivity</w:t>
            </w:r>
          </w:p>
        </w:tc>
        <w:tc>
          <w:tcPr>
            <w:tcW w:w="630" w:type="dxa"/>
            <w:tcBorders>
              <w:top w:val="single" w:sz="12" w:space="0" w:color="auto"/>
              <w:bottom w:val="single" w:sz="12" w:space="0" w:color="auto"/>
            </w:tcBorders>
            <w:shd w:val="clear" w:color="auto" w:fill="D9D9D9" w:themeFill="background1" w:themeFillShade="D9"/>
          </w:tcPr>
          <w:p w14:paraId="639D3323" w14:textId="77777777" w:rsidR="00322313" w:rsidRPr="00A831E7" w:rsidRDefault="00322313" w:rsidP="00BB36DD">
            <w:pPr>
              <w:jc w:val="center"/>
              <w:rPr>
                <w:b/>
                <w:bCs/>
                <w:i/>
                <w:iCs/>
                <w:sz w:val="20"/>
                <w:szCs w:val="20"/>
              </w:rPr>
            </w:pPr>
            <w:r w:rsidRPr="00A831E7">
              <w:rPr>
                <w:b/>
                <w:bCs/>
                <w:i/>
                <w:iCs/>
                <w:sz w:val="18"/>
                <w:szCs w:val="18"/>
              </w:rPr>
              <w:t>Specificity</w:t>
            </w:r>
          </w:p>
        </w:tc>
        <w:tc>
          <w:tcPr>
            <w:tcW w:w="900" w:type="dxa"/>
            <w:tcBorders>
              <w:top w:val="single" w:sz="12" w:space="0" w:color="auto"/>
              <w:bottom w:val="single" w:sz="12" w:space="0" w:color="auto"/>
              <w:right w:val="single" w:sz="12" w:space="0" w:color="000000"/>
            </w:tcBorders>
            <w:shd w:val="clear" w:color="auto" w:fill="D9D9D9" w:themeFill="background1" w:themeFillShade="D9"/>
          </w:tcPr>
          <w:p w14:paraId="20BFC19C" w14:textId="77777777" w:rsidR="00322313" w:rsidRPr="00A831E7" w:rsidRDefault="00322313" w:rsidP="00BB36DD">
            <w:pPr>
              <w:jc w:val="center"/>
              <w:rPr>
                <w:b/>
                <w:bCs/>
                <w:i/>
                <w:iCs/>
                <w:sz w:val="20"/>
                <w:szCs w:val="20"/>
              </w:rPr>
            </w:pPr>
            <w:r w:rsidRPr="00A831E7">
              <w:rPr>
                <w:b/>
                <w:bCs/>
                <w:i/>
                <w:iCs/>
                <w:sz w:val="20"/>
                <w:szCs w:val="20"/>
              </w:rPr>
              <w:t>Ref.</w:t>
            </w:r>
          </w:p>
        </w:tc>
      </w:tr>
      <w:tr w:rsidR="00322313" w:rsidRPr="00A831E7" w14:paraId="2BAA47F5" w14:textId="77777777" w:rsidTr="003B0C15">
        <w:trPr>
          <w:cantSplit/>
          <w:trHeight w:val="357"/>
        </w:trPr>
        <w:tc>
          <w:tcPr>
            <w:tcW w:w="1260" w:type="dxa"/>
            <w:tcBorders>
              <w:top w:val="single" w:sz="12" w:space="0" w:color="auto"/>
              <w:left w:val="single" w:sz="12" w:space="0" w:color="auto"/>
              <w:bottom w:val="single" w:sz="8" w:space="0" w:color="auto"/>
            </w:tcBorders>
            <w:shd w:val="clear" w:color="auto" w:fill="auto"/>
          </w:tcPr>
          <w:p w14:paraId="1E0838BD" w14:textId="77777777" w:rsidR="00322313" w:rsidRPr="00A831E7" w:rsidRDefault="00322313" w:rsidP="00BB36DD">
            <w:pPr>
              <w:jc w:val="center"/>
              <w:rPr>
                <w:sz w:val="20"/>
                <w:szCs w:val="20"/>
              </w:rPr>
            </w:pPr>
            <w:r w:rsidRPr="00A831E7">
              <w:rPr>
                <w:sz w:val="20"/>
                <w:szCs w:val="20"/>
              </w:rPr>
              <w:t>GFAP</w:t>
            </w:r>
          </w:p>
        </w:tc>
        <w:tc>
          <w:tcPr>
            <w:tcW w:w="2340" w:type="dxa"/>
            <w:vMerge w:val="restart"/>
            <w:tcBorders>
              <w:top w:val="single" w:sz="12" w:space="0" w:color="auto"/>
              <w:bottom w:val="single" w:sz="8" w:space="0" w:color="auto"/>
            </w:tcBorders>
            <w:shd w:val="clear" w:color="auto" w:fill="auto"/>
          </w:tcPr>
          <w:p w14:paraId="01A2C89C" w14:textId="3B54E51A" w:rsidR="00322313" w:rsidRPr="008326F6" w:rsidRDefault="00322313" w:rsidP="00BB36DD">
            <w:pPr>
              <w:rPr>
                <w:sz w:val="18"/>
                <w:szCs w:val="18"/>
              </w:rPr>
            </w:pPr>
            <w:r w:rsidRPr="00A831E7">
              <w:rPr>
                <w:sz w:val="18"/>
                <w:szCs w:val="18"/>
              </w:rPr>
              <w:t>GFAP: Αυξημένη συγκέντρωση σε ICH</w:t>
            </w:r>
            <w:r w:rsidRPr="00A831E7">
              <w:rPr>
                <w:sz w:val="18"/>
                <w:szCs w:val="18"/>
              </w:rPr>
              <w:br/>
              <w:t>NT-BNP:</w:t>
            </w:r>
            <w:r w:rsidR="00877EEC" w:rsidRPr="00A831E7">
              <w:rPr>
                <w:sz w:val="18"/>
                <w:szCs w:val="18"/>
              </w:rPr>
              <w:t xml:space="preserve"> </w:t>
            </w:r>
            <w:r w:rsidRPr="00A831E7">
              <w:rPr>
                <w:sz w:val="18"/>
                <w:szCs w:val="18"/>
              </w:rPr>
              <w:t>Μειωμένη σε ICH</w:t>
            </w:r>
            <w:r w:rsidRPr="00A831E7">
              <w:rPr>
                <w:sz w:val="18"/>
                <w:szCs w:val="18"/>
              </w:rPr>
              <w:br/>
            </w:r>
            <w:r w:rsidR="00961AC9" w:rsidRPr="00A831E7">
              <w:rPr>
                <w:sz w:val="18"/>
                <w:szCs w:val="18"/>
              </w:rPr>
              <w:t>Μετρήσεις</w:t>
            </w:r>
            <w:r w:rsidR="00877EEC" w:rsidRPr="00A831E7">
              <w:rPr>
                <w:sz w:val="18"/>
                <w:szCs w:val="18"/>
              </w:rPr>
              <w:t xml:space="preserve"> </w:t>
            </w:r>
            <w:r w:rsidR="00961AC9" w:rsidRPr="00A831E7">
              <w:rPr>
                <w:sz w:val="18"/>
                <w:szCs w:val="18"/>
              </w:rPr>
              <w:t>:</w:t>
            </w:r>
            <w:r w:rsidRPr="00A831E7">
              <w:rPr>
                <w:sz w:val="18"/>
                <w:szCs w:val="18"/>
              </w:rPr>
              <w:t xml:space="preserve"> ELISA-SiMoA</w:t>
            </w:r>
            <w:r w:rsidR="00387775">
              <w:rPr>
                <w:sz w:val="18"/>
                <w:szCs w:val="18"/>
                <w:lang w:val="en-US"/>
              </w:rPr>
              <w:br/>
            </w:r>
            <w:r w:rsidR="008326F6">
              <w:rPr>
                <w:sz w:val="18"/>
                <w:szCs w:val="18"/>
              </w:rPr>
              <w:br/>
            </w:r>
            <w:r w:rsidR="008326F6" w:rsidRPr="00387775">
              <w:rPr>
                <w:i/>
                <w:iCs/>
                <w:sz w:val="16"/>
                <w:szCs w:val="16"/>
                <w:lang w:val="en-US"/>
              </w:rPr>
              <w:t>Derivation</w:t>
            </w:r>
            <w:r w:rsidR="008326F6" w:rsidRPr="00387775">
              <w:rPr>
                <w:i/>
                <w:iCs/>
                <w:sz w:val="16"/>
                <w:szCs w:val="16"/>
              </w:rPr>
              <w:t xml:space="preserve"> </w:t>
            </w:r>
            <w:r w:rsidR="008326F6" w:rsidRPr="00387775">
              <w:rPr>
                <w:i/>
                <w:iCs/>
                <w:sz w:val="16"/>
                <w:szCs w:val="16"/>
                <w:lang w:val="en-US"/>
              </w:rPr>
              <w:t xml:space="preserve">cohort: 73 </w:t>
            </w:r>
            <w:r w:rsidR="008326F6" w:rsidRPr="00387775">
              <w:rPr>
                <w:i/>
                <w:iCs/>
                <w:sz w:val="16"/>
                <w:szCs w:val="16"/>
              </w:rPr>
              <w:t>ασθενείς</w:t>
            </w:r>
            <w:r w:rsidR="008326F6" w:rsidRPr="00387775">
              <w:rPr>
                <w:i/>
                <w:iCs/>
                <w:sz w:val="16"/>
                <w:szCs w:val="16"/>
              </w:rPr>
              <w:br/>
            </w:r>
            <w:r w:rsidR="008326F6" w:rsidRPr="00387775">
              <w:rPr>
                <w:i/>
                <w:iCs/>
                <w:sz w:val="16"/>
                <w:szCs w:val="16"/>
                <w:lang w:val="en-US"/>
              </w:rPr>
              <w:t xml:space="preserve">Validation cohort:154 </w:t>
            </w:r>
            <w:r w:rsidR="008326F6" w:rsidRPr="00387775">
              <w:rPr>
                <w:i/>
                <w:iCs/>
                <w:sz w:val="16"/>
                <w:szCs w:val="16"/>
              </w:rPr>
              <w:t>ασθενείς</w:t>
            </w:r>
          </w:p>
        </w:tc>
        <w:tc>
          <w:tcPr>
            <w:tcW w:w="900" w:type="dxa"/>
            <w:vMerge w:val="restart"/>
            <w:tcBorders>
              <w:top w:val="single" w:sz="12" w:space="0" w:color="auto"/>
              <w:bottom w:val="single" w:sz="8" w:space="0" w:color="auto"/>
            </w:tcBorders>
            <w:shd w:val="clear" w:color="auto" w:fill="auto"/>
          </w:tcPr>
          <w:p w14:paraId="5CF6BAA6" w14:textId="77777777" w:rsidR="00322313" w:rsidRPr="00A831E7" w:rsidRDefault="00322313" w:rsidP="00BB36DD">
            <w:pPr>
              <w:jc w:val="center"/>
              <w:rPr>
                <w:sz w:val="20"/>
                <w:szCs w:val="20"/>
              </w:rPr>
            </w:pPr>
            <w:r w:rsidRPr="00A831E7">
              <w:rPr>
                <w:sz w:val="20"/>
                <w:szCs w:val="20"/>
              </w:rPr>
              <w:t>&lt;6h</w:t>
            </w:r>
          </w:p>
          <w:p w14:paraId="00635212" w14:textId="77777777" w:rsidR="00322313" w:rsidRPr="00A831E7" w:rsidRDefault="00322313" w:rsidP="00BB36DD">
            <w:pPr>
              <w:jc w:val="center"/>
              <w:rPr>
                <w:sz w:val="20"/>
                <w:szCs w:val="20"/>
              </w:rPr>
            </w:pPr>
            <w:r w:rsidRPr="00A831E7">
              <w:rPr>
                <w:sz w:val="18"/>
                <w:szCs w:val="18"/>
              </w:rPr>
              <w:t>Πλάσμα</w:t>
            </w:r>
          </w:p>
        </w:tc>
        <w:tc>
          <w:tcPr>
            <w:tcW w:w="990" w:type="dxa"/>
            <w:tcBorders>
              <w:top w:val="single" w:sz="12" w:space="0" w:color="auto"/>
              <w:bottom w:val="single" w:sz="8" w:space="0" w:color="auto"/>
            </w:tcBorders>
            <w:shd w:val="clear" w:color="auto" w:fill="auto"/>
          </w:tcPr>
          <w:p w14:paraId="7D501A5B" w14:textId="77777777" w:rsidR="00322313" w:rsidRPr="00A831E7" w:rsidRDefault="00322313" w:rsidP="00BB36DD">
            <w:pPr>
              <w:jc w:val="center"/>
              <w:rPr>
                <w:sz w:val="20"/>
                <w:szCs w:val="20"/>
              </w:rPr>
            </w:pPr>
            <w:r w:rsidRPr="00A831E7">
              <w:rPr>
                <w:sz w:val="20"/>
                <w:szCs w:val="20"/>
              </w:rPr>
              <w:t>IS-ICH</w:t>
            </w:r>
          </w:p>
        </w:tc>
        <w:tc>
          <w:tcPr>
            <w:tcW w:w="630" w:type="dxa"/>
            <w:tcBorders>
              <w:top w:val="single" w:sz="12" w:space="0" w:color="auto"/>
              <w:bottom w:val="single" w:sz="8" w:space="0" w:color="auto"/>
            </w:tcBorders>
            <w:shd w:val="clear" w:color="auto" w:fill="auto"/>
          </w:tcPr>
          <w:p w14:paraId="172D2358" w14:textId="77777777" w:rsidR="00322313" w:rsidRDefault="00322313" w:rsidP="00BB36DD">
            <w:pPr>
              <w:jc w:val="center"/>
              <w:rPr>
                <w:sz w:val="18"/>
                <w:szCs w:val="18"/>
                <w:lang w:val="en-US"/>
              </w:rPr>
            </w:pPr>
            <w:r w:rsidRPr="00A831E7">
              <w:rPr>
                <w:sz w:val="18"/>
                <w:szCs w:val="18"/>
              </w:rPr>
              <w:t>0.8</w:t>
            </w:r>
            <w:r w:rsidR="008326F6">
              <w:rPr>
                <w:sz w:val="18"/>
                <w:szCs w:val="18"/>
              </w:rPr>
              <w:t>03</w:t>
            </w:r>
          </w:p>
          <w:p w14:paraId="05102081" w14:textId="39B1992C" w:rsidR="008326F6" w:rsidRPr="008326F6" w:rsidRDefault="008326F6" w:rsidP="00BB36DD">
            <w:pPr>
              <w:jc w:val="center"/>
              <w:rPr>
                <w:sz w:val="18"/>
                <w:szCs w:val="18"/>
                <w:lang w:val="en-US"/>
              </w:rPr>
            </w:pPr>
            <w:r w:rsidRPr="008326F6">
              <w:rPr>
                <w:sz w:val="16"/>
                <w:szCs w:val="16"/>
                <w:lang w:val="en-US"/>
              </w:rPr>
              <w:t>(Val.)</w:t>
            </w:r>
          </w:p>
        </w:tc>
        <w:tc>
          <w:tcPr>
            <w:tcW w:w="630" w:type="dxa"/>
            <w:tcBorders>
              <w:top w:val="single" w:sz="12" w:space="0" w:color="auto"/>
              <w:bottom w:val="single" w:sz="8" w:space="0" w:color="auto"/>
            </w:tcBorders>
            <w:shd w:val="clear" w:color="auto" w:fill="auto"/>
          </w:tcPr>
          <w:p w14:paraId="56BBB813" w14:textId="143D3966" w:rsidR="00322313" w:rsidRPr="00A831E7" w:rsidRDefault="00322313" w:rsidP="00BB36DD">
            <w:pPr>
              <w:jc w:val="center"/>
              <w:rPr>
                <w:sz w:val="18"/>
                <w:szCs w:val="18"/>
              </w:rPr>
            </w:pPr>
            <w:r w:rsidRPr="00A831E7">
              <w:rPr>
                <w:sz w:val="18"/>
                <w:szCs w:val="18"/>
              </w:rPr>
              <w:t>0.59</w:t>
            </w:r>
            <w:r w:rsidR="00AA3EF8" w:rsidRPr="00A831E7">
              <w:rPr>
                <w:sz w:val="18"/>
                <w:szCs w:val="18"/>
              </w:rPr>
              <w:t>4</w:t>
            </w:r>
          </w:p>
        </w:tc>
        <w:tc>
          <w:tcPr>
            <w:tcW w:w="630" w:type="dxa"/>
            <w:tcBorders>
              <w:top w:val="single" w:sz="12" w:space="0" w:color="auto"/>
              <w:bottom w:val="single" w:sz="8" w:space="0" w:color="auto"/>
            </w:tcBorders>
            <w:shd w:val="clear" w:color="auto" w:fill="auto"/>
          </w:tcPr>
          <w:p w14:paraId="7A91881E" w14:textId="4FC32D75" w:rsidR="00322313" w:rsidRPr="00A831E7" w:rsidRDefault="00322313" w:rsidP="00BB36DD">
            <w:pPr>
              <w:jc w:val="center"/>
              <w:rPr>
                <w:sz w:val="18"/>
                <w:szCs w:val="18"/>
              </w:rPr>
            </w:pPr>
            <w:r w:rsidRPr="00A831E7">
              <w:rPr>
                <w:sz w:val="18"/>
                <w:szCs w:val="18"/>
              </w:rPr>
              <w:t>0.90</w:t>
            </w:r>
            <w:r w:rsidR="00AA3EF8" w:rsidRPr="00A831E7">
              <w:rPr>
                <w:sz w:val="18"/>
                <w:szCs w:val="18"/>
              </w:rPr>
              <w:t>2</w:t>
            </w:r>
          </w:p>
        </w:tc>
        <w:tc>
          <w:tcPr>
            <w:tcW w:w="900" w:type="dxa"/>
            <w:vMerge w:val="restart"/>
            <w:tcBorders>
              <w:top w:val="single" w:sz="12" w:space="0" w:color="auto"/>
              <w:right w:val="single" w:sz="12" w:space="0" w:color="000000"/>
            </w:tcBorders>
            <w:shd w:val="clear" w:color="auto" w:fill="auto"/>
          </w:tcPr>
          <w:p w14:paraId="3C1FD139" w14:textId="2DAC1E3E" w:rsidR="00322313" w:rsidRPr="00A831E7" w:rsidRDefault="00F35DEF" w:rsidP="00BB36DD">
            <w:pPr>
              <w:jc w:val="center"/>
              <w:rPr>
                <w:sz w:val="20"/>
                <w:szCs w:val="20"/>
              </w:rPr>
            </w:pPr>
            <w:r w:rsidRPr="00A831E7">
              <w:rPr>
                <w:sz w:val="20"/>
                <w:szCs w:val="20"/>
              </w:rPr>
              <w:fldChar w:fldCharType="begin"/>
            </w:r>
            <w:r w:rsidR="00B22777" w:rsidRPr="00A831E7">
              <w:rPr>
                <w:sz w:val="20"/>
                <w:szCs w:val="20"/>
              </w:rPr>
              <w:instrText xml:space="preserve"> ADDIN ZOTERO_ITEM CSL_CITATION {"citationID":"DcWtOCNz","properties":{"formattedCitation":"[67]","plainCitation":"[67]","noteIndex":0},"citationItems":[{"id":348,"uris":["http://zotero.org/users/local/mfHf28QG/items/MKKSSDYZ"],"itemData":{"id":348,"type":"article-journal","abstract":"Acute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suppress-author":true}],"schema":"https://github.com/citation-style-language/schema/raw/master/csl-citation.json"} </w:instrText>
            </w:r>
            <w:r w:rsidRPr="00A831E7">
              <w:rPr>
                <w:sz w:val="20"/>
                <w:szCs w:val="20"/>
              </w:rPr>
              <w:fldChar w:fldCharType="separate"/>
            </w:r>
            <w:r w:rsidR="00B22777" w:rsidRPr="00A831E7">
              <w:rPr>
                <w:sz w:val="20"/>
              </w:rPr>
              <w:t>[67]</w:t>
            </w:r>
            <w:r w:rsidRPr="00A831E7">
              <w:rPr>
                <w:sz w:val="20"/>
                <w:szCs w:val="20"/>
              </w:rPr>
              <w:fldChar w:fldCharType="end"/>
            </w:r>
          </w:p>
        </w:tc>
      </w:tr>
      <w:tr w:rsidR="00322313" w:rsidRPr="00A831E7" w14:paraId="08D10930" w14:textId="77777777" w:rsidTr="003B0C15">
        <w:trPr>
          <w:cantSplit/>
          <w:trHeight w:val="430"/>
        </w:trPr>
        <w:tc>
          <w:tcPr>
            <w:tcW w:w="1260" w:type="dxa"/>
            <w:tcBorders>
              <w:top w:val="single" w:sz="8" w:space="0" w:color="auto"/>
              <w:left w:val="single" w:sz="12" w:space="0" w:color="auto"/>
              <w:bottom w:val="single" w:sz="8" w:space="0" w:color="auto"/>
            </w:tcBorders>
            <w:shd w:val="clear" w:color="auto" w:fill="auto"/>
          </w:tcPr>
          <w:p w14:paraId="3E974A16" w14:textId="77777777" w:rsidR="00322313" w:rsidRPr="00A831E7" w:rsidRDefault="00322313" w:rsidP="00BB36DD">
            <w:pPr>
              <w:jc w:val="center"/>
              <w:rPr>
                <w:sz w:val="20"/>
                <w:szCs w:val="20"/>
              </w:rPr>
            </w:pPr>
            <w:r w:rsidRPr="00A831E7">
              <w:rPr>
                <w:sz w:val="20"/>
                <w:szCs w:val="20"/>
              </w:rPr>
              <w:t>NT-BNP</w:t>
            </w:r>
          </w:p>
        </w:tc>
        <w:tc>
          <w:tcPr>
            <w:tcW w:w="2340" w:type="dxa"/>
            <w:vMerge/>
            <w:tcBorders>
              <w:top w:val="single" w:sz="8" w:space="0" w:color="auto"/>
              <w:bottom w:val="single" w:sz="8" w:space="0" w:color="auto"/>
            </w:tcBorders>
            <w:shd w:val="clear" w:color="auto" w:fill="auto"/>
          </w:tcPr>
          <w:p w14:paraId="4D01FDCA" w14:textId="77777777" w:rsidR="00322313" w:rsidRPr="00A831E7" w:rsidRDefault="00322313" w:rsidP="00BB36DD">
            <w:pPr>
              <w:jc w:val="center"/>
              <w:rPr>
                <w:sz w:val="20"/>
                <w:szCs w:val="20"/>
              </w:rPr>
            </w:pPr>
          </w:p>
        </w:tc>
        <w:tc>
          <w:tcPr>
            <w:tcW w:w="900" w:type="dxa"/>
            <w:vMerge/>
            <w:tcBorders>
              <w:top w:val="single" w:sz="8" w:space="0" w:color="auto"/>
              <w:bottom w:val="single" w:sz="8" w:space="0" w:color="auto"/>
            </w:tcBorders>
            <w:shd w:val="clear" w:color="auto" w:fill="auto"/>
          </w:tcPr>
          <w:p w14:paraId="60721961" w14:textId="77777777" w:rsidR="00322313" w:rsidRPr="00A831E7" w:rsidRDefault="00322313" w:rsidP="00BB36DD">
            <w:pPr>
              <w:jc w:val="center"/>
              <w:rPr>
                <w:sz w:val="20"/>
                <w:szCs w:val="20"/>
              </w:rPr>
            </w:pPr>
          </w:p>
        </w:tc>
        <w:tc>
          <w:tcPr>
            <w:tcW w:w="990" w:type="dxa"/>
            <w:tcBorders>
              <w:top w:val="single" w:sz="8" w:space="0" w:color="auto"/>
              <w:bottom w:val="single" w:sz="8" w:space="0" w:color="auto"/>
            </w:tcBorders>
            <w:shd w:val="clear" w:color="auto" w:fill="auto"/>
          </w:tcPr>
          <w:p w14:paraId="144486C4" w14:textId="77777777" w:rsidR="00322313" w:rsidRPr="00A831E7" w:rsidRDefault="00322313" w:rsidP="00BB36DD">
            <w:pPr>
              <w:jc w:val="center"/>
              <w:rPr>
                <w:sz w:val="20"/>
                <w:szCs w:val="20"/>
              </w:rPr>
            </w:pPr>
            <w:r w:rsidRPr="00A831E7">
              <w:rPr>
                <w:sz w:val="20"/>
                <w:szCs w:val="20"/>
              </w:rPr>
              <w:t>»</w:t>
            </w:r>
          </w:p>
        </w:tc>
        <w:tc>
          <w:tcPr>
            <w:tcW w:w="630" w:type="dxa"/>
            <w:tcBorders>
              <w:top w:val="single" w:sz="8" w:space="0" w:color="auto"/>
              <w:bottom w:val="single" w:sz="8" w:space="0" w:color="auto"/>
            </w:tcBorders>
            <w:shd w:val="clear" w:color="auto" w:fill="auto"/>
          </w:tcPr>
          <w:p w14:paraId="23F2CF97" w14:textId="3109AE08" w:rsidR="00322313" w:rsidRPr="008326F6" w:rsidRDefault="00322313" w:rsidP="00BB36DD">
            <w:pPr>
              <w:jc w:val="center"/>
              <w:rPr>
                <w:sz w:val="18"/>
                <w:szCs w:val="18"/>
                <w:lang w:val="en-US"/>
              </w:rPr>
            </w:pPr>
            <w:r w:rsidRPr="00A831E7">
              <w:rPr>
                <w:sz w:val="18"/>
                <w:szCs w:val="18"/>
              </w:rPr>
              <w:t>0.</w:t>
            </w:r>
            <w:r w:rsidR="008326F6">
              <w:rPr>
                <w:sz w:val="18"/>
                <w:szCs w:val="18"/>
              </w:rPr>
              <w:t>679</w:t>
            </w:r>
            <w:r w:rsidR="008326F6">
              <w:rPr>
                <w:sz w:val="18"/>
                <w:szCs w:val="18"/>
              </w:rPr>
              <w:br/>
            </w:r>
            <w:r w:rsidR="008326F6" w:rsidRPr="008326F6">
              <w:rPr>
                <w:sz w:val="16"/>
                <w:szCs w:val="16"/>
                <w:lang w:val="en-US"/>
              </w:rPr>
              <w:t>(Val.)</w:t>
            </w:r>
          </w:p>
        </w:tc>
        <w:tc>
          <w:tcPr>
            <w:tcW w:w="630" w:type="dxa"/>
            <w:tcBorders>
              <w:top w:val="single" w:sz="8" w:space="0" w:color="auto"/>
              <w:bottom w:val="single" w:sz="8" w:space="0" w:color="auto"/>
            </w:tcBorders>
            <w:shd w:val="clear" w:color="auto" w:fill="auto"/>
          </w:tcPr>
          <w:p w14:paraId="3512AB26" w14:textId="0BCFA88B" w:rsidR="00322313" w:rsidRPr="00A831E7" w:rsidRDefault="00322313" w:rsidP="00BB36DD">
            <w:pPr>
              <w:jc w:val="center"/>
              <w:rPr>
                <w:sz w:val="18"/>
                <w:szCs w:val="18"/>
              </w:rPr>
            </w:pPr>
            <w:r w:rsidRPr="00A831E7">
              <w:rPr>
                <w:sz w:val="18"/>
                <w:szCs w:val="18"/>
              </w:rPr>
              <w:t>0.77</w:t>
            </w:r>
            <w:r w:rsidR="00AA3EF8" w:rsidRPr="00A831E7">
              <w:rPr>
                <w:sz w:val="18"/>
                <w:szCs w:val="18"/>
              </w:rPr>
              <w:t>4</w:t>
            </w:r>
          </w:p>
        </w:tc>
        <w:tc>
          <w:tcPr>
            <w:tcW w:w="630" w:type="dxa"/>
            <w:tcBorders>
              <w:top w:val="single" w:sz="8" w:space="0" w:color="auto"/>
              <w:bottom w:val="single" w:sz="8" w:space="0" w:color="auto"/>
            </w:tcBorders>
            <w:shd w:val="clear" w:color="auto" w:fill="auto"/>
          </w:tcPr>
          <w:p w14:paraId="283C9BBC" w14:textId="34B2F08D" w:rsidR="00322313" w:rsidRPr="00A831E7" w:rsidRDefault="00322313" w:rsidP="00BB36DD">
            <w:pPr>
              <w:jc w:val="center"/>
              <w:rPr>
                <w:sz w:val="18"/>
                <w:szCs w:val="18"/>
              </w:rPr>
            </w:pPr>
            <w:r w:rsidRPr="00A831E7">
              <w:rPr>
                <w:sz w:val="18"/>
                <w:szCs w:val="18"/>
              </w:rPr>
              <w:t>0.4</w:t>
            </w:r>
            <w:r w:rsidR="00AA3EF8" w:rsidRPr="00A831E7">
              <w:rPr>
                <w:sz w:val="18"/>
                <w:szCs w:val="18"/>
              </w:rPr>
              <w:t>67</w:t>
            </w:r>
          </w:p>
        </w:tc>
        <w:tc>
          <w:tcPr>
            <w:tcW w:w="900" w:type="dxa"/>
            <w:vMerge/>
            <w:tcBorders>
              <w:right w:val="single" w:sz="12" w:space="0" w:color="000000"/>
            </w:tcBorders>
            <w:shd w:val="clear" w:color="auto" w:fill="auto"/>
          </w:tcPr>
          <w:p w14:paraId="382F475A" w14:textId="77777777" w:rsidR="00322313" w:rsidRPr="00A831E7" w:rsidRDefault="00322313" w:rsidP="00BB36DD">
            <w:pPr>
              <w:jc w:val="center"/>
              <w:rPr>
                <w:sz w:val="20"/>
                <w:szCs w:val="20"/>
              </w:rPr>
            </w:pPr>
          </w:p>
        </w:tc>
      </w:tr>
      <w:tr w:rsidR="00322313" w:rsidRPr="00A831E7" w14:paraId="3ABD7610" w14:textId="77777777" w:rsidTr="003B0C15">
        <w:trPr>
          <w:cantSplit/>
        </w:trPr>
        <w:tc>
          <w:tcPr>
            <w:tcW w:w="1260" w:type="dxa"/>
            <w:tcBorders>
              <w:top w:val="single" w:sz="8" w:space="0" w:color="auto"/>
              <w:left w:val="single" w:sz="12" w:space="0" w:color="auto"/>
              <w:bottom w:val="single" w:sz="12" w:space="0" w:color="auto"/>
            </w:tcBorders>
            <w:shd w:val="clear" w:color="auto" w:fill="auto"/>
          </w:tcPr>
          <w:p w14:paraId="565A2079" w14:textId="77777777" w:rsidR="00322313" w:rsidRPr="00A831E7" w:rsidRDefault="00322313" w:rsidP="00BB36DD">
            <w:pPr>
              <w:jc w:val="center"/>
              <w:rPr>
                <w:sz w:val="20"/>
                <w:szCs w:val="20"/>
              </w:rPr>
            </w:pPr>
            <w:r w:rsidRPr="00A831E7">
              <w:rPr>
                <w:sz w:val="20"/>
                <w:szCs w:val="20"/>
              </w:rPr>
              <w:t>GFAP &amp;</w:t>
            </w:r>
            <w:r w:rsidRPr="00A831E7">
              <w:rPr>
                <w:sz w:val="20"/>
                <w:szCs w:val="20"/>
              </w:rPr>
              <w:br/>
              <w:t xml:space="preserve"> NT-BNP</w:t>
            </w:r>
          </w:p>
        </w:tc>
        <w:tc>
          <w:tcPr>
            <w:tcW w:w="2340" w:type="dxa"/>
            <w:vMerge/>
            <w:tcBorders>
              <w:top w:val="single" w:sz="8" w:space="0" w:color="auto"/>
              <w:bottom w:val="single" w:sz="12" w:space="0" w:color="auto"/>
            </w:tcBorders>
            <w:shd w:val="clear" w:color="auto" w:fill="auto"/>
          </w:tcPr>
          <w:p w14:paraId="5A9C97F9" w14:textId="77777777" w:rsidR="00322313" w:rsidRPr="00A831E7" w:rsidRDefault="00322313" w:rsidP="00BB36DD">
            <w:pPr>
              <w:jc w:val="center"/>
              <w:rPr>
                <w:sz w:val="20"/>
                <w:szCs w:val="20"/>
              </w:rPr>
            </w:pPr>
          </w:p>
        </w:tc>
        <w:tc>
          <w:tcPr>
            <w:tcW w:w="900" w:type="dxa"/>
            <w:vMerge/>
            <w:tcBorders>
              <w:top w:val="single" w:sz="8" w:space="0" w:color="auto"/>
              <w:bottom w:val="single" w:sz="12" w:space="0" w:color="auto"/>
            </w:tcBorders>
            <w:shd w:val="clear" w:color="auto" w:fill="auto"/>
          </w:tcPr>
          <w:p w14:paraId="447F1960" w14:textId="77777777" w:rsidR="00322313" w:rsidRPr="00A831E7" w:rsidRDefault="00322313" w:rsidP="00BB36DD">
            <w:pPr>
              <w:jc w:val="center"/>
              <w:rPr>
                <w:sz w:val="20"/>
                <w:szCs w:val="20"/>
              </w:rPr>
            </w:pPr>
          </w:p>
        </w:tc>
        <w:tc>
          <w:tcPr>
            <w:tcW w:w="990" w:type="dxa"/>
            <w:tcBorders>
              <w:top w:val="single" w:sz="8" w:space="0" w:color="auto"/>
              <w:bottom w:val="single" w:sz="12" w:space="0" w:color="auto"/>
            </w:tcBorders>
            <w:shd w:val="clear" w:color="auto" w:fill="auto"/>
          </w:tcPr>
          <w:p w14:paraId="5AFD639F" w14:textId="77777777" w:rsidR="00322313" w:rsidRPr="00A831E7" w:rsidRDefault="00322313" w:rsidP="00BB36DD">
            <w:pPr>
              <w:jc w:val="center"/>
              <w:rPr>
                <w:sz w:val="20"/>
                <w:szCs w:val="20"/>
              </w:rPr>
            </w:pPr>
            <w:r w:rsidRPr="00A831E7">
              <w:rPr>
                <w:sz w:val="20"/>
                <w:szCs w:val="20"/>
              </w:rPr>
              <w:t>»</w:t>
            </w:r>
          </w:p>
        </w:tc>
        <w:tc>
          <w:tcPr>
            <w:tcW w:w="630" w:type="dxa"/>
            <w:tcBorders>
              <w:top w:val="single" w:sz="8" w:space="0" w:color="auto"/>
              <w:bottom w:val="single" w:sz="12" w:space="0" w:color="auto"/>
            </w:tcBorders>
            <w:shd w:val="clear" w:color="auto" w:fill="auto"/>
          </w:tcPr>
          <w:p w14:paraId="45E3AC3E" w14:textId="5298514A" w:rsidR="00322313" w:rsidRPr="008326F6" w:rsidRDefault="00322313" w:rsidP="00BB36DD">
            <w:pPr>
              <w:jc w:val="center"/>
              <w:rPr>
                <w:sz w:val="18"/>
                <w:szCs w:val="18"/>
                <w:lang w:val="en-US"/>
              </w:rPr>
            </w:pPr>
            <w:r w:rsidRPr="00A831E7">
              <w:rPr>
                <w:sz w:val="18"/>
                <w:szCs w:val="18"/>
              </w:rPr>
              <w:t>0.78</w:t>
            </w:r>
            <w:r w:rsidR="00AA3EF8" w:rsidRPr="00A831E7">
              <w:rPr>
                <w:sz w:val="18"/>
                <w:szCs w:val="18"/>
              </w:rPr>
              <w:t>1</w:t>
            </w:r>
            <w:r w:rsidR="008326F6" w:rsidRPr="008326F6">
              <w:rPr>
                <w:sz w:val="16"/>
                <w:szCs w:val="16"/>
              </w:rPr>
              <w:t>(</w:t>
            </w:r>
            <w:r w:rsidR="008326F6" w:rsidRPr="008326F6">
              <w:rPr>
                <w:sz w:val="16"/>
                <w:szCs w:val="16"/>
                <w:lang w:val="en-US"/>
              </w:rPr>
              <w:t>Der.)</w:t>
            </w:r>
          </w:p>
        </w:tc>
        <w:tc>
          <w:tcPr>
            <w:tcW w:w="630" w:type="dxa"/>
            <w:tcBorders>
              <w:top w:val="single" w:sz="8" w:space="0" w:color="auto"/>
              <w:bottom w:val="single" w:sz="12" w:space="0" w:color="auto"/>
            </w:tcBorders>
            <w:shd w:val="clear" w:color="auto" w:fill="auto"/>
          </w:tcPr>
          <w:p w14:paraId="4A53AC6D" w14:textId="7B405AEC" w:rsidR="00322313" w:rsidRPr="00A831E7" w:rsidRDefault="00322313" w:rsidP="00BB36DD">
            <w:pPr>
              <w:jc w:val="center"/>
              <w:rPr>
                <w:sz w:val="18"/>
                <w:szCs w:val="18"/>
              </w:rPr>
            </w:pPr>
            <w:r w:rsidRPr="00A831E7">
              <w:rPr>
                <w:sz w:val="18"/>
                <w:szCs w:val="18"/>
              </w:rPr>
              <w:t>0.3</w:t>
            </w:r>
            <w:r w:rsidR="00AA3EF8" w:rsidRPr="00A831E7">
              <w:rPr>
                <w:sz w:val="18"/>
                <w:szCs w:val="18"/>
              </w:rPr>
              <w:t>87</w:t>
            </w:r>
          </w:p>
        </w:tc>
        <w:tc>
          <w:tcPr>
            <w:tcW w:w="630" w:type="dxa"/>
            <w:tcBorders>
              <w:top w:val="single" w:sz="8" w:space="0" w:color="auto"/>
              <w:bottom w:val="single" w:sz="12" w:space="0" w:color="auto"/>
            </w:tcBorders>
            <w:shd w:val="clear" w:color="auto" w:fill="auto"/>
          </w:tcPr>
          <w:p w14:paraId="070AACA4" w14:textId="6EED0272" w:rsidR="00322313" w:rsidRPr="00A831E7" w:rsidRDefault="00322313" w:rsidP="00BB36DD">
            <w:pPr>
              <w:jc w:val="center"/>
              <w:rPr>
                <w:sz w:val="18"/>
                <w:szCs w:val="18"/>
              </w:rPr>
            </w:pPr>
            <w:r w:rsidRPr="00A831E7">
              <w:rPr>
                <w:sz w:val="18"/>
                <w:szCs w:val="18"/>
              </w:rPr>
              <w:t>1.00</w:t>
            </w:r>
            <w:r w:rsidR="00AA3EF8" w:rsidRPr="00A831E7">
              <w:rPr>
                <w:sz w:val="18"/>
                <w:szCs w:val="18"/>
              </w:rPr>
              <w:t>0</w:t>
            </w:r>
          </w:p>
        </w:tc>
        <w:tc>
          <w:tcPr>
            <w:tcW w:w="900" w:type="dxa"/>
            <w:vMerge/>
            <w:tcBorders>
              <w:bottom w:val="single" w:sz="12" w:space="0" w:color="auto"/>
              <w:right w:val="single" w:sz="12" w:space="0" w:color="000000"/>
            </w:tcBorders>
            <w:shd w:val="clear" w:color="auto" w:fill="auto"/>
          </w:tcPr>
          <w:p w14:paraId="3F8DB74A" w14:textId="77777777" w:rsidR="00322313" w:rsidRPr="00A831E7" w:rsidRDefault="00322313" w:rsidP="00BB36DD">
            <w:pPr>
              <w:jc w:val="center"/>
              <w:rPr>
                <w:sz w:val="20"/>
                <w:szCs w:val="20"/>
              </w:rPr>
            </w:pPr>
          </w:p>
        </w:tc>
      </w:tr>
      <w:tr w:rsidR="00322313" w:rsidRPr="00A831E7" w14:paraId="181B0F91" w14:textId="77777777" w:rsidTr="003B0C15">
        <w:trPr>
          <w:cantSplit/>
        </w:trPr>
        <w:tc>
          <w:tcPr>
            <w:tcW w:w="1260" w:type="dxa"/>
            <w:tcBorders>
              <w:top w:val="single" w:sz="12" w:space="0" w:color="auto"/>
              <w:left w:val="single" w:sz="12" w:space="0" w:color="auto"/>
              <w:bottom w:val="single" w:sz="8" w:space="0" w:color="auto"/>
            </w:tcBorders>
            <w:shd w:val="clear" w:color="auto" w:fill="auto"/>
          </w:tcPr>
          <w:p w14:paraId="11671809" w14:textId="77777777" w:rsidR="00322313" w:rsidRPr="00A831E7" w:rsidRDefault="00322313" w:rsidP="00BB36DD">
            <w:pPr>
              <w:jc w:val="center"/>
              <w:rPr>
                <w:sz w:val="20"/>
                <w:szCs w:val="20"/>
              </w:rPr>
            </w:pPr>
            <w:r w:rsidRPr="00A831E7">
              <w:rPr>
                <w:sz w:val="20"/>
                <w:szCs w:val="20"/>
              </w:rPr>
              <w:t>GFAP</w:t>
            </w:r>
          </w:p>
        </w:tc>
        <w:tc>
          <w:tcPr>
            <w:tcW w:w="2340" w:type="dxa"/>
            <w:vMerge w:val="restart"/>
            <w:tcBorders>
              <w:top w:val="single" w:sz="12" w:space="0" w:color="auto"/>
            </w:tcBorders>
            <w:shd w:val="clear" w:color="auto" w:fill="auto"/>
          </w:tcPr>
          <w:p w14:paraId="3B11CB0A" w14:textId="42E5F707" w:rsidR="00322313" w:rsidRPr="008326F6" w:rsidRDefault="00322313" w:rsidP="00BB36DD">
            <w:pPr>
              <w:rPr>
                <w:sz w:val="18"/>
                <w:szCs w:val="18"/>
                <w:lang w:val="en-US"/>
              </w:rPr>
            </w:pPr>
            <w:r w:rsidRPr="00A831E7">
              <w:rPr>
                <w:sz w:val="18"/>
                <w:szCs w:val="18"/>
              </w:rPr>
              <w:t>GFAP:          »</w:t>
            </w:r>
            <w:r w:rsidRPr="00A831E7">
              <w:rPr>
                <w:sz w:val="18"/>
                <w:szCs w:val="18"/>
              </w:rPr>
              <w:br/>
              <w:t>UCH-L1:</w:t>
            </w:r>
            <w:r w:rsidR="00877EEC" w:rsidRPr="00A831E7">
              <w:rPr>
                <w:sz w:val="18"/>
                <w:szCs w:val="18"/>
              </w:rPr>
              <w:t xml:space="preserve"> </w:t>
            </w:r>
            <w:r w:rsidRPr="00A831E7">
              <w:rPr>
                <w:sz w:val="18"/>
                <w:szCs w:val="18"/>
              </w:rPr>
              <w:t>Αυξημένη συγκέντρωση σε IS χωρίς όμως ιδιαίτερη κλινική αξία</w:t>
            </w:r>
            <w:r w:rsidRPr="00A831E7">
              <w:rPr>
                <w:sz w:val="18"/>
                <w:szCs w:val="18"/>
              </w:rPr>
              <w:br/>
            </w:r>
            <w:r w:rsidR="00961AC9" w:rsidRPr="00A831E7">
              <w:rPr>
                <w:sz w:val="18"/>
                <w:szCs w:val="18"/>
              </w:rPr>
              <w:t>Μετρήσεις μέσω:</w:t>
            </w:r>
            <w:r w:rsidRPr="00A831E7">
              <w:rPr>
                <w:sz w:val="18"/>
                <w:szCs w:val="18"/>
              </w:rPr>
              <w:t xml:space="preserve"> ELISA</w:t>
            </w:r>
            <w:r w:rsidR="00387775">
              <w:rPr>
                <w:sz w:val="18"/>
                <w:szCs w:val="18"/>
                <w:lang w:val="en-US"/>
              </w:rPr>
              <w:br/>
            </w:r>
            <w:r w:rsidR="008326F6">
              <w:rPr>
                <w:sz w:val="18"/>
                <w:szCs w:val="18"/>
                <w:lang w:val="en-US"/>
              </w:rPr>
              <w:br/>
            </w:r>
            <w:r w:rsidR="008326F6" w:rsidRPr="00387775">
              <w:rPr>
                <w:i/>
                <w:iCs/>
                <w:sz w:val="16"/>
                <w:szCs w:val="16"/>
              </w:rPr>
              <w:t>Δείγμα</w:t>
            </w:r>
            <w:r w:rsidR="008326F6" w:rsidRPr="00387775">
              <w:rPr>
                <w:i/>
                <w:iCs/>
                <w:sz w:val="16"/>
                <w:szCs w:val="16"/>
                <w:lang w:val="en-US"/>
              </w:rPr>
              <w:t>:</w:t>
            </w:r>
            <w:r w:rsidR="008326F6" w:rsidRPr="00387775">
              <w:rPr>
                <w:i/>
                <w:iCs/>
                <w:sz w:val="16"/>
                <w:szCs w:val="16"/>
              </w:rPr>
              <w:t xml:space="preserve"> 251</w:t>
            </w:r>
            <w:r w:rsidR="008326F6" w:rsidRPr="00387775">
              <w:rPr>
                <w:i/>
                <w:iCs/>
                <w:sz w:val="16"/>
                <w:szCs w:val="16"/>
                <w:lang w:val="en-US"/>
              </w:rPr>
              <w:t xml:space="preserve"> </w:t>
            </w:r>
            <w:r w:rsidR="008326F6" w:rsidRPr="00387775">
              <w:rPr>
                <w:i/>
                <w:iCs/>
                <w:sz w:val="16"/>
                <w:szCs w:val="16"/>
              </w:rPr>
              <w:t>ασθενείς</w:t>
            </w:r>
          </w:p>
        </w:tc>
        <w:tc>
          <w:tcPr>
            <w:tcW w:w="900" w:type="dxa"/>
            <w:vMerge w:val="restart"/>
            <w:tcBorders>
              <w:top w:val="single" w:sz="12" w:space="0" w:color="auto"/>
            </w:tcBorders>
            <w:shd w:val="clear" w:color="auto" w:fill="auto"/>
          </w:tcPr>
          <w:p w14:paraId="34A71A32" w14:textId="6BB9C88D" w:rsidR="00322313" w:rsidRPr="00A831E7" w:rsidRDefault="00322313" w:rsidP="00BB36DD">
            <w:pPr>
              <w:jc w:val="center"/>
              <w:rPr>
                <w:sz w:val="20"/>
                <w:szCs w:val="20"/>
              </w:rPr>
            </w:pPr>
            <w:r w:rsidRPr="00A831E7">
              <w:rPr>
                <w:sz w:val="20"/>
                <w:szCs w:val="20"/>
              </w:rPr>
              <w:t>&lt;4</w:t>
            </w:r>
            <w:r w:rsidR="00204644">
              <w:rPr>
                <w:sz w:val="20"/>
                <w:szCs w:val="20"/>
                <w:lang w:val="en-US"/>
              </w:rPr>
              <w:t>h,&lt;</w:t>
            </w:r>
            <w:r w:rsidRPr="00A831E7">
              <w:rPr>
                <w:sz w:val="20"/>
                <w:szCs w:val="20"/>
              </w:rPr>
              <w:t>6h</w:t>
            </w:r>
          </w:p>
          <w:p w14:paraId="09A4C8A8" w14:textId="77777777" w:rsidR="00322313" w:rsidRPr="00A831E7" w:rsidRDefault="00322313" w:rsidP="00BB36DD">
            <w:pPr>
              <w:jc w:val="center"/>
              <w:rPr>
                <w:sz w:val="20"/>
                <w:szCs w:val="20"/>
              </w:rPr>
            </w:pPr>
            <w:r w:rsidRPr="00A831E7">
              <w:rPr>
                <w:sz w:val="20"/>
                <w:szCs w:val="20"/>
              </w:rPr>
              <w:t>Ορός</w:t>
            </w:r>
          </w:p>
        </w:tc>
        <w:tc>
          <w:tcPr>
            <w:tcW w:w="990" w:type="dxa"/>
            <w:tcBorders>
              <w:top w:val="single" w:sz="12" w:space="0" w:color="auto"/>
              <w:bottom w:val="single" w:sz="8" w:space="0" w:color="auto"/>
            </w:tcBorders>
            <w:shd w:val="clear" w:color="auto" w:fill="auto"/>
          </w:tcPr>
          <w:p w14:paraId="11B29C5E" w14:textId="77777777" w:rsidR="00322313" w:rsidRPr="00A831E7" w:rsidRDefault="00322313" w:rsidP="00BB36DD">
            <w:pPr>
              <w:jc w:val="center"/>
              <w:rPr>
                <w:sz w:val="20"/>
                <w:szCs w:val="20"/>
              </w:rPr>
            </w:pPr>
            <w:r w:rsidRPr="00A831E7">
              <w:rPr>
                <w:sz w:val="20"/>
                <w:szCs w:val="20"/>
              </w:rPr>
              <w:t>ICH-IS&amp;SMs</w:t>
            </w:r>
          </w:p>
        </w:tc>
        <w:tc>
          <w:tcPr>
            <w:tcW w:w="630" w:type="dxa"/>
            <w:tcBorders>
              <w:top w:val="single" w:sz="12" w:space="0" w:color="auto"/>
              <w:bottom w:val="single" w:sz="8" w:space="0" w:color="auto"/>
            </w:tcBorders>
            <w:shd w:val="clear" w:color="auto" w:fill="auto"/>
          </w:tcPr>
          <w:p w14:paraId="0C2572A1" w14:textId="15699560" w:rsidR="00322313" w:rsidRPr="00A831E7" w:rsidRDefault="00322313" w:rsidP="00BB36DD">
            <w:pPr>
              <w:jc w:val="center"/>
              <w:rPr>
                <w:sz w:val="18"/>
                <w:szCs w:val="18"/>
              </w:rPr>
            </w:pPr>
            <w:r w:rsidRPr="00A831E7">
              <w:rPr>
                <w:sz w:val="18"/>
                <w:szCs w:val="18"/>
              </w:rPr>
              <w:t>0.86</w:t>
            </w:r>
            <w:r w:rsidR="0064729F" w:rsidRPr="00A831E7">
              <w:rPr>
                <w:sz w:val="18"/>
                <w:szCs w:val="18"/>
              </w:rPr>
              <w:t>6</w:t>
            </w:r>
          </w:p>
        </w:tc>
        <w:tc>
          <w:tcPr>
            <w:tcW w:w="630" w:type="dxa"/>
            <w:tcBorders>
              <w:top w:val="single" w:sz="12" w:space="0" w:color="auto"/>
              <w:bottom w:val="single" w:sz="8" w:space="0" w:color="auto"/>
            </w:tcBorders>
            <w:shd w:val="clear" w:color="auto" w:fill="auto"/>
          </w:tcPr>
          <w:p w14:paraId="13AB51F9" w14:textId="680DBE80" w:rsidR="00322313" w:rsidRPr="00A831E7" w:rsidRDefault="00322313" w:rsidP="00BB36DD">
            <w:pPr>
              <w:jc w:val="center"/>
              <w:rPr>
                <w:sz w:val="18"/>
                <w:szCs w:val="18"/>
              </w:rPr>
            </w:pPr>
            <w:r w:rsidRPr="00A831E7">
              <w:rPr>
                <w:sz w:val="18"/>
                <w:szCs w:val="18"/>
              </w:rPr>
              <w:t>0.75</w:t>
            </w:r>
            <w:r w:rsidR="0064729F" w:rsidRPr="00A831E7">
              <w:rPr>
                <w:sz w:val="18"/>
                <w:szCs w:val="18"/>
              </w:rPr>
              <w:t>0</w:t>
            </w:r>
          </w:p>
        </w:tc>
        <w:tc>
          <w:tcPr>
            <w:tcW w:w="630" w:type="dxa"/>
            <w:tcBorders>
              <w:top w:val="single" w:sz="12" w:space="0" w:color="auto"/>
              <w:bottom w:val="single" w:sz="8" w:space="0" w:color="auto"/>
            </w:tcBorders>
            <w:shd w:val="clear" w:color="auto" w:fill="auto"/>
          </w:tcPr>
          <w:p w14:paraId="2E747BE0" w14:textId="5EA1602B" w:rsidR="00322313" w:rsidRPr="00A831E7" w:rsidRDefault="00322313" w:rsidP="00BB36DD">
            <w:pPr>
              <w:jc w:val="center"/>
              <w:rPr>
                <w:sz w:val="18"/>
                <w:szCs w:val="18"/>
              </w:rPr>
            </w:pPr>
            <w:r w:rsidRPr="00A831E7">
              <w:rPr>
                <w:sz w:val="18"/>
                <w:szCs w:val="18"/>
              </w:rPr>
              <w:t>0.84</w:t>
            </w:r>
            <w:r w:rsidR="0064729F" w:rsidRPr="00A831E7">
              <w:rPr>
                <w:sz w:val="18"/>
                <w:szCs w:val="18"/>
              </w:rPr>
              <w:t>0</w:t>
            </w:r>
          </w:p>
        </w:tc>
        <w:tc>
          <w:tcPr>
            <w:tcW w:w="900" w:type="dxa"/>
            <w:vMerge w:val="restart"/>
            <w:tcBorders>
              <w:top w:val="single" w:sz="12" w:space="0" w:color="auto"/>
              <w:right w:val="single" w:sz="12" w:space="0" w:color="000000"/>
            </w:tcBorders>
            <w:shd w:val="clear" w:color="auto" w:fill="auto"/>
          </w:tcPr>
          <w:p w14:paraId="45C0FF9D" w14:textId="0E9EBF97" w:rsidR="00322313" w:rsidRPr="00A831E7" w:rsidRDefault="00F35DEF" w:rsidP="00BB36DD">
            <w:pPr>
              <w:jc w:val="center"/>
              <w:rPr>
                <w:sz w:val="20"/>
                <w:szCs w:val="20"/>
              </w:rPr>
            </w:pPr>
            <w:r w:rsidRPr="00A831E7">
              <w:rPr>
                <w:sz w:val="20"/>
                <w:szCs w:val="20"/>
              </w:rPr>
              <w:fldChar w:fldCharType="begin"/>
            </w:r>
            <w:r w:rsidR="00B22777" w:rsidRPr="00A831E7">
              <w:rPr>
                <w:sz w:val="20"/>
                <w:szCs w:val="20"/>
              </w:rPr>
              <w:instrText xml:space="preserve"> ADDIN ZOTERO_ITEM CSL_CITATION {"citationID":"yAHzjoMA","properties":{"formattedCitation":"[68]","plainCitation":"[68]","noteIndex":0},"citationItems":[{"id":514,"uris":["http://zotero.org/users/local/mfHf28QG/items/FTRRT6DL"],"itemData":{"id":514,"type":"article-journal","abstract":"BACKGROUND: Biomarkers indicative of intracerebral hemorrhage (ICH) may help triage acute stroke patients in the pre-hospital phase. We hypothesized that serum concentration of glial fibrillary acidic protein (GFAP) in combination with ubiquitin carboxy-terminal hydrolase-L1 (UCH-L1), measured by a rapid bio-assay, could be used to distinguish ICH from ischemic stroke.\nMETHODS: This prospective two-center study recruited patients with a clinical diagnosis of acute stroke both in the pre-hospital phase and at hospital admission (within 4 and 6 h after symptom onset, respectively). Blood samples were analyzed for concentrations of GFAP and UCH-L1 using ELISA techniques. The reference standard was the diagnosis of ICH, ischemic stroke, or stroke mimicking condition achieved after clinical workup including brain imaging.\nRESULTS: A total of 251 patients were included (mean age [± SD] 72 ± 15 years; 5 ICH, 23 ischemic strokes and 14 stroke mimics in the pre-hospital part; and 59 ICH, 148 ischemic strokes and 2 stroke mimics in the in-hospital part). Mean delay (± SD) from symptom onset to blood withdrawal was 130 ± 79 min for the pre-hospital patients and 136 ± 86 min for the in-hospital patients. Both GFAP and UCH-L1 serum concentrations were higher in patients having ICH as compared to other diagnoses (GFAP: median 330 ng/L [interquartile range 64-7060, range 8-56,100] vs. 27.5 ng/L [14-57.25, 0-781], p &lt; 0.001; UCH-L1: 401 ng/L [265-764, 133-1812] vs. 338 ng/L [213-549.5, 0-2950], p = 0.025). Area-under-the-curve values were 0.866 (95% CI 0.809-0.924, p &lt; 0.001) for GFAP, and 0.590 (0.511-0.670, p = 0.033) for UCH-L1. Regarding overall diagnostic accuracy, UCH-L1 did not add significantly to the performance of GFAP.\nCONCLUSIONS: GFAP may differentiate ICH from ischemic stroke and stroke mimics. A point-of-care test to distinguish between ischemic and hemorrhagic strokes might facilitate triage to different treatment pathways or locations, or be used to select patients for trials of ultra-early interventions.","container-title":"Neurocritical Care","DOI":"10.1007/s12028-020-00931-5","ISSN":"1556-0961","issue":"1","journalAbbreviation":"Neurocrit Care","language":"eng","note":"PMID: 32096121","page":"39-48","source":"PubMed","title":"Diagnostic Accuracy of Glial Fibrillary Acidic Protein and Ubiquitin Carboxy-Terminal Hydrolase-L1 Serum Concentrations for Differentiating Acute Intracerebral Hemorrhage from Ischemic Stroke","volume":"33","author":[{"family":"Luger","given":"Sebastian"},{"family":"Jæger","given":"Henriette S."},{"family":"Dixon","given":"Joanna"},{"family":"Bohmann","given":"Ferdinand O."},{"family":"Schaefer","given":"JanHendrik"},{"family":"Richieri","given":"Steven P."},{"family":"Larsen","given":"Karianne"},{"family":"Hov","given":"Maren R."},{"family":"Bache","given":"Kristi G."},{"family":"Foerch","given":"Christian"},{"literal":"BE FAST III Study Group"}],"issued":{"date-parts":[["2020",8]]}},"suppress-author":true}],"schema":"https://github.com/citation-style-language/schema/raw/master/csl-citation.json"} </w:instrText>
            </w:r>
            <w:r w:rsidRPr="00A831E7">
              <w:rPr>
                <w:sz w:val="20"/>
                <w:szCs w:val="20"/>
              </w:rPr>
              <w:fldChar w:fldCharType="separate"/>
            </w:r>
            <w:r w:rsidR="00B22777" w:rsidRPr="00A831E7">
              <w:rPr>
                <w:sz w:val="20"/>
              </w:rPr>
              <w:t>[68]</w:t>
            </w:r>
            <w:r w:rsidRPr="00A831E7">
              <w:rPr>
                <w:sz w:val="20"/>
                <w:szCs w:val="20"/>
              </w:rPr>
              <w:fldChar w:fldCharType="end"/>
            </w:r>
          </w:p>
        </w:tc>
      </w:tr>
      <w:tr w:rsidR="00322313" w:rsidRPr="00A831E7" w14:paraId="4A2CD337" w14:textId="77777777" w:rsidTr="003B0C15">
        <w:trPr>
          <w:cantSplit/>
          <w:trHeight w:val="295"/>
        </w:trPr>
        <w:tc>
          <w:tcPr>
            <w:tcW w:w="1260" w:type="dxa"/>
            <w:tcBorders>
              <w:top w:val="single" w:sz="8" w:space="0" w:color="auto"/>
              <w:left w:val="single" w:sz="12" w:space="0" w:color="auto"/>
              <w:bottom w:val="single" w:sz="8" w:space="0" w:color="auto"/>
            </w:tcBorders>
            <w:shd w:val="clear" w:color="auto" w:fill="auto"/>
          </w:tcPr>
          <w:p w14:paraId="6130E5DF" w14:textId="77777777" w:rsidR="00322313" w:rsidRPr="00A831E7" w:rsidRDefault="00322313" w:rsidP="00BB36DD">
            <w:pPr>
              <w:jc w:val="center"/>
              <w:rPr>
                <w:sz w:val="20"/>
                <w:szCs w:val="20"/>
              </w:rPr>
            </w:pPr>
            <w:r w:rsidRPr="00A831E7">
              <w:rPr>
                <w:sz w:val="20"/>
                <w:szCs w:val="20"/>
              </w:rPr>
              <w:t>UCH-L1</w:t>
            </w:r>
          </w:p>
        </w:tc>
        <w:tc>
          <w:tcPr>
            <w:tcW w:w="2340" w:type="dxa"/>
            <w:vMerge/>
            <w:shd w:val="clear" w:color="auto" w:fill="auto"/>
          </w:tcPr>
          <w:p w14:paraId="2BEF7EB2" w14:textId="77777777" w:rsidR="00322313" w:rsidRPr="00A831E7" w:rsidRDefault="00322313" w:rsidP="00BB36DD">
            <w:pPr>
              <w:rPr>
                <w:sz w:val="20"/>
                <w:szCs w:val="20"/>
              </w:rPr>
            </w:pPr>
          </w:p>
        </w:tc>
        <w:tc>
          <w:tcPr>
            <w:tcW w:w="900" w:type="dxa"/>
            <w:vMerge/>
            <w:shd w:val="clear" w:color="auto" w:fill="auto"/>
          </w:tcPr>
          <w:p w14:paraId="1DDC2E9C" w14:textId="77777777" w:rsidR="00322313" w:rsidRPr="00A831E7" w:rsidRDefault="00322313" w:rsidP="00BB36DD">
            <w:pPr>
              <w:jc w:val="center"/>
              <w:rPr>
                <w:sz w:val="20"/>
                <w:szCs w:val="20"/>
              </w:rPr>
            </w:pPr>
          </w:p>
        </w:tc>
        <w:tc>
          <w:tcPr>
            <w:tcW w:w="990" w:type="dxa"/>
            <w:tcBorders>
              <w:top w:val="single" w:sz="8" w:space="0" w:color="auto"/>
              <w:bottom w:val="single" w:sz="8" w:space="0" w:color="auto"/>
            </w:tcBorders>
            <w:shd w:val="clear" w:color="auto" w:fill="auto"/>
          </w:tcPr>
          <w:p w14:paraId="22F4D623" w14:textId="77777777" w:rsidR="00322313" w:rsidRPr="00A831E7" w:rsidRDefault="00322313" w:rsidP="00BB36DD">
            <w:pPr>
              <w:jc w:val="center"/>
              <w:rPr>
                <w:sz w:val="20"/>
                <w:szCs w:val="20"/>
              </w:rPr>
            </w:pPr>
            <w:r w:rsidRPr="00A831E7">
              <w:rPr>
                <w:sz w:val="20"/>
                <w:szCs w:val="20"/>
              </w:rPr>
              <w:t>»</w:t>
            </w:r>
          </w:p>
        </w:tc>
        <w:tc>
          <w:tcPr>
            <w:tcW w:w="630" w:type="dxa"/>
            <w:tcBorders>
              <w:top w:val="single" w:sz="8" w:space="0" w:color="auto"/>
              <w:bottom w:val="single" w:sz="8" w:space="0" w:color="auto"/>
            </w:tcBorders>
            <w:shd w:val="clear" w:color="auto" w:fill="auto"/>
          </w:tcPr>
          <w:p w14:paraId="25C7D0C9" w14:textId="0E943DA6" w:rsidR="00322313" w:rsidRPr="00A831E7" w:rsidRDefault="00322313" w:rsidP="00BB36DD">
            <w:pPr>
              <w:jc w:val="center"/>
              <w:rPr>
                <w:sz w:val="18"/>
                <w:szCs w:val="18"/>
              </w:rPr>
            </w:pPr>
            <w:r w:rsidRPr="00A831E7">
              <w:rPr>
                <w:sz w:val="18"/>
                <w:szCs w:val="18"/>
              </w:rPr>
              <w:t>0.59</w:t>
            </w:r>
            <w:r w:rsidR="0064729F" w:rsidRPr="00A831E7">
              <w:rPr>
                <w:sz w:val="18"/>
                <w:szCs w:val="18"/>
              </w:rPr>
              <w:t>0</w:t>
            </w:r>
          </w:p>
        </w:tc>
        <w:tc>
          <w:tcPr>
            <w:tcW w:w="630" w:type="dxa"/>
            <w:tcBorders>
              <w:top w:val="single" w:sz="8" w:space="0" w:color="auto"/>
              <w:bottom w:val="single" w:sz="8" w:space="0" w:color="auto"/>
            </w:tcBorders>
            <w:shd w:val="clear" w:color="auto" w:fill="auto"/>
          </w:tcPr>
          <w:p w14:paraId="7DA18136" w14:textId="6FF33F77" w:rsidR="00322313" w:rsidRPr="00A831E7" w:rsidRDefault="00322313" w:rsidP="00BB36DD">
            <w:pPr>
              <w:jc w:val="center"/>
              <w:rPr>
                <w:sz w:val="18"/>
                <w:szCs w:val="18"/>
              </w:rPr>
            </w:pPr>
            <w:r w:rsidRPr="00A831E7">
              <w:rPr>
                <w:sz w:val="18"/>
                <w:szCs w:val="18"/>
              </w:rPr>
              <w:t>0.73</w:t>
            </w:r>
            <w:r w:rsidR="0064729F" w:rsidRPr="00A831E7">
              <w:rPr>
                <w:sz w:val="18"/>
                <w:szCs w:val="18"/>
              </w:rPr>
              <w:t>0</w:t>
            </w:r>
          </w:p>
        </w:tc>
        <w:tc>
          <w:tcPr>
            <w:tcW w:w="630" w:type="dxa"/>
            <w:tcBorders>
              <w:top w:val="single" w:sz="8" w:space="0" w:color="auto"/>
              <w:bottom w:val="single" w:sz="8" w:space="0" w:color="auto"/>
            </w:tcBorders>
            <w:shd w:val="clear" w:color="auto" w:fill="auto"/>
          </w:tcPr>
          <w:p w14:paraId="37E6FEC9" w14:textId="61D69D02" w:rsidR="00322313" w:rsidRPr="00A831E7" w:rsidRDefault="00322313" w:rsidP="00BB36DD">
            <w:pPr>
              <w:jc w:val="center"/>
              <w:rPr>
                <w:sz w:val="18"/>
                <w:szCs w:val="18"/>
              </w:rPr>
            </w:pPr>
            <w:r w:rsidRPr="00A831E7">
              <w:rPr>
                <w:sz w:val="18"/>
                <w:szCs w:val="18"/>
              </w:rPr>
              <w:t>0.45</w:t>
            </w:r>
            <w:r w:rsidR="0064729F" w:rsidRPr="00A831E7">
              <w:rPr>
                <w:sz w:val="18"/>
                <w:szCs w:val="18"/>
              </w:rPr>
              <w:t>0</w:t>
            </w:r>
          </w:p>
        </w:tc>
        <w:tc>
          <w:tcPr>
            <w:tcW w:w="900" w:type="dxa"/>
            <w:vMerge/>
            <w:tcBorders>
              <w:right w:val="single" w:sz="12" w:space="0" w:color="000000"/>
            </w:tcBorders>
            <w:shd w:val="clear" w:color="auto" w:fill="auto"/>
          </w:tcPr>
          <w:p w14:paraId="33C93CC3" w14:textId="77777777" w:rsidR="00322313" w:rsidRPr="00A831E7" w:rsidRDefault="00322313" w:rsidP="00BB36DD">
            <w:pPr>
              <w:jc w:val="center"/>
              <w:rPr>
                <w:sz w:val="20"/>
                <w:szCs w:val="20"/>
              </w:rPr>
            </w:pPr>
          </w:p>
        </w:tc>
      </w:tr>
      <w:tr w:rsidR="00322313" w:rsidRPr="00A831E7" w14:paraId="6DDB2AE5" w14:textId="77777777" w:rsidTr="003B0C15">
        <w:trPr>
          <w:cantSplit/>
        </w:trPr>
        <w:tc>
          <w:tcPr>
            <w:tcW w:w="1260" w:type="dxa"/>
            <w:tcBorders>
              <w:top w:val="single" w:sz="8" w:space="0" w:color="auto"/>
              <w:left w:val="single" w:sz="12" w:space="0" w:color="auto"/>
              <w:bottom w:val="single" w:sz="12" w:space="0" w:color="auto"/>
            </w:tcBorders>
            <w:shd w:val="clear" w:color="auto" w:fill="auto"/>
          </w:tcPr>
          <w:p w14:paraId="34AFBEAC" w14:textId="77777777" w:rsidR="00322313" w:rsidRPr="00A831E7" w:rsidRDefault="00322313" w:rsidP="00BB36DD">
            <w:pPr>
              <w:jc w:val="center"/>
              <w:rPr>
                <w:sz w:val="20"/>
                <w:szCs w:val="20"/>
              </w:rPr>
            </w:pPr>
            <w:r w:rsidRPr="00A831E7">
              <w:rPr>
                <w:sz w:val="20"/>
                <w:szCs w:val="20"/>
              </w:rPr>
              <w:t xml:space="preserve">GFAP &amp; </w:t>
            </w:r>
            <w:r w:rsidRPr="00A831E7">
              <w:rPr>
                <w:sz w:val="20"/>
                <w:szCs w:val="20"/>
              </w:rPr>
              <w:br/>
              <w:t>UCH-L1</w:t>
            </w:r>
          </w:p>
        </w:tc>
        <w:tc>
          <w:tcPr>
            <w:tcW w:w="2340" w:type="dxa"/>
            <w:vMerge/>
            <w:tcBorders>
              <w:bottom w:val="single" w:sz="12" w:space="0" w:color="auto"/>
            </w:tcBorders>
            <w:shd w:val="clear" w:color="auto" w:fill="auto"/>
          </w:tcPr>
          <w:p w14:paraId="55329038" w14:textId="77777777" w:rsidR="00322313" w:rsidRPr="00A831E7" w:rsidRDefault="00322313" w:rsidP="00BB36DD">
            <w:pPr>
              <w:rPr>
                <w:sz w:val="20"/>
                <w:szCs w:val="20"/>
              </w:rPr>
            </w:pPr>
          </w:p>
        </w:tc>
        <w:tc>
          <w:tcPr>
            <w:tcW w:w="900" w:type="dxa"/>
            <w:vMerge/>
            <w:tcBorders>
              <w:bottom w:val="single" w:sz="12" w:space="0" w:color="auto"/>
            </w:tcBorders>
            <w:shd w:val="clear" w:color="auto" w:fill="auto"/>
          </w:tcPr>
          <w:p w14:paraId="0FD395FB" w14:textId="77777777" w:rsidR="00322313" w:rsidRPr="00A831E7" w:rsidRDefault="00322313" w:rsidP="00BB36DD">
            <w:pPr>
              <w:jc w:val="center"/>
              <w:rPr>
                <w:sz w:val="20"/>
                <w:szCs w:val="20"/>
              </w:rPr>
            </w:pPr>
          </w:p>
        </w:tc>
        <w:tc>
          <w:tcPr>
            <w:tcW w:w="990" w:type="dxa"/>
            <w:tcBorders>
              <w:top w:val="single" w:sz="8" w:space="0" w:color="auto"/>
              <w:bottom w:val="single" w:sz="12" w:space="0" w:color="auto"/>
            </w:tcBorders>
            <w:shd w:val="clear" w:color="auto" w:fill="auto"/>
          </w:tcPr>
          <w:p w14:paraId="432D654C" w14:textId="77777777" w:rsidR="00322313" w:rsidRPr="00A831E7" w:rsidRDefault="00322313" w:rsidP="00BB36DD">
            <w:pPr>
              <w:jc w:val="center"/>
              <w:rPr>
                <w:sz w:val="20"/>
                <w:szCs w:val="20"/>
              </w:rPr>
            </w:pPr>
            <w:r w:rsidRPr="00A831E7">
              <w:rPr>
                <w:sz w:val="20"/>
                <w:szCs w:val="20"/>
              </w:rPr>
              <w:t>»</w:t>
            </w:r>
          </w:p>
        </w:tc>
        <w:tc>
          <w:tcPr>
            <w:tcW w:w="630" w:type="dxa"/>
            <w:tcBorders>
              <w:top w:val="single" w:sz="8" w:space="0" w:color="auto"/>
              <w:bottom w:val="single" w:sz="12" w:space="0" w:color="auto"/>
            </w:tcBorders>
            <w:shd w:val="clear" w:color="auto" w:fill="auto"/>
          </w:tcPr>
          <w:p w14:paraId="3F93E768" w14:textId="6E1E4D72" w:rsidR="00322313" w:rsidRPr="00A831E7" w:rsidRDefault="00322313" w:rsidP="00BB36DD">
            <w:pPr>
              <w:jc w:val="center"/>
              <w:rPr>
                <w:sz w:val="18"/>
                <w:szCs w:val="18"/>
              </w:rPr>
            </w:pPr>
            <w:r w:rsidRPr="00A831E7">
              <w:rPr>
                <w:sz w:val="18"/>
                <w:szCs w:val="18"/>
              </w:rPr>
              <w:t>0.87</w:t>
            </w:r>
            <w:r w:rsidR="0064729F" w:rsidRPr="00A831E7">
              <w:rPr>
                <w:sz w:val="18"/>
                <w:szCs w:val="18"/>
              </w:rPr>
              <w:t>3</w:t>
            </w:r>
          </w:p>
        </w:tc>
        <w:tc>
          <w:tcPr>
            <w:tcW w:w="630" w:type="dxa"/>
            <w:tcBorders>
              <w:top w:val="single" w:sz="8" w:space="0" w:color="auto"/>
              <w:bottom w:val="single" w:sz="12" w:space="0" w:color="auto"/>
            </w:tcBorders>
            <w:shd w:val="clear" w:color="auto" w:fill="auto"/>
          </w:tcPr>
          <w:p w14:paraId="28214F9C" w14:textId="01523B69" w:rsidR="00322313" w:rsidRPr="00A831E7" w:rsidRDefault="00322313" w:rsidP="00BB36DD">
            <w:pPr>
              <w:jc w:val="center"/>
              <w:rPr>
                <w:sz w:val="18"/>
                <w:szCs w:val="18"/>
              </w:rPr>
            </w:pPr>
            <w:r w:rsidRPr="00A831E7">
              <w:rPr>
                <w:sz w:val="18"/>
                <w:szCs w:val="18"/>
              </w:rPr>
              <w:t>0.86</w:t>
            </w:r>
            <w:r w:rsidR="0064729F" w:rsidRPr="00A831E7">
              <w:rPr>
                <w:sz w:val="18"/>
                <w:szCs w:val="18"/>
              </w:rPr>
              <w:t>0</w:t>
            </w:r>
          </w:p>
        </w:tc>
        <w:tc>
          <w:tcPr>
            <w:tcW w:w="630" w:type="dxa"/>
            <w:tcBorders>
              <w:top w:val="single" w:sz="8" w:space="0" w:color="auto"/>
              <w:bottom w:val="single" w:sz="12" w:space="0" w:color="auto"/>
            </w:tcBorders>
            <w:shd w:val="clear" w:color="auto" w:fill="auto"/>
          </w:tcPr>
          <w:p w14:paraId="20F7CA72" w14:textId="4ABDCAEA" w:rsidR="00322313" w:rsidRPr="00A831E7" w:rsidRDefault="00322313" w:rsidP="00BB36DD">
            <w:pPr>
              <w:jc w:val="center"/>
              <w:rPr>
                <w:sz w:val="18"/>
                <w:szCs w:val="18"/>
              </w:rPr>
            </w:pPr>
            <w:r w:rsidRPr="00A831E7">
              <w:rPr>
                <w:sz w:val="18"/>
                <w:szCs w:val="18"/>
              </w:rPr>
              <w:t>0.73</w:t>
            </w:r>
            <w:r w:rsidR="0064729F" w:rsidRPr="00A831E7">
              <w:rPr>
                <w:sz w:val="18"/>
                <w:szCs w:val="18"/>
              </w:rPr>
              <w:t>0</w:t>
            </w:r>
          </w:p>
        </w:tc>
        <w:tc>
          <w:tcPr>
            <w:tcW w:w="900" w:type="dxa"/>
            <w:vMerge/>
            <w:tcBorders>
              <w:bottom w:val="single" w:sz="12" w:space="0" w:color="auto"/>
              <w:right w:val="single" w:sz="12" w:space="0" w:color="000000"/>
            </w:tcBorders>
            <w:shd w:val="clear" w:color="auto" w:fill="auto"/>
          </w:tcPr>
          <w:p w14:paraId="5D1E48C9" w14:textId="77777777" w:rsidR="00322313" w:rsidRPr="00A831E7" w:rsidRDefault="00322313" w:rsidP="00BB36DD">
            <w:pPr>
              <w:jc w:val="center"/>
              <w:rPr>
                <w:sz w:val="20"/>
                <w:szCs w:val="20"/>
              </w:rPr>
            </w:pPr>
          </w:p>
        </w:tc>
      </w:tr>
      <w:tr w:rsidR="00322313" w:rsidRPr="00A831E7" w14:paraId="3D2107E1" w14:textId="77777777" w:rsidTr="003B0C15">
        <w:trPr>
          <w:cantSplit/>
          <w:trHeight w:val="294"/>
        </w:trPr>
        <w:tc>
          <w:tcPr>
            <w:tcW w:w="1260" w:type="dxa"/>
            <w:tcBorders>
              <w:top w:val="single" w:sz="12" w:space="0" w:color="auto"/>
              <w:left w:val="single" w:sz="12" w:space="0" w:color="auto"/>
              <w:bottom w:val="single" w:sz="8" w:space="0" w:color="auto"/>
            </w:tcBorders>
            <w:shd w:val="clear" w:color="auto" w:fill="auto"/>
          </w:tcPr>
          <w:p w14:paraId="0C099844" w14:textId="77777777" w:rsidR="00322313" w:rsidRPr="00A831E7" w:rsidRDefault="00322313" w:rsidP="00BB36DD">
            <w:pPr>
              <w:jc w:val="center"/>
              <w:rPr>
                <w:sz w:val="20"/>
                <w:szCs w:val="20"/>
              </w:rPr>
            </w:pPr>
            <w:r w:rsidRPr="00A831E7">
              <w:rPr>
                <w:sz w:val="20"/>
                <w:szCs w:val="20"/>
              </w:rPr>
              <w:t>NfL</w:t>
            </w:r>
          </w:p>
        </w:tc>
        <w:tc>
          <w:tcPr>
            <w:tcW w:w="2340" w:type="dxa"/>
            <w:vMerge w:val="restart"/>
            <w:tcBorders>
              <w:top w:val="single" w:sz="12" w:space="0" w:color="auto"/>
            </w:tcBorders>
            <w:shd w:val="clear" w:color="auto" w:fill="auto"/>
          </w:tcPr>
          <w:p w14:paraId="16FC555A" w14:textId="686D6F1E" w:rsidR="00387775" w:rsidRDefault="00322313" w:rsidP="00BB36DD">
            <w:pPr>
              <w:rPr>
                <w:sz w:val="18"/>
                <w:szCs w:val="18"/>
                <w:lang w:val="en-US"/>
              </w:rPr>
            </w:pPr>
            <w:r w:rsidRPr="00A831E7">
              <w:rPr>
                <w:sz w:val="18"/>
                <w:szCs w:val="18"/>
              </w:rPr>
              <w:t xml:space="preserve">Επίπεδα πλάσματος των NfL &amp; Tau, </w:t>
            </w:r>
            <w:r w:rsidR="005403E6" w:rsidRPr="00D17951">
              <w:rPr>
                <w:sz w:val="18"/>
                <w:szCs w:val="18"/>
              </w:rPr>
              <w:t>πρωτεϊν</w:t>
            </w:r>
            <w:r w:rsidR="005403E6">
              <w:rPr>
                <w:sz w:val="18"/>
                <w:szCs w:val="18"/>
              </w:rPr>
              <w:t>ών</w:t>
            </w:r>
            <w:r w:rsidR="00D17951" w:rsidRPr="00D17951">
              <w:rPr>
                <w:sz w:val="18"/>
                <w:szCs w:val="18"/>
              </w:rPr>
              <w:t xml:space="preserve"> νευροϊνιδίων</w:t>
            </w:r>
            <w:r w:rsidRPr="00A831E7">
              <w:rPr>
                <w:sz w:val="18"/>
                <w:szCs w:val="18"/>
              </w:rPr>
              <w:t xml:space="preserve">, μετρημένα μέσω </w:t>
            </w:r>
            <w:r w:rsidR="00D141EE" w:rsidRPr="00A831E7">
              <w:rPr>
                <w:sz w:val="18"/>
                <w:szCs w:val="18"/>
              </w:rPr>
              <w:t xml:space="preserve">Digital </w:t>
            </w:r>
            <w:r w:rsidRPr="00A831E7">
              <w:rPr>
                <w:sz w:val="18"/>
                <w:szCs w:val="18"/>
              </w:rPr>
              <w:t>ELISA.</w:t>
            </w:r>
          </w:p>
          <w:p w14:paraId="672332F4" w14:textId="514FB15F" w:rsidR="00322313" w:rsidRPr="00387775" w:rsidRDefault="00FE2A9A" w:rsidP="00BB36DD">
            <w:pPr>
              <w:rPr>
                <w:i/>
                <w:iCs/>
                <w:sz w:val="18"/>
                <w:szCs w:val="18"/>
              </w:rPr>
            </w:pPr>
            <w:r>
              <w:rPr>
                <w:sz w:val="18"/>
                <w:szCs w:val="18"/>
                <w:lang w:val="en-US"/>
              </w:rPr>
              <w:br/>
            </w:r>
            <w:r w:rsidRPr="00387775">
              <w:rPr>
                <w:i/>
                <w:iCs/>
                <w:sz w:val="16"/>
                <w:szCs w:val="16"/>
                <w:lang w:val="en-US"/>
              </w:rPr>
              <w:t xml:space="preserve">IS:14 </w:t>
            </w:r>
            <w:r w:rsidR="00CB17D8" w:rsidRPr="00387775">
              <w:rPr>
                <w:i/>
                <w:iCs/>
                <w:sz w:val="16"/>
                <w:szCs w:val="16"/>
              </w:rPr>
              <w:t>ασθενείς,</w:t>
            </w:r>
            <w:r w:rsidRPr="00387775">
              <w:rPr>
                <w:i/>
                <w:iCs/>
                <w:sz w:val="16"/>
                <w:szCs w:val="16"/>
              </w:rPr>
              <w:t xml:space="preserve"> </w:t>
            </w:r>
            <w:r w:rsidRPr="00387775">
              <w:rPr>
                <w:i/>
                <w:iCs/>
                <w:sz w:val="16"/>
                <w:szCs w:val="16"/>
                <w:lang w:val="en-US"/>
              </w:rPr>
              <w:t xml:space="preserve">NC:33 </w:t>
            </w:r>
            <w:r w:rsidRPr="00387775">
              <w:rPr>
                <w:i/>
                <w:iCs/>
                <w:sz w:val="16"/>
                <w:szCs w:val="16"/>
              </w:rPr>
              <w:t>υγιείς</w:t>
            </w:r>
          </w:p>
        </w:tc>
        <w:tc>
          <w:tcPr>
            <w:tcW w:w="900" w:type="dxa"/>
            <w:vMerge w:val="restart"/>
            <w:tcBorders>
              <w:top w:val="single" w:sz="12" w:space="0" w:color="auto"/>
            </w:tcBorders>
            <w:shd w:val="clear" w:color="auto" w:fill="auto"/>
          </w:tcPr>
          <w:p w14:paraId="4C66BB11" w14:textId="77777777" w:rsidR="00322313" w:rsidRPr="00A831E7" w:rsidRDefault="00322313" w:rsidP="00BB36DD">
            <w:pPr>
              <w:jc w:val="center"/>
              <w:rPr>
                <w:sz w:val="20"/>
                <w:szCs w:val="20"/>
              </w:rPr>
            </w:pPr>
            <w:r w:rsidRPr="00A831E7">
              <w:rPr>
                <w:sz w:val="20"/>
                <w:szCs w:val="20"/>
              </w:rPr>
              <w:t>&lt;12h</w:t>
            </w:r>
            <w:r w:rsidRPr="00A831E7">
              <w:rPr>
                <w:sz w:val="20"/>
                <w:szCs w:val="20"/>
              </w:rPr>
              <w:br/>
              <w:t>Πλάσμα</w:t>
            </w:r>
          </w:p>
        </w:tc>
        <w:tc>
          <w:tcPr>
            <w:tcW w:w="990" w:type="dxa"/>
            <w:tcBorders>
              <w:top w:val="single" w:sz="12" w:space="0" w:color="auto"/>
              <w:bottom w:val="single" w:sz="8" w:space="0" w:color="auto"/>
            </w:tcBorders>
            <w:shd w:val="clear" w:color="auto" w:fill="auto"/>
          </w:tcPr>
          <w:p w14:paraId="1C2361C1" w14:textId="77777777" w:rsidR="00322313" w:rsidRPr="00D17951" w:rsidRDefault="00322313" w:rsidP="00BB36DD">
            <w:pPr>
              <w:jc w:val="center"/>
              <w:rPr>
                <w:sz w:val="20"/>
                <w:szCs w:val="20"/>
                <w:lang w:val="en-US"/>
              </w:rPr>
            </w:pPr>
            <w:r w:rsidRPr="00A831E7">
              <w:rPr>
                <w:sz w:val="20"/>
                <w:szCs w:val="20"/>
              </w:rPr>
              <w:t>IS-NC</w:t>
            </w:r>
          </w:p>
        </w:tc>
        <w:tc>
          <w:tcPr>
            <w:tcW w:w="630" w:type="dxa"/>
            <w:tcBorders>
              <w:top w:val="single" w:sz="12" w:space="0" w:color="auto"/>
              <w:bottom w:val="single" w:sz="8" w:space="0" w:color="auto"/>
            </w:tcBorders>
            <w:shd w:val="clear" w:color="auto" w:fill="auto"/>
          </w:tcPr>
          <w:p w14:paraId="1469F624" w14:textId="1B8DFCF0" w:rsidR="00322313" w:rsidRPr="00A831E7" w:rsidRDefault="00322313" w:rsidP="00BB36DD">
            <w:pPr>
              <w:jc w:val="center"/>
              <w:rPr>
                <w:sz w:val="18"/>
                <w:szCs w:val="18"/>
              </w:rPr>
            </w:pPr>
            <w:r w:rsidRPr="00A831E7">
              <w:rPr>
                <w:sz w:val="18"/>
                <w:szCs w:val="18"/>
              </w:rPr>
              <w:t>0.88</w:t>
            </w:r>
            <w:r w:rsidR="0064729F" w:rsidRPr="00A831E7">
              <w:rPr>
                <w:sz w:val="18"/>
                <w:szCs w:val="18"/>
              </w:rPr>
              <w:t>0</w:t>
            </w:r>
          </w:p>
        </w:tc>
        <w:tc>
          <w:tcPr>
            <w:tcW w:w="630" w:type="dxa"/>
            <w:tcBorders>
              <w:top w:val="single" w:sz="12" w:space="0" w:color="auto"/>
              <w:bottom w:val="single" w:sz="8" w:space="0" w:color="auto"/>
            </w:tcBorders>
            <w:shd w:val="clear" w:color="auto" w:fill="auto"/>
          </w:tcPr>
          <w:p w14:paraId="4014926D" w14:textId="33856EBA" w:rsidR="00322313" w:rsidRPr="00A831E7" w:rsidRDefault="00322313" w:rsidP="00BB36DD">
            <w:pPr>
              <w:jc w:val="center"/>
              <w:rPr>
                <w:sz w:val="18"/>
                <w:szCs w:val="18"/>
              </w:rPr>
            </w:pPr>
            <w:r w:rsidRPr="00A831E7">
              <w:rPr>
                <w:sz w:val="18"/>
                <w:szCs w:val="18"/>
              </w:rPr>
              <w:t>0.9</w:t>
            </w:r>
            <w:r w:rsidR="0064729F" w:rsidRPr="00A831E7">
              <w:rPr>
                <w:sz w:val="18"/>
                <w:szCs w:val="18"/>
              </w:rPr>
              <w:t>29</w:t>
            </w:r>
          </w:p>
        </w:tc>
        <w:tc>
          <w:tcPr>
            <w:tcW w:w="630" w:type="dxa"/>
            <w:tcBorders>
              <w:top w:val="single" w:sz="12" w:space="0" w:color="auto"/>
              <w:bottom w:val="single" w:sz="8" w:space="0" w:color="auto"/>
            </w:tcBorders>
            <w:shd w:val="clear" w:color="auto" w:fill="auto"/>
          </w:tcPr>
          <w:p w14:paraId="70424725" w14:textId="221D02AB" w:rsidR="00322313" w:rsidRPr="00A831E7" w:rsidRDefault="00322313" w:rsidP="00BB36DD">
            <w:pPr>
              <w:jc w:val="center"/>
              <w:rPr>
                <w:sz w:val="18"/>
                <w:szCs w:val="18"/>
              </w:rPr>
            </w:pPr>
            <w:r w:rsidRPr="00A831E7">
              <w:rPr>
                <w:sz w:val="18"/>
                <w:szCs w:val="18"/>
              </w:rPr>
              <w:t>0.</w:t>
            </w:r>
            <w:r w:rsidR="0064729F" w:rsidRPr="00A831E7">
              <w:rPr>
                <w:sz w:val="18"/>
                <w:szCs w:val="18"/>
              </w:rPr>
              <w:t>849</w:t>
            </w:r>
          </w:p>
        </w:tc>
        <w:tc>
          <w:tcPr>
            <w:tcW w:w="900" w:type="dxa"/>
            <w:vMerge w:val="restart"/>
            <w:tcBorders>
              <w:top w:val="single" w:sz="12" w:space="0" w:color="auto"/>
              <w:right w:val="single" w:sz="12" w:space="0" w:color="000000"/>
            </w:tcBorders>
            <w:shd w:val="clear" w:color="auto" w:fill="auto"/>
          </w:tcPr>
          <w:p w14:paraId="39B057B2" w14:textId="6D177F7B" w:rsidR="00322313" w:rsidRPr="00A831E7" w:rsidRDefault="00F35DEF" w:rsidP="00BB36DD">
            <w:pPr>
              <w:jc w:val="center"/>
              <w:rPr>
                <w:sz w:val="20"/>
                <w:szCs w:val="20"/>
              </w:rPr>
            </w:pPr>
            <w:r w:rsidRPr="00A831E7">
              <w:rPr>
                <w:sz w:val="20"/>
                <w:szCs w:val="20"/>
              </w:rPr>
              <w:fldChar w:fldCharType="begin"/>
            </w:r>
            <w:r w:rsidR="00B22777" w:rsidRPr="00A831E7">
              <w:rPr>
                <w:sz w:val="20"/>
                <w:szCs w:val="20"/>
              </w:rPr>
              <w:instrText xml:space="preserve"> ADDIN ZOTERO_ITEM CSL_CITATION {"citationID":"cSjcyQvt","properties":{"formattedCitation":"[69]","plainCitation":"[69]","noteIndex":0},"citationItems":[{"id":306,"uris":["http://zotero.org/users/local/mfHf28QG/items/STQ5RSX9"],"itemData":{"id":306,"type":"article-journal","abstract":"Limited lower detection ranges associated with traditional immunoassay techniques have prevented the use of brain-specific proteins as blood biomarkers of stroke in the acute phase of care, as these proteins are often only present in circulation at ...","container-title":"Brain research","DOI":"10.1016/j.brainres.2020.146861","language":"en","note":"PMID: 32353434","page":"146861","source":"pmc.ncbi.nlm.nih.gov","title":"Diagnosis of ischemic stroke using circulating levels of brain-specific proteins measured via high-sensitivity digital ELISA","volume":"1739","author":[{"family":"O’Connell","given":"Grant C."},{"family":"Alder","given":"Megan L."},{"family":"Smothers","given":"Christine G."},{"family":"Still","given":"Carolyn H."},{"family":"Webel","given":"Allison R."},{"family":"Moore","given":"Shirley M."}],"issued":{"date-parts":[["2020",4,27]]}},"suppress-author":true}],"schema":"https://github.com/citation-style-language/schema/raw/master/csl-citation.json"} </w:instrText>
            </w:r>
            <w:r w:rsidRPr="00A831E7">
              <w:rPr>
                <w:sz w:val="20"/>
                <w:szCs w:val="20"/>
              </w:rPr>
              <w:fldChar w:fldCharType="separate"/>
            </w:r>
            <w:r w:rsidR="00B22777" w:rsidRPr="00A831E7">
              <w:rPr>
                <w:sz w:val="20"/>
              </w:rPr>
              <w:t>[69]</w:t>
            </w:r>
            <w:r w:rsidRPr="00A831E7">
              <w:rPr>
                <w:sz w:val="20"/>
                <w:szCs w:val="20"/>
              </w:rPr>
              <w:fldChar w:fldCharType="end"/>
            </w:r>
          </w:p>
        </w:tc>
      </w:tr>
      <w:tr w:rsidR="00322313" w:rsidRPr="00A831E7" w14:paraId="26A4A3E3" w14:textId="77777777" w:rsidTr="003B0C15">
        <w:trPr>
          <w:cantSplit/>
          <w:trHeight w:val="340"/>
        </w:trPr>
        <w:tc>
          <w:tcPr>
            <w:tcW w:w="1260" w:type="dxa"/>
            <w:tcBorders>
              <w:top w:val="single" w:sz="8" w:space="0" w:color="auto"/>
              <w:left w:val="single" w:sz="12" w:space="0" w:color="auto"/>
              <w:bottom w:val="single" w:sz="8" w:space="0" w:color="auto"/>
            </w:tcBorders>
            <w:shd w:val="clear" w:color="auto" w:fill="auto"/>
          </w:tcPr>
          <w:p w14:paraId="37380FC4" w14:textId="77777777" w:rsidR="00322313" w:rsidRPr="00A831E7" w:rsidRDefault="00322313" w:rsidP="00BB36DD">
            <w:pPr>
              <w:jc w:val="center"/>
              <w:rPr>
                <w:sz w:val="20"/>
                <w:szCs w:val="20"/>
              </w:rPr>
            </w:pPr>
            <w:r w:rsidRPr="00A831E7">
              <w:rPr>
                <w:sz w:val="20"/>
                <w:szCs w:val="20"/>
              </w:rPr>
              <w:t>Tau</w:t>
            </w:r>
          </w:p>
        </w:tc>
        <w:tc>
          <w:tcPr>
            <w:tcW w:w="2340" w:type="dxa"/>
            <w:vMerge/>
            <w:shd w:val="clear" w:color="auto" w:fill="auto"/>
          </w:tcPr>
          <w:p w14:paraId="7CC1A18C" w14:textId="77777777" w:rsidR="00322313" w:rsidRPr="00A831E7" w:rsidRDefault="00322313" w:rsidP="00BB36DD">
            <w:pPr>
              <w:rPr>
                <w:sz w:val="20"/>
                <w:szCs w:val="20"/>
              </w:rPr>
            </w:pPr>
          </w:p>
        </w:tc>
        <w:tc>
          <w:tcPr>
            <w:tcW w:w="900" w:type="dxa"/>
            <w:vMerge/>
            <w:shd w:val="clear" w:color="auto" w:fill="auto"/>
          </w:tcPr>
          <w:p w14:paraId="2B5F85C6" w14:textId="77777777" w:rsidR="00322313" w:rsidRPr="00A831E7" w:rsidRDefault="00322313" w:rsidP="00BB36DD">
            <w:pPr>
              <w:jc w:val="center"/>
              <w:rPr>
                <w:sz w:val="20"/>
                <w:szCs w:val="20"/>
              </w:rPr>
            </w:pPr>
          </w:p>
        </w:tc>
        <w:tc>
          <w:tcPr>
            <w:tcW w:w="990" w:type="dxa"/>
            <w:tcBorders>
              <w:top w:val="single" w:sz="8" w:space="0" w:color="auto"/>
              <w:bottom w:val="single" w:sz="8" w:space="0" w:color="auto"/>
            </w:tcBorders>
            <w:shd w:val="clear" w:color="auto" w:fill="auto"/>
          </w:tcPr>
          <w:p w14:paraId="0A9BD7F9" w14:textId="77777777" w:rsidR="00322313" w:rsidRPr="00A831E7" w:rsidRDefault="00322313" w:rsidP="00BB36DD">
            <w:pPr>
              <w:jc w:val="center"/>
              <w:rPr>
                <w:sz w:val="20"/>
                <w:szCs w:val="20"/>
              </w:rPr>
            </w:pPr>
            <w:r w:rsidRPr="00A831E7">
              <w:rPr>
                <w:sz w:val="20"/>
                <w:szCs w:val="20"/>
              </w:rPr>
              <w:t>»</w:t>
            </w:r>
          </w:p>
        </w:tc>
        <w:tc>
          <w:tcPr>
            <w:tcW w:w="630" w:type="dxa"/>
            <w:tcBorders>
              <w:top w:val="single" w:sz="8" w:space="0" w:color="auto"/>
              <w:bottom w:val="single" w:sz="8" w:space="0" w:color="auto"/>
            </w:tcBorders>
            <w:shd w:val="clear" w:color="auto" w:fill="auto"/>
          </w:tcPr>
          <w:p w14:paraId="17B9132C" w14:textId="4DFC2C51" w:rsidR="00322313" w:rsidRPr="00A831E7" w:rsidRDefault="00322313" w:rsidP="00BB36DD">
            <w:pPr>
              <w:jc w:val="center"/>
              <w:rPr>
                <w:sz w:val="18"/>
                <w:szCs w:val="18"/>
              </w:rPr>
            </w:pPr>
            <w:r w:rsidRPr="00A831E7">
              <w:rPr>
                <w:sz w:val="18"/>
                <w:szCs w:val="18"/>
              </w:rPr>
              <w:t>0.69</w:t>
            </w:r>
            <w:r w:rsidR="0064729F" w:rsidRPr="00A831E7">
              <w:rPr>
                <w:sz w:val="18"/>
                <w:szCs w:val="18"/>
              </w:rPr>
              <w:t>0</w:t>
            </w:r>
          </w:p>
        </w:tc>
        <w:tc>
          <w:tcPr>
            <w:tcW w:w="630" w:type="dxa"/>
            <w:tcBorders>
              <w:top w:val="single" w:sz="8" w:space="0" w:color="auto"/>
              <w:bottom w:val="single" w:sz="8" w:space="0" w:color="auto"/>
            </w:tcBorders>
            <w:shd w:val="clear" w:color="auto" w:fill="auto"/>
          </w:tcPr>
          <w:p w14:paraId="32213CCD" w14:textId="700C7AB8" w:rsidR="00322313" w:rsidRPr="00A831E7" w:rsidRDefault="00322313" w:rsidP="00BB36DD">
            <w:pPr>
              <w:jc w:val="center"/>
              <w:rPr>
                <w:sz w:val="18"/>
                <w:szCs w:val="18"/>
              </w:rPr>
            </w:pPr>
            <w:r w:rsidRPr="00A831E7">
              <w:rPr>
                <w:sz w:val="18"/>
                <w:szCs w:val="18"/>
              </w:rPr>
              <w:t>0.8</w:t>
            </w:r>
            <w:r w:rsidR="0064729F" w:rsidRPr="00A831E7">
              <w:rPr>
                <w:sz w:val="18"/>
                <w:szCs w:val="18"/>
              </w:rPr>
              <w:t>57</w:t>
            </w:r>
          </w:p>
        </w:tc>
        <w:tc>
          <w:tcPr>
            <w:tcW w:w="630" w:type="dxa"/>
            <w:tcBorders>
              <w:top w:val="single" w:sz="8" w:space="0" w:color="auto"/>
              <w:bottom w:val="single" w:sz="8" w:space="0" w:color="auto"/>
            </w:tcBorders>
            <w:shd w:val="clear" w:color="auto" w:fill="auto"/>
          </w:tcPr>
          <w:p w14:paraId="402658B1" w14:textId="30384B63" w:rsidR="00322313" w:rsidRPr="00A831E7" w:rsidRDefault="00322313" w:rsidP="00BB36DD">
            <w:pPr>
              <w:jc w:val="center"/>
              <w:rPr>
                <w:sz w:val="18"/>
                <w:szCs w:val="18"/>
              </w:rPr>
            </w:pPr>
            <w:r w:rsidRPr="00A831E7">
              <w:rPr>
                <w:sz w:val="18"/>
                <w:szCs w:val="18"/>
              </w:rPr>
              <w:t>0.5</w:t>
            </w:r>
            <w:r w:rsidR="0064729F" w:rsidRPr="00A831E7">
              <w:rPr>
                <w:sz w:val="18"/>
                <w:szCs w:val="18"/>
              </w:rPr>
              <w:t>46</w:t>
            </w:r>
          </w:p>
        </w:tc>
        <w:tc>
          <w:tcPr>
            <w:tcW w:w="900" w:type="dxa"/>
            <w:vMerge/>
            <w:tcBorders>
              <w:right w:val="single" w:sz="12" w:space="0" w:color="000000"/>
            </w:tcBorders>
            <w:shd w:val="clear" w:color="auto" w:fill="auto"/>
          </w:tcPr>
          <w:p w14:paraId="1A255E70" w14:textId="77777777" w:rsidR="00322313" w:rsidRPr="00A831E7" w:rsidRDefault="00322313" w:rsidP="00BB36DD">
            <w:pPr>
              <w:jc w:val="center"/>
              <w:rPr>
                <w:sz w:val="20"/>
                <w:szCs w:val="20"/>
              </w:rPr>
            </w:pPr>
          </w:p>
        </w:tc>
      </w:tr>
      <w:tr w:rsidR="00322313" w:rsidRPr="00A831E7" w14:paraId="2D847EEB" w14:textId="77777777" w:rsidTr="003B0C15">
        <w:trPr>
          <w:cantSplit/>
        </w:trPr>
        <w:tc>
          <w:tcPr>
            <w:tcW w:w="1260" w:type="dxa"/>
            <w:tcBorders>
              <w:top w:val="single" w:sz="8" w:space="0" w:color="auto"/>
              <w:left w:val="single" w:sz="12" w:space="0" w:color="auto"/>
              <w:bottom w:val="single" w:sz="12" w:space="0" w:color="auto"/>
            </w:tcBorders>
            <w:shd w:val="clear" w:color="auto" w:fill="auto"/>
          </w:tcPr>
          <w:p w14:paraId="153013F5" w14:textId="77777777" w:rsidR="00322313" w:rsidRPr="00A831E7" w:rsidRDefault="00322313" w:rsidP="00BB36DD">
            <w:pPr>
              <w:jc w:val="center"/>
              <w:rPr>
                <w:sz w:val="20"/>
                <w:szCs w:val="20"/>
              </w:rPr>
            </w:pPr>
            <w:r w:rsidRPr="00A831E7">
              <w:rPr>
                <w:sz w:val="20"/>
                <w:szCs w:val="20"/>
              </w:rPr>
              <w:t>NfL &amp; Tau</w:t>
            </w:r>
          </w:p>
        </w:tc>
        <w:tc>
          <w:tcPr>
            <w:tcW w:w="2340" w:type="dxa"/>
            <w:vMerge/>
            <w:tcBorders>
              <w:bottom w:val="single" w:sz="12" w:space="0" w:color="auto"/>
            </w:tcBorders>
            <w:shd w:val="clear" w:color="auto" w:fill="auto"/>
          </w:tcPr>
          <w:p w14:paraId="707A6555" w14:textId="77777777" w:rsidR="00322313" w:rsidRPr="00A831E7" w:rsidRDefault="00322313" w:rsidP="00BB36DD">
            <w:pPr>
              <w:rPr>
                <w:sz w:val="20"/>
                <w:szCs w:val="20"/>
              </w:rPr>
            </w:pPr>
          </w:p>
        </w:tc>
        <w:tc>
          <w:tcPr>
            <w:tcW w:w="900" w:type="dxa"/>
            <w:vMerge/>
            <w:tcBorders>
              <w:bottom w:val="single" w:sz="12" w:space="0" w:color="auto"/>
            </w:tcBorders>
            <w:shd w:val="clear" w:color="auto" w:fill="auto"/>
          </w:tcPr>
          <w:p w14:paraId="228E6B16" w14:textId="77777777" w:rsidR="00322313" w:rsidRPr="00A831E7" w:rsidRDefault="00322313" w:rsidP="00BB36DD">
            <w:pPr>
              <w:jc w:val="center"/>
              <w:rPr>
                <w:sz w:val="20"/>
                <w:szCs w:val="20"/>
              </w:rPr>
            </w:pPr>
          </w:p>
        </w:tc>
        <w:tc>
          <w:tcPr>
            <w:tcW w:w="990" w:type="dxa"/>
            <w:tcBorders>
              <w:top w:val="single" w:sz="8" w:space="0" w:color="auto"/>
              <w:bottom w:val="single" w:sz="12" w:space="0" w:color="auto"/>
            </w:tcBorders>
            <w:shd w:val="clear" w:color="auto" w:fill="auto"/>
          </w:tcPr>
          <w:p w14:paraId="4CAEF28C" w14:textId="77777777" w:rsidR="00322313" w:rsidRPr="00A831E7" w:rsidRDefault="00322313" w:rsidP="00BB36DD">
            <w:pPr>
              <w:jc w:val="center"/>
              <w:rPr>
                <w:sz w:val="20"/>
                <w:szCs w:val="20"/>
              </w:rPr>
            </w:pPr>
            <w:r w:rsidRPr="00A831E7">
              <w:rPr>
                <w:sz w:val="20"/>
                <w:szCs w:val="20"/>
              </w:rPr>
              <w:t>»</w:t>
            </w:r>
          </w:p>
        </w:tc>
        <w:tc>
          <w:tcPr>
            <w:tcW w:w="630" w:type="dxa"/>
            <w:tcBorders>
              <w:top w:val="single" w:sz="8" w:space="0" w:color="auto"/>
              <w:bottom w:val="single" w:sz="12" w:space="0" w:color="auto"/>
            </w:tcBorders>
            <w:shd w:val="clear" w:color="auto" w:fill="auto"/>
          </w:tcPr>
          <w:p w14:paraId="6E9BD09B" w14:textId="7AB0DE51" w:rsidR="00322313" w:rsidRPr="00A831E7" w:rsidRDefault="00322313" w:rsidP="00BB36DD">
            <w:pPr>
              <w:jc w:val="center"/>
              <w:rPr>
                <w:sz w:val="18"/>
                <w:szCs w:val="18"/>
              </w:rPr>
            </w:pPr>
            <w:r w:rsidRPr="00A831E7">
              <w:rPr>
                <w:sz w:val="18"/>
                <w:szCs w:val="18"/>
              </w:rPr>
              <w:t>0.81</w:t>
            </w:r>
            <w:r w:rsidR="0064729F" w:rsidRPr="00A831E7">
              <w:rPr>
                <w:sz w:val="18"/>
                <w:szCs w:val="18"/>
              </w:rPr>
              <w:t>0</w:t>
            </w:r>
          </w:p>
        </w:tc>
        <w:tc>
          <w:tcPr>
            <w:tcW w:w="630" w:type="dxa"/>
            <w:tcBorders>
              <w:top w:val="single" w:sz="8" w:space="0" w:color="auto"/>
              <w:bottom w:val="single" w:sz="12" w:space="0" w:color="auto"/>
            </w:tcBorders>
            <w:shd w:val="clear" w:color="auto" w:fill="auto"/>
          </w:tcPr>
          <w:p w14:paraId="6A9EABCA" w14:textId="6E4DC2F5" w:rsidR="00322313" w:rsidRPr="00A831E7" w:rsidRDefault="00322313" w:rsidP="00BB36DD">
            <w:pPr>
              <w:jc w:val="center"/>
              <w:rPr>
                <w:sz w:val="18"/>
                <w:szCs w:val="18"/>
              </w:rPr>
            </w:pPr>
            <w:r w:rsidRPr="00A831E7">
              <w:rPr>
                <w:sz w:val="18"/>
                <w:szCs w:val="18"/>
              </w:rPr>
              <w:t>0.71</w:t>
            </w:r>
            <w:r w:rsidR="0064729F" w:rsidRPr="00A831E7">
              <w:rPr>
                <w:sz w:val="18"/>
                <w:szCs w:val="18"/>
              </w:rPr>
              <w:t>4</w:t>
            </w:r>
          </w:p>
        </w:tc>
        <w:tc>
          <w:tcPr>
            <w:tcW w:w="630" w:type="dxa"/>
            <w:tcBorders>
              <w:top w:val="single" w:sz="8" w:space="0" w:color="auto"/>
              <w:bottom w:val="single" w:sz="12" w:space="0" w:color="auto"/>
            </w:tcBorders>
            <w:shd w:val="clear" w:color="auto" w:fill="auto"/>
          </w:tcPr>
          <w:p w14:paraId="64314A5C" w14:textId="35F2C55A" w:rsidR="00322313" w:rsidRPr="00A831E7" w:rsidRDefault="00322313" w:rsidP="00BB36DD">
            <w:pPr>
              <w:jc w:val="center"/>
              <w:rPr>
                <w:sz w:val="18"/>
                <w:szCs w:val="18"/>
              </w:rPr>
            </w:pPr>
            <w:r w:rsidRPr="00A831E7">
              <w:rPr>
                <w:sz w:val="18"/>
                <w:szCs w:val="18"/>
              </w:rPr>
              <w:t>0.8</w:t>
            </w:r>
            <w:r w:rsidR="0064729F" w:rsidRPr="00A831E7">
              <w:rPr>
                <w:sz w:val="18"/>
                <w:szCs w:val="18"/>
              </w:rPr>
              <w:t>79</w:t>
            </w:r>
          </w:p>
        </w:tc>
        <w:tc>
          <w:tcPr>
            <w:tcW w:w="900" w:type="dxa"/>
            <w:vMerge/>
            <w:tcBorders>
              <w:bottom w:val="single" w:sz="12" w:space="0" w:color="auto"/>
              <w:right w:val="single" w:sz="12" w:space="0" w:color="000000"/>
            </w:tcBorders>
            <w:shd w:val="clear" w:color="auto" w:fill="auto"/>
          </w:tcPr>
          <w:p w14:paraId="51FE8D6D" w14:textId="77777777" w:rsidR="00322313" w:rsidRPr="00A831E7" w:rsidRDefault="00322313" w:rsidP="00BB36DD">
            <w:pPr>
              <w:jc w:val="center"/>
              <w:rPr>
                <w:sz w:val="20"/>
                <w:szCs w:val="20"/>
              </w:rPr>
            </w:pPr>
          </w:p>
        </w:tc>
      </w:tr>
      <w:tr w:rsidR="00322313" w:rsidRPr="00A831E7" w14:paraId="4DE61E12" w14:textId="77777777" w:rsidTr="003B0C15">
        <w:trPr>
          <w:cantSplit/>
        </w:trPr>
        <w:tc>
          <w:tcPr>
            <w:tcW w:w="1260" w:type="dxa"/>
            <w:tcBorders>
              <w:top w:val="single" w:sz="12" w:space="0" w:color="auto"/>
              <w:left w:val="single" w:sz="12" w:space="0" w:color="auto"/>
              <w:bottom w:val="single" w:sz="12" w:space="0" w:color="auto"/>
            </w:tcBorders>
            <w:shd w:val="clear" w:color="auto" w:fill="auto"/>
          </w:tcPr>
          <w:p w14:paraId="4F05BB90" w14:textId="77777777" w:rsidR="00322313" w:rsidRPr="00730D74" w:rsidRDefault="00322313" w:rsidP="00BB36DD">
            <w:pPr>
              <w:jc w:val="center"/>
              <w:rPr>
                <w:sz w:val="20"/>
                <w:szCs w:val="20"/>
                <w:lang w:val="en-US"/>
              </w:rPr>
            </w:pPr>
            <w:r w:rsidRPr="00730D74">
              <w:rPr>
                <w:sz w:val="20"/>
                <w:szCs w:val="20"/>
                <w:lang w:val="en-US"/>
              </w:rPr>
              <w:t xml:space="preserve">ADMA, SDMA, </w:t>
            </w:r>
            <w:r w:rsidRPr="00730D74">
              <w:rPr>
                <w:sz w:val="18"/>
                <w:szCs w:val="18"/>
                <w:lang w:val="en-US"/>
              </w:rPr>
              <w:t>pregnenolone sulfate &amp; adenosine</w:t>
            </w:r>
          </w:p>
        </w:tc>
        <w:tc>
          <w:tcPr>
            <w:tcW w:w="2340" w:type="dxa"/>
            <w:tcBorders>
              <w:top w:val="single" w:sz="12" w:space="0" w:color="auto"/>
              <w:bottom w:val="single" w:sz="12" w:space="0" w:color="auto"/>
            </w:tcBorders>
            <w:shd w:val="clear" w:color="auto" w:fill="auto"/>
          </w:tcPr>
          <w:p w14:paraId="6AFBF3C9" w14:textId="77777777" w:rsidR="00322313" w:rsidRDefault="00322313" w:rsidP="00BB36DD">
            <w:pPr>
              <w:rPr>
                <w:sz w:val="18"/>
                <w:szCs w:val="18"/>
              </w:rPr>
            </w:pPr>
            <w:r w:rsidRPr="00A831E7">
              <w:rPr>
                <w:sz w:val="18"/>
                <w:szCs w:val="18"/>
              </w:rPr>
              <w:t>Κυκλοφορούντες Μεταβολίτες.</w:t>
            </w:r>
          </w:p>
          <w:p w14:paraId="2E3F39B7" w14:textId="77777777" w:rsidR="00FE2A9A" w:rsidRDefault="00FE2A9A" w:rsidP="00BB36DD">
            <w:pPr>
              <w:rPr>
                <w:sz w:val="18"/>
                <w:szCs w:val="18"/>
              </w:rPr>
            </w:pPr>
          </w:p>
          <w:p w14:paraId="29F95403" w14:textId="77428A2A" w:rsidR="00FE2A9A" w:rsidRPr="00387775" w:rsidRDefault="00FE2A9A" w:rsidP="00BB36DD">
            <w:pPr>
              <w:rPr>
                <w:i/>
                <w:iCs/>
                <w:sz w:val="20"/>
                <w:szCs w:val="20"/>
              </w:rPr>
            </w:pPr>
            <w:r w:rsidRPr="00387775">
              <w:rPr>
                <w:i/>
                <w:iCs/>
                <w:sz w:val="16"/>
                <w:szCs w:val="16"/>
                <w:lang w:val="en-US"/>
              </w:rPr>
              <w:t>Replication sample</w:t>
            </w:r>
            <w:r w:rsidRPr="00387775">
              <w:rPr>
                <w:i/>
                <w:iCs/>
                <w:sz w:val="16"/>
                <w:szCs w:val="16"/>
              </w:rPr>
              <w:t>(</w:t>
            </w:r>
            <w:r w:rsidRPr="00387775">
              <w:rPr>
                <w:i/>
                <w:iCs/>
                <w:sz w:val="16"/>
                <w:szCs w:val="16"/>
                <w:lang w:val="en-US"/>
              </w:rPr>
              <w:t>N=500)</w:t>
            </w:r>
            <w:r w:rsidR="00387775">
              <w:rPr>
                <w:i/>
                <w:iCs/>
                <w:sz w:val="16"/>
                <w:szCs w:val="16"/>
                <w:lang w:val="en-US"/>
              </w:rPr>
              <w:t>:</w:t>
            </w:r>
            <w:r w:rsidRPr="00387775">
              <w:rPr>
                <w:i/>
                <w:iCs/>
                <w:sz w:val="16"/>
                <w:szCs w:val="16"/>
                <w:lang w:val="en-US"/>
              </w:rPr>
              <w:br/>
              <w:t>IS=289, SM=211</w:t>
            </w:r>
          </w:p>
        </w:tc>
        <w:tc>
          <w:tcPr>
            <w:tcW w:w="900" w:type="dxa"/>
            <w:tcBorders>
              <w:top w:val="single" w:sz="12" w:space="0" w:color="auto"/>
              <w:bottom w:val="single" w:sz="12" w:space="0" w:color="auto"/>
            </w:tcBorders>
            <w:shd w:val="clear" w:color="auto" w:fill="auto"/>
          </w:tcPr>
          <w:p w14:paraId="5D18C29E" w14:textId="77777777" w:rsidR="00322313" w:rsidRPr="00A831E7" w:rsidRDefault="00322313" w:rsidP="00BB36DD">
            <w:pPr>
              <w:jc w:val="center"/>
              <w:rPr>
                <w:sz w:val="20"/>
                <w:szCs w:val="20"/>
              </w:rPr>
            </w:pPr>
            <w:r w:rsidRPr="00A831E7">
              <w:rPr>
                <w:sz w:val="20"/>
                <w:szCs w:val="20"/>
              </w:rPr>
              <w:t>&lt;24h</w:t>
            </w:r>
            <w:r w:rsidRPr="00A831E7">
              <w:rPr>
                <w:sz w:val="20"/>
                <w:szCs w:val="20"/>
              </w:rPr>
              <w:br/>
              <w:t>Ορός</w:t>
            </w:r>
          </w:p>
        </w:tc>
        <w:tc>
          <w:tcPr>
            <w:tcW w:w="990" w:type="dxa"/>
            <w:tcBorders>
              <w:top w:val="single" w:sz="12" w:space="0" w:color="auto"/>
              <w:bottom w:val="single" w:sz="12" w:space="0" w:color="auto"/>
            </w:tcBorders>
            <w:shd w:val="clear" w:color="auto" w:fill="auto"/>
          </w:tcPr>
          <w:p w14:paraId="19EF04D6" w14:textId="77777777" w:rsidR="00322313" w:rsidRPr="00A831E7" w:rsidRDefault="00322313" w:rsidP="00BB36DD">
            <w:pPr>
              <w:jc w:val="center"/>
              <w:rPr>
                <w:sz w:val="20"/>
                <w:szCs w:val="20"/>
              </w:rPr>
            </w:pPr>
            <w:r w:rsidRPr="00A831E7">
              <w:rPr>
                <w:sz w:val="20"/>
                <w:szCs w:val="20"/>
              </w:rPr>
              <w:t>IS-SMs</w:t>
            </w:r>
          </w:p>
        </w:tc>
        <w:tc>
          <w:tcPr>
            <w:tcW w:w="630" w:type="dxa"/>
            <w:tcBorders>
              <w:top w:val="single" w:sz="12" w:space="0" w:color="auto"/>
              <w:bottom w:val="single" w:sz="12" w:space="0" w:color="auto"/>
            </w:tcBorders>
            <w:shd w:val="clear" w:color="auto" w:fill="auto"/>
          </w:tcPr>
          <w:p w14:paraId="01994CA1" w14:textId="26397DB2" w:rsidR="00322313" w:rsidRPr="00A831E7" w:rsidRDefault="00322313" w:rsidP="00BB36DD">
            <w:pPr>
              <w:jc w:val="center"/>
              <w:rPr>
                <w:sz w:val="18"/>
                <w:szCs w:val="18"/>
              </w:rPr>
            </w:pPr>
            <w:r w:rsidRPr="00A831E7">
              <w:rPr>
                <w:sz w:val="18"/>
                <w:szCs w:val="18"/>
              </w:rPr>
              <w:t>0.9</w:t>
            </w:r>
            <w:r w:rsidR="00FE2A9A">
              <w:rPr>
                <w:sz w:val="18"/>
                <w:szCs w:val="18"/>
              </w:rPr>
              <w:t>0</w:t>
            </w:r>
          </w:p>
        </w:tc>
        <w:tc>
          <w:tcPr>
            <w:tcW w:w="630" w:type="dxa"/>
            <w:tcBorders>
              <w:top w:val="single" w:sz="12" w:space="0" w:color="auto"/>
              <w:bottom w:val="single" w:sz="12" w:space="0" w:color="auto"/>
            </w:tcBorders>
            <w:shd w:val="clear" w:color="auto" w:fill="auto"/>
          </w:tcPr>
          <w:p w14:paraId="711D6984" w14:textId="6149A5F3" w:rsidR="00322313" w:rsidRPr="00A831E7" w:rsidRDefault="00322313" w:rsidP="00BB36DD">
            <w:pPr>
              <w:jc w:val="center"/>
              <w:rPr>
                <w:sz w:val="18"/>
                <w:szCs w:val="18"/>
              </w:rPr>
            </w:pPr>
            <w:r w:rsidRPr="00A831E7">
              <w:rPr>
                <w:sz w:val="18"/>
                <w:szCs w:val="18"/>
              </w:rPr>
              <w:t>0.</w:t>
            </w:r>
            <w:r w:rsidR="00FE2A9A">
              <w:rPr>
                <w:sz w:val="18"/>
                <w:szCs w:val="18"/>
              </w:rPr>
              <w:t>886</w:t>
            </w:r>
          </w:p>
        </w:tc>
        <w:tc>
          <w:tcPr>
            <w:tcW w:w="630" w:type="dxa"/>
            <w:tcBorders>
              <w:top w:val="single" w:sz="12" w:space="0" w:color="auto"/>
              <w:bottom w:val="single" w:sz="12" w:space="0" w:color="auto"/>
            </w:tcBorders>
            <w:shd w:val="clear" w:color="auto" w:fill="auto"/>
          </w:tcPr>
          <w:p w14:paraId="1065F387" w14:textId="32A6CEB1" w:rsidR="00322313" w:rsidRPr="00A831E7" w:rsidRDefault="00322313" w:rsidP="00BB36DD">
            <w:pPr>
              <w:jc w:val="center"/>
              <w:rPr>
                <w:sz w:val="18"/>
                <w:szCs w:val="18"/>
              </w:rPr>
            </w:pPr>
            <w:r w:rsidRPr="00A831E7">
              <w:rPr>
                <w:sz w:val="18"/>
                <w:szCs w:val="18"/>
              </w:rPr>
              <w:t>0.</w:t>
            </w:r>
            <w:r w:rsidR="00FE2A9A">
              <w:rPr>
                <w:sz w:val="18"/>
                <w:szCs w:val="18"/>
              </w:rPr>
              <w:t>727</w:t>
            </w:r>
          </w:p>
        </w:tc>
        <w:tc>
          <w:tcPr>
            <w:tcW w:w="900" w:type="dxa"/>
            <w:tcBorders>
              <w:top w:val="single" w:sz="12" w:space="0" w:color="auto"/>
              <w:bottom w:val="single" w:sz="12" w:space="0" w:color="auto"/>
              <w:right w:val="single" w:sz="12" w:space="0" w:color="000000"/>
            </w:tcBorders>
            <w:shd w:val="clear" w:color="auto" w:fill="auto"/>
          </w:tcPr>
          <w:p w14:paraId="323C49C0" w14:textId="0040BA76" w:rsidR="00322313" w:rsidRPr="00A831E7" w:rsidRDefault="00F35DEF" w:rsidP="00BB36DD">
            <w:pPr>
              <w:jc w:val="center"/>
              <w:rPr>
                <w:sz w:val="20"/>
                <w:szCs w:val="20"/>
              </w:rPr>
            </w:pPr>
            <w:r w:rsidRPr="00A831E7">
              <w:rPr>
                <w:sz w:val="20"/>
                <w:szCs w:val="20"/>
              </w:rPr>
              <w:fldChar w:fldCharType="begin"/>
            </w:r>
            <w:r w:rsidR="00B22777" w:rsidRPr="00A831E7">
              <w:rPr>
                <w:sz w:val="20"/>
                <w:szCs w:val="20"/>
              </w:rPr>
              <w:instrText xml:space="preserve"> ADDIN ZOTERO_ITEM CSL_CITATION {"citationID":"d38MaOwo","properties":{"formattedCitation":"[70]","plainCitation":"[70]","noteIndex":0},"citationItems":[{"id":522,"uris":["http://zotero.org/users/local/mfHf28QG/items/GG78SY3F"],"itemData":{"id":522,"type":"article-journal","abstract":"Objective Early discrimination of patients with ischemic stroke (IS) from stroke mimics (SMs) poses a diagnostic challenge. The circulating metabolome might reflect pathophysiological events related to acute IS. Here, we investigated the utility of early metabolic changes for differentiating IS from SM. Methods We performed untargeted metabolomics on serum samples obtained from patients with IS (N = 508) and SM (N = 349; defined by absence of a diffusion weighted imaging [DWI] positive lesion on magnetic resonance imaging [MRI]) who presented to the hospital within 24 hours after symptom onset (median time from symptom onset to blood sampling = 3.3 hours; interquartile range [IQR] = 1.6–6.7 hours) and from neurologically normal controls (NCs; N = 112). We compared diagnostic groups in a discovery-validation approach by applying multivariable linear regression models, machine learning techniques, and propensity score matching. We further performed a targeted look-up of published metabolite sets. Results Levels of 41 metabolites were significantly associated with IS compared to NCs. The top metabolites showing the highest value in separating IS from SMs were asymmetrical and symmetrical dimethylarginine, pregnenolone sulfate, and adenosine. Together, these 4 metabolites differentiated patients with IS from SMs with an area under the curve (AUC) of 0.90 in the replication sample, which was superior to multimodal cranial computed tomography (CT; AUC = 0.80) obtained for routine diagnostics. They were further superior to previously published metabolite sets detected in our samples. All 4 metabolites returned to control levels by day 90. Interpretation A set of 4 metabolites with known biological effects relevant to stroke pathophysiology shows unprecedented utility to identify patients with IS upon hospital arrival, thus encouraging further investigation, including multicenter studies. ANN NEUROL 2020;88:736–746","container-title":"Annals of Neurology","DOI":"10.1002/ana.25859","ISSN":"1531-8249","issue":"4","language":"en","license":"© 2020 The Authors. Annals of Neurology published by Wiley Periodicals LLC on behalf of American Neurological Association.","note":"_eprint: https://onlinelibrary.wiley.com/doi/pdf/10.1002/ana.25859","page":"736-746","source":"Wiley Online Library","title":"Circulating Metabolites Differentiate Acute Ischemic Stroke from Stroke Mimics","volume":"88","author":[{"family":"Tiedt","given":"Steffen"},{"family":"Brandmaier","given":"Stefan"},{"family":"Kollmeier","given":"Hanna"},{"family":"Duering","given":"Marco"},{"family":"Artati","given":"Anna"},{"family":"Adamski","given":"Jerzy"},{"family":"Klein","given":"Matthias"},{"family":"Liebig","given":"Thomas"},{"family":"Holdt","given":"Lesca M."},{"family":"Teupser","given":"Daniel"},{"family":"Wang-Sattler","given":"Rui"},{"family":"Schwedhelm","given":"Edzard"},{"family":"Gieger","given":"Christian"},{"family":"Dichgans","given":"Martin"}],"issued":{"date-parts":[["2020"]]}},"suppress-author":true}],"schema":"https://github.com/citation-style-language/schema/raw/master/csl-citation.json"} </w:instrText>
            </w:r>
            <w:r w:rsidRPr="00A831E7">
              <w:rPr>
                <w:sz w:val="20"/>
                <w:szCs w:val="20"/>
              </w:rPr>
              <w:fldChar w:fldCharType="separate"/>
            </w:r>
            <w:r w:rsidR="00B22777" w:rsidRPr="00A831E7">
              <w:rPr>
                <w:sz w:val="20"/>
              </w:rPr>
              <w:t>[70]</w:t>
            </w:r>
            <w:r w:rsidRPr="00A831E7">
              <w:rPr>
                <w:sz w:val="20"/>
                <w:szCs w:val="20"/>
              </w:rPr>
              <w:fldChar w:fldCharType="end"/>
            </w:r>
          </w:p>
        </w:tc>
      </w:tr>
      <w:tr w:rsidR="00322313" w:rsidRPr="00A831E7" w14:paraId="50425D0B" w14:textId="77777777" w:rsidTr="003B0C15">
        <w:trPr>
          <w:cantSplit/>
        </w:trPr>
        <w:tc>
          <w:tcPr>
            <w:tcW w:w="1260" w:type="dxa"/>
            <w:tcBorders>
              <w:top w:val="single" w:sz="12" w:space="0" w:color="auto"/>
              <w:left w:val="single" w:sz="12" w:space="0" w:color="auto"/>
              <w:bottom w:val="single" w:sz="12" w:space="0" w:color="auto"/>
            </w:tcBorders>
            <w:shd w:val="clear" w:color="auto" w:fill="auto"/>
          </w:tcPr>
          <w:p w14:paraId="101C71C8" w14:textId="400C1B28" w:rsidR="00322313" w:rsidRPr="00A831E7" w:rsidRDefault="00322313" w:rsidP="00BB36DD">
            <w:pPr>
              <w:jc w:val="center"/>
              <w:rPr>
                <w:sz w:val="20"/>
                <w:szCs w:val="20"/>
              </w:rPr>
            </w:pPr>
            <w:r w:rsidRPr="00A831E7">
              <w:rPr>
                <w:sz w:val="20"/>
                <w:szCs w:val="20"/>
              </w:rPr>
              <w:t>PLXDC2, STK3, ANTXR2, KIF1B,</w:t>
            </w:r>
            <w:r w:rsidR="00877EEC" w:rsidRPr="00A831E7">
              <w:rPr>
                <w:sz w:val="20"/>
                <w:szCs w:val="20"/>
              </w:rPr>
              <w:t xml:space="preserve"> </w:t>
            </w:r>
            <w:r w:rsidRPr="00A831E7">
              <w:rPr>
                <w:sz w:val="20"/>
                <w:szCs w:val="20"/>
              </w:rPr>
              <w:t>CD163, CTSZ, PDK4, GRAP, MAL, ID3</w:t>
            </w:r>
          </w:p>
        </w:tc>
        <w:tc>
          <w:tcPr>
            <w:tcW w:w="2340" w:type="dxa"/>
            <w:tcBorders>
              <w:top w:val="single" w:sz="12" w:space="0" w:color="auto"/>
              <w:bottom w:val="single" w:sz="12" w:space="0" w:color="auto"/>
            </w:tcBorders>
            <w:shd w:val="clear" w:color="auto" w:fill="auto"/>
          </w:tcPr>
          <w:p w14:paraId="04BD135D" w14:textId="77777777" w:rsidR="00322313" w:rsidRDefault="00322313" w:rsidP="00BB36DD">
            <w:pPr>
              <w:rPr>
                <w:sz w:val="18"/>
                <w:szCs w:val="18"/>
              </w:rPr>
            </w:pPr>
            <w:r w:rsidRPr="00A831E7">
              <w:rPr>
                <w:sz w:val="18"/>
                <w:szCs w:val="18"/>
              </w:rPr>
              <w:t>Επίπεδα έκφρασης 10 γονιδίων σε ολικό αίμα</w:t>
            </w:r>
            <w:r w:rsidR="00F35DEF" w:rsidRPr="00A831E7">
              <w:rPr>
                <w:sz w:val="18"/>
                <w:szCs w:val="18"/>
              </w:rPr>
              <w:t xml:space="preserve"> ασθενών IS</w:t>
            </w:r>
            <w:r w:rsidRPr="00A831E7">
              <w:rPr>
                <w:sz w:val="18"/>
                <w:szCs w:val="18"/>
              </w:rPr>
              <w:t>: 7 αυξημένα, 3 μειωμένα.</w:t>
            </w:r>
          </w:p>
          <w:p w14:paraId="623AB77D" w14:textId="1DBCD27B" w:rsidR="00F601EB" w:rsidRPr="008F5904" w:rsidRDefault="00290568" w:rsidP="00BB36DD">
            <w:pPr>
              <w:rPr>
                <w:sz w:val="18"/>
                <w:lang w:val="en-US"/>
              </w:rPr>
            </w:pPr>
            <w:r>
              <w:rPr>
                <w:sz w:val="18"/>
                <w:szCs w:val="18"/>
                <w:lang w:val="en-US"/>
              </w:rPr>
              <w:br/>
            </w:r>
          </w:p>
          <w:p w14:paraId="2E45C5F2" w14:textId="787AAC7D" w:rsidR="00F601EB" w:rsidRPr="00387775" w:rsidRDefault="00F601EB" w:rsidP="00BB36DD">
            <w:pPr>
              <w:rPr>
                <w:i/>
                <w:iCs/>
                <w:sz w:val="20"/>
                <w:szCs w:val="20"/>
                <w:lang w:val="en-US"/>
              </w:rPr>
            </w:pPr>
            <w:r w:rsidRPr="00387775">
              <w:rPr>
                <w:i/>
                <w:iCs/>
                <w:sz w:val="18"/>
                <w:szCs w:val="18"/>
                <w:lang w:val="en-US"/>
              </w:rPr>
              <w:t>IS=36, SM=14</w:t>
            </w:r>
          </w:p>
        </w:tc>
        <w:tc>
          <w:tcPr>
            <w:tcW w:w="900" w:type="dxa"/>
            <w:tcBorders>
              <w:top w:val="single" w:sz="12" w:space="0" w:color="auto"/>
              <w:bottom w:val="single" w:sz="12" w:space="0" w:color="auto"/>
            </w:tcBorders>
            <w:shd w:val="clear" w:color="auto" w:fill="auto"/>
          </w:tcPr>
          <w:p w14:paraId="45C7A8E9" w14:textId="77777777" w:rsidR="00322313" w:rsidRPr="00A831E7" w:rsidRDefault="00322313" w:rsidP="00BB36DD">
            <w:pPr>
              <w:jc w:val="center"/>
              <w:rPr>
                <w:sz w:val="20"/>
                <w:szCs w:val="20"/>
              </w:rPr>
            </w:pPr>
            <w:r w:rsidRPr="00A831E7">
              <w:rPr>
                <w:sz w:val="20"/>
                <w:szCs w:val="20"/>
              </w:rPr>
              <w:t>&lt;24h</w:t>
            </w:r>
            <w:r w:rsidRPr="00A831E7">
              <w:rPr>
                <w:sz w:val="20"/>
                <w:szCs w:val="20"/>
              </w:rPr>
              <w:br/>
              <w:t>Ολικό αίμα</w:t>
            </w:r>
          </w:p>
        </w:tc>
        <w:tc>
          <w:tcPr>
            <w:tcW w:w="990" w:type="dxa"/>
            <w:tcBorders>
              <w:top w:val="single" w:sz="12" w:space="0" w:color="auto"/>
              <w:bottom w:val="single" w:sz="12" w:space="0" w:color="auto"/>
            </w:tcBorders>
            <w:shd w:val="clear" w:color="auto" w:fill="auto"/>
          </w:tcPr>
          <w:p w14:paraId="17A7BDE0" w14:textId="77777777" w:rsidR="00322313" w:rsidRPr="00A831E7" w:rsidRDefault="00322313" w:rsidP="00BB36DD">
            <w:pPr>
              <w:jc w:val="center"/>
              <w:rPr>
                <w:sz w:val="20"/>
                <w:szCs w:val="20"/>
              </w:rPr>
            </w:pPr>
            <w:r w:rsidRPr="00A831E7">
              <w:rPr>
                <w:sz w:val="20"/>
                <w:szCs w:val="20"/>
              </w:rPr>
              <w:t>IS-SMs</w:t>
            </w:r>
          </w:p>
        </w:tc>
        <w:tc>
          <w:tcPr>
            <w:tcW w:w="630" w:type="dxa"/>
            <w:tcBorders>
              <w:top w:val="single" w:sz="12" w:space="0" w:color="auto"/>
              <w:bottom w:val="single" w:sz="12" w:space="0" w:color="auto"/>
            </w:tcBorders>
            <w:shd w:val="clear" w:color="auto" w:fill="auto"/>
          </w:tcPr>
          <w:p w14:paraId="192BFBF1" w14:textId="0D210BD2" w:rsidR="00322313" w:rsidRPr="008F5904" w:rsidRDefault="00322313" w:rsidP="00BB36DD">
            <w:pPr>
              <w:jc w:val="center"/>
              <w:rPr>
                <w:sz w:val="18"/>
                <w:lang w:val="en-US"/>
              </w:rPr>
            </w:pPr>
            <w:r w:rsidRPr="00A831E7">
              <w:rPr>
                <w:sz w:val="18"/>
                <w:szCs w:val="18"/>
              </w:rPr>
              <w:t>0.98</w:t>
            </w:r>
            <w:r w:rsidR="0064729F" w:rsidRPr="00A831E7">
              <w:rPr>
                <w:sz w:val="18"/>
                <w:szCs w:val="18"/>
              </w:rPr>
              <w:t>0</w:t>
            </w:r>
          </w:p>
        </w:tc>
        <w:tc>
          <w:tcPr>
            <w:tcW w:w="630" w:type="dxa"/>
            <w:tcBorders>
              <w:top w:val="single" w:sz="12" w:space="0" w:color="auto"/>
              <w:bottom w:val="single" w:sz="12" w:space="0" w:color="auto"/>
            </w:tcBorders>
            <w:shd w:val="clear" w:color="auto" w:fill="auto"/>
          </w:tcPr>
          <w:p w14:paraId="476CFD8E" w14:textId="77777777" w:rsidR="00322313" w:rsidRPr="00A831E7" w:rsidRDefault="00322313" w:rsidP="00BB36DD">
            <w:pPr>
              <w:jc w:val="center"/>
              <w:rPr>
                <w:sz w:val="18"/>
                <w:szCs w:val="18"/>
              </w:rPr>
            </w:pPr>
            <w:r w:rsidRPr="00A831E7">
              <w:rPr>
                <w:sz w:val="18"/>
                <w:szCs w:val="18"/>
              </w:rPr>
              <w:t>-</w:t>
            </w:r>
          </w:p>
        </w:tc>
        <w:tc>
          <w:tcPr>
            <w:tcW w:w="630" w:type="dxa"/>
            <w:tcBorders>
              <w:top w:val="single" w:sz="12" w:space="0" w:color="auto"/>
              <w:bottom w:val="single" w:sz="12" w:space="0" w:color="auto"/>
            </w:tcBorders>
            <w:shd w:val="clear" w:color="auto" w:fill="auto"/>
          </w:tcPr>
          <w:p w14:paraId="3B48027C" w14:textId="77777777" w:rsidR="00322313" w:rsidRPr="00A831E7" w:rsidRDefault="00322313" w:rsidP="00BB36DD">
            <w:pPr>
              <w:jc w:val="center"/>
              <w:rPr>
                <w:sz w:val="18"/>
                <w:szCs w:val="18"/>
              </w:rPr>
            </w:pPr>
            <w:r w:rsidRPr="00A831E7">
              <w:rPr>
                <w:sz w:val="18"/>
                <w:szCs w:val="18"/>
              </w:rPr>
              <w:t>-</w:t>
            </w:r>
          </w:p>
        </w:tc>
        <w:tc>
          <w:tcPr>
            <w:tcW w:w="900" w:type="dxa"/>
            <w:tcBorders>
              <w:top w:val="single" w:sz="12" w:space="0" w:color="auto"/>
              <w:bottom w:val="single" w:sz="12" w:space="0" w:color="auto"/>
              <w:right w:val="single" w:sz="12" w:space="0" w:color="000000"/>
            </w:tcBorders>
            <w:shd w:val="clear" w:color="auto" w:fill="auto"/>
          </w:tcPr>
          <w:p w14:paraId="549416FA" w14:textId="208F08C8" w:rsidR="00322313" w:rsidRPr="00A831E7" w:rsidRDefault="00F35DEF" w:rsidP="00BB36DD">
            <w:pPr>
              <w:jc w:val="center"/>
              <w:rPr>
                <w:sz w:val="20"/>
                <w:szCs w:val="20"/>
              </w:rPr>
            </w:pPr>
            <w:r w:rsidRPr="00A831E7">
              <w:rPr>
                <w:sz w:val="20"/>
                <w:szCs w:val="20"/>
              </w:rPr>
              <w:fldChar w:fldCharType="begin"/>
            </w:r>
            <w:r w:rsidR="00B22777" w:rsidRPr="00A831E7">
              <w:rPr>
                <w:sz w:val="20"/>
                <w:szCs w:val="20"/>
              </w:rPr>
              <w:instrText xml:space="preserve"> ADDIN ZOTERO_ITEM CSL_CITATION {"citationID":"OEHDEvU9","properties":{"formattedCitation":"[71]","plainCitation":"[71]","noteIndex":0},"citationItems":[{"id":606,"uris":["http://zotero.org/users/local/mfHf28QG/items/SDSCZMT5"],"itemData":{"id":606,"type":"article-journal","abstract":"Our group recently identified a panel of ten genes whose RNA expression levels in whole blood have utility for detection of stroke. The purpose of this study was to determine the mechanisms by which these genes become differentially expressed during stroke pathology. First, we assessed the transcriptional distribution of the ten genes across the peripheral immune system by measuring their expression levels on isolated neutrophils, monocytes, B-lymphocytes, CD-4+ T-lymphocytes, CD-8+ T-lymphocytes, and NK cells generated from the blood of healthy donors (n=3). Then, we examined the relationship between the whole blood expression levels of the ten genes and white blood cell counts in a cohort of acute ischemic stroke patients (n=36) and acute stroke mimics (n=15) recruited at emergency department admission. All ten genes displayed strong patterns of lineage-specific expression in our analysis of isolated leukocytes, and their whole blood expression levels were correlated with white blood cell differential across the total patient population, suggesting that many of them are likely differentially expressed in whole blood during stroke as an artifact of stroke-induced shifts in leukocyte counts. Specifically, factor analysis inferred that over 50% of the collective variance in their whole blood expression levels across the patient population was driven by underlying variance in white blood cell counts alone. However, the cumulative expression levels of the ten genes displayed a superior ability to discriminate between stroke patients and stroke mimics over white blood cell differential, suggesting that additional less prominent factors influence their expression levels which add to their diagnostic utility. These findings not only provide insight regarding this particular panel of ten genes, but also into the results of prior stroke transcriptomics studies performed in whole blood.","container-title":"Translational stroke research","DOI":"10.1007/s12975-018-0623-1","ISSN":"1868-4483","issue":"1","journalAbbreviation":"Transl Stroke Res","note":"PMID: 29550910\nPMCID: PMC6141354","page":"26-35","source":"PubMed Central","title":"Shifts in leukocyte counts drive the differential expression of transcriptional stroke biomarkers in whole blood","volume":"10","author":[{"family":"O’Connell","given":"Grant C."},{"family":"Treadway","given":"Madison B."},{"family":"Tennant","given":"Connie S."},{"family":"Lucke-Wold","given":"Noelle"},{"family":"Chantler","given":"Paul D."},{"family":"Barr","given":"Taura L."}],"issued":{"date-parts":[["2019",2]]}},"suppress-author":true}],"schema":"https://github.com/citation-style-language/schema/raw/master/csl-citation.json"} </w:instrText>
            </w:r>
            <w:r w:rsidRPr="00A831E7">
              <w:rPr>
                <w:sz w:val="20"/>
                <w:szCs w:val="20"/>
              </w:rPr>
              <w:fldChar w:fldCharType="separate"/>
            </w:r>
            <w:r w:rsidR="006F6EE6" w:rsidRPr="006F6EE6">
              <w:rPr>
                <w:sz w:val="20"/>
              </w:rPr>
              <w:t>[71]</w:t>
            </w:r>
            <w:r w:rsidRPr="00A831E7">
              <w:rPr>
                <w:sz w:val="20"/>
                <w:szCs w:val="20"/>
              </w:rPr>
              <w:fldChar w:fldCharType="end"/>
            </w:r>
          </w:p>
        </w:tc>
      </w:tr>
    </w:tbl>
    <w:bookmarkEnd w:id="119"/>
    <w:p w14:paraId="4DD66986" w14:textId="6122DDE4" w:rsidR="00EB29AB" w:rsidRPr="008F5904" w:rsidRDefault="00EB29AB" w:rsidP="00547590">
      <w:pPr>
        <w:jc w:val="both"/>
        <w:rPr>
          <w:i/>
          <w:sz w:val="18"/>
        </w:rPr>
      </w:pPr>
      <w:r w:rsidRPr="00730D74">
        <w:rPr>
          <w:i/>
          <w:iCs/>
          <w:sz w:val="18"/>
          <w:szCs w:val="18"/>
          <w:lang w:val="en-US"/>
        </w:rPr>
        <w:t>Glial fibrillary acidic protein (GFAP), N-terminal pro-brain natriuretic peptide (NT-BNP), ubiquitin carboxy-terminal hydrolase L1 (UCH-L1), neurofilament light chain (NfL), Tau protein (Tau), asymmetric dimethylarginine (ADMA), symmetric dimethylarginine (SDMA), pregnenolone sulfate, adenosine, plexin domain-containing protein 2 (PLXDC2), serine/threonine kinase 3 (STK3), anthrax toxin receptor 2 (ANTXR2), kinesin family member 1B (KIF1B), CD163 molecule (CD163), cathepsin Z (CTSZ), pyruvate dehydrogenase kinase 4 (PDK4), Ischemic Stroke (IS), Normal Control group (NC), Intracerebral Hemorrhage (ICH) , Area Under Curve (AUC) ,</w:t>
      </w:r>
      <w:r w:rsidRPr="00730D74">
        <w:rPr>
          <w:i/>
          <w:iCs/>
          <w:lang w:val="en-US"/>
        </w:rPr>
        <w:t xml:space="preserve"> </w:t>
      </w:r>
      <w:r w:rsidRPr="00730D74">
        <w:rPr>
          <w:i/>
          <w:iCs/>
          <w:sz w:val="18"/>
          <w:szCs w:val="18"/>
          <w:lang w:val="en-US"/>
        </w:rPr>
        <w:t>enzyme-linked immunosorbent assay (ELISA).</w:t>
      </w:r>
    </w:p>
    <w:p w14:paraId="0AA5F00C" w14:textId="77777777" w:rsidR="002E0B64" w:rsidRPr="00730D74" w:rsidRDefault="002E0B64" w:rsidP="0057069D">
      <w:pPr>
        <w:pStyle w:val="4"/>
        <w:spacing w:line="360" w:lineRule="auto"/>
        <w:rPr>
          <w:rFonts w:eastAsia="Calibri"/>
          <w:b w:val="0"/>
          <w:bCs/>
          <w:color w:val="000000" w:themeColor="text1"/>
          <w:lang w:val="en-US"/>
        </w:rPr>
      </w:pPr>
      <w:r w:rsidRPr="00730D74">
        <w:rPr>
          <w:rFonts w:eastAsia="Calibri"/>
          <w:bCs/>
          <w:color w:val="000000" w:themeColor="text1"/>
          <w:lang w:val="en-US"/>
        </w:rPr>
        <w:lastRenderedPageBreak/>
        <w:t xml:space="preserve">GFAP </w:t>
      </w:r>
      <w:r w:rsidRPr="00A831E7">
        <w:rPr>
          <w:rFonts w:eastAsia="Calibri"/>
          <w:bCs/>
          <w:color w:val="000000" w:themeColor="text1"/>
        </w:rPr>
        <w:t>και</w:t>
      </w:r>
      <w:r w:rsidRPr="00730D74">
        <w:rPr>
          <w:rFonts w:eastAsia="Calibri"/>
          <w:bCs/>
          <w:color w:val="000000" w:themeColor="text1"/>
          <w:lang w:val="en-US"/>
        </w:rPr>
        <w:t xml:space="preserve"> NT-proBNP</w:t>
      </w:r>
    </w:p>
    <w:p w14:paraId="68238070" w14:textId="4767C41A" w:rsidR="0010194E" w:rsidRPr="00A831E7" w:rsidRDefault="002E0B64" w:rsidP="0057069D">
      <w:pPr>
        <w:spacing w:line="360" w:lineRule="auto"/>
        <w:jc w:val="both"/>
        <w:rPr>
          <w:rFonts w:eastAsia="Calibri"/>
        </w:rPr>
      </w:pPr>
      <w:r w:rsidRPr="00730D74">
        <w:rPr>
          <w:rFonts w:eastAsia="Calibri"/>
          <w:lang w:val="en-US"/>
        </w:rPr>
        <w:t xml:space="preserve"> </w:t>
      </w:r>
      <w:r w:rsidRPr="00730D74">
        <w:rPr>
          <w:rFonts w:eastAsia="Calibri"/>
          <w:lang w:val="en-US"/>
        </w:rPr>
        <w:tab/>
      </w:r>
      <w:r w:rsidRPr="00A831E7">
        <w:rPr>
          <w:rFonts w:eastAsia="Calibri"/>
        </w:rPr>
        <w:t>Η</w:t>
      </w:r>
      <w:r w:rsidRPr="00730D74">
        <w:rPr>
          <w:rFonts w:eastAsia="Calibri"/>
          <w:lang w:val="en-US"/>
        </w:rPr>
        <w:t xml:space="preserve"> </w:t>
      </w:r>
      <w:r w:rsidR="00806A90" w:rsidRPr="00A831E7">
        <w:rPr>
          <w:rFonts w:eastAsia="Calibri"/>
        </w:rPr>
        <w:t>πρωτεΐνη</w:t>
      </w:r>
      <w:r w:rsidRPr="00730D74">
        <w:rPr>
          <w:rFonts w:eastAsia="Calibri"/>
          <w:lang w:val="en-US"/>
        </w:rPr>
        <w:t xml:space="preserve"> GFAP (Glial Fibrillary Acidic Protein) </w:t>
      </w:r>
      <w:r w:rsidRPr="00A831E7">
        <w:rPr>
          <w:rFonts w:eastAsia="Calibri"/>
        </w:rPr>
        <w:t>και</w:t>
      </w:r>
      <w:r w:rsidRPr="00730D74">
        <w:rPr>
          <w:rFonts w:eastAsia="Calibri"/>
          <w:lang w:val="en-US"/>
        </w:rPr>
        <w:t xml:space="preserve"> </w:t>
      </w:r>
      <w:r w:rsidR="00806A90" w:rsidRPr="00A831E7">
        <w:rPr>
          <w:rFonts w:eastAsia="Calibri"/>
        </w:rPr>
        <w:t>το</w:t>
      </w:r>
      <w:r w:rsidRPr="00730D74">
        <w:rPr>
          <w:rFonts w:eastAsia="Calibri"/>
          <w:lang w:val="en-US"/>
        </w:rPr>
        <w:t xml:space="preserve"> </w:t>
      </w:r>
      <w:r w:rsidR="00806A90" w:rsidRPr="00A831E7">
        <w:rPr>
          <w:rFonts w:eastAsia="Calibri"/>
        </w:rPr>
        <w:t>πεπτίδιο</w:t>
      </w:r>
      <w:r w:rsidRPr="00730D74">
        <w:rPr>
          <w:rFonts w:eastAsia="Calibri"/>
          <w:lang w:val="en-US"/>
        </w:rPr>
        <w:t xml:space="preserve"> NT-proBNP (N-Terminal Pro B-Type Natriuretic Peptide) </w:t>
      </w:r>
      <w:r w:rsidR="00806A90" w:rsidRPr="00A831E7">
        <w:rPr>
          <w:rFonts w:eastAsia="Calibri"/>
        </w:rPr>
        <w:t>είναι</w:t>
      </w:r>
      <w:r w:rsidR="00806A90" w:rsidRPr="00730D74">
        <w:rPr>
          <w:rFonts w:eastAsia="Calibri"/>
          <w:lang w:val="en-US"/>
        </w:rPr>
        <w:t xml:space="preserve"> </w:t>
      </w:r>
      <w:r w:rsidR="00806A90" w:rsidRPr="00A831E7">
        <w:rPr>
          <w:rFonts w:eastAsia="Calibri"/>
        </w:rPr>
        <w:t>βιοδείκτες</w:t>
      </w:r>
      <w:r w:rsidR="00806A90" w:rsidRPr="00730D74">
        <w:rPr>
          <w:rFonts w:eastAsia="Calibri"/>
          <w:lang w:val="en-US"/>
        </w:rPr>
        <w:t xml:space="preserve"> </w:t>
      </w:r>
      <w:r w:rsidR="00806A90" w:rsidRPr="00A831E7">
        <w:rPr>
          <w:rFonts w:eastAsia="Calibri"/>
        </w:rPr>
        <w:t>αίματος</w:t>
      </w:r>
      <w:r w:rsidR="00806A90" w:rsidRPr="00730D74">
        <w:rPr>
          <w:rFonts w:eastAsia="Calibri"/>
          <w:lang w:val="en-US"/>
        </w:rPr>
        <w:t xml:space="preserve"> </w:t>
      </w:r>
      <w:r w:rsidR="00806A90" w:rsidRPr="00A831E7">
        <w:rPr>
          <w:rFonts w:eastAsia="Calibri"/>
        </w:rPr>
        <w:t>που</w:t>
      </w:r>
      <w:r w:rsidR="00806A90" w:rsidRPr="00730D74">
        <w:rPr>
          <w:rFonts w:eastAsia="Calibri"/>
          <w:lang w:val="en-US"/>
        </w:rPr>
        <w:t xml:space="preserve"> </w:t>
      </w:r>
      <w:r w:rsidR="00806A90" w:rsidRPr="00A831E7">
        <w:rPr>
          <w:rFonts w:eastAsia="Calibri"/>
        </w:rPr>
        <w:t>ξεχώρισαν</w:t>
      </w:r>
      <w:r w:rsidR="00806A90" w:rsidRPr="00730D74">
        <w:rPr>
          <w:rFonts w:eastAsia="Calibri"/>
          <w:lang w:val="en-US"/>
        </w:rPr>
        <w:t xml:space="preserve"> </w:t>
      </w:r>
      <w:r w:rsidR="00806A90" w:rsidRPr="00A831E7">
        <w:rPr>
          <w:rFonts w:eastAsia="Calibri"/>
        </w:rPr>
        <w:t>για</w:t>
      </w:r>
      <w:r w:rsidR="00806A90" w:rsidRPr="00730D74">
        <w:rPr>
          <w:rFonts w:eastAsia="Calibri"/>
          <w:lang w:val="en-US"/>
        </w:rPr>
        <w:t xml:space="preserve"> </w:t>
      </w:r>
      <w:r w:rsidR="00806A90" w:rsidRPr="00A831E7">
        <w:rPr>
          <w:rFonts w:eastAsia="Calibri"/>
        </w:rPr>
        <w:t>την</w:t>
      </w:r>
      <w:r w:rsidR="00806A90" w:rsidRPr="00730D74">
        <w:rPr>
          <w:rFonts w:eastAsia="Calibri"/>
          <w:lang w:val="en-US"/>
        </w:rPr>
        <w:t xml:space="preserve"> </w:t>
      </w:r>
      <w:r w:rsidR="00806A90" w:rsidRPr="00A831E7">
        <w:rPr>
          <w:rFonts w:eastAsia="Calibri"/>
        </w:rPr>
        <w:t>κλινική</w:t>
      </w:r>
      <w:r w:rsidR="00806A90" w:rsidRPr="00730D74">
        <w:rPr>
          <w:rFonts w:eastAsia="Calibri"/>
          <w:lang w:val="en-US"/>
        </w:rPr>
        <w:t xml:space="preserve"> </w:t>
      </w:r>
      <w:r w:rsidR="00806A90" w:rsidRPr="00A831E7">
        <w:rPr>
          <w:rFonts w:eastAsia="Calibri"/>
        </w:rPr>
        <w:t>αξία</w:t>
      </w:r>
      <w:r w:rsidR="00806A90" w:rsidRPr="00730D74">
        <w:rPr>
          <w:rFonts w:eastAsia="Calibri"/>
          <w:lang w:val="en-US"/>
        </w:rPr>
        <w:t xml:space="preserve"> </w:t>
      </w:r>
      <w:r w:rsidR="00806A90" w:rsidRPr="00A831E7">
        <w:rPr>
          <w:rFonts w:eastAsia="Calibri"/>
        </w:rPr>
        <w:t>τους</w:t>
      </w:r>
      <w:r w:rsidR="00806A90" w:rsidRPr="00730D74">
        <w:rPr>
          <w:rFonts w:eastAsia="Calibri"/>
          <w:lang w:val="en-US"/>
        </w:rPr>
        <w:t xml:space="preserve"> </w:t>
      </w:r>
      <w:r w:rsidR="00806A90" w:rsidRPr="00A831E7">
        <w:rPr>
          <w:rFonts w:eastAsia="Calibri"/>
        </w:rPr>
        <w:t>ανάμεσα</w:t>
      </w:r>
      <w:r w:rsidR="00806A90" w:rsidRPr="00730D74">
        <w:rPr>
          <w:rFonts w:eastAsia="Calibri"/>
          <w:lang w:val="en-US"/>
        </w:rPr>
        <w:t xml:space="preserve"> </w:t>
      </w:r>
      <w:r w:rsidR="00806A90" w:rsidRPr="00A831E7">
        <w:rPr>
          <w:rFonts w:eastAsia="Calibri"/>
        </w:rPr>
        <w:t>από</w:t>
      </w:r>
      <w:r w:rsidR="00806A90" w:rsidRPr="00730D74">
        <w:rPr>
          <w:rFonts w:eastAsia="Calibri"/>
          <w:lang w:val="en-US"/>
        </w:rPr>
        <w:t xml:space="preserve"> </w:t>
      </w:r>
      <w:r w:rsidR="00806A90" w:rsidRPr="00A831E7">
        <w:rPr>
          <w:rFonts w:eastAsia="Calibri"/>
        </w:rPr>
        <w:t>τους</w:t>
      </w:r>
      <w:r w:rsidR="00806A90" w:rsidRPr="00730D74">
        <w:rPr>
          <w:rFonts w:eastAsia="Calibri"/>
          <w:lang w:val="en-US"/>
        </w:rPr>
        <w:t xml:space="preserve"> </w:t>
      </w:r>
      <w:r w:rsidR="00806A90" w:rsidRPr="00A831E7">
        <w:rPr>
          <w:rFonts w:eastAsia="Calibri"/>
        </w:rPr>
        <w:t>δείκτες</w:t>
      </w:r>
      <w:r w:rsidR="00806A90" w:rsidRPr="00730D74">
        <w:rPr>
          <w:rFonts w:eastAsia="Calibri"/>
          <w:lang w:val="en-US"/>
        </w:rPr>
        <w:t xml:space="preserve"> </w:t>
      </w:r>
      <w:r w:rsidR="00806A90" w:rsidRPr="00A831E7">
        <w:rPr>
          <w:rFonts w:eastAsia="Calibri"/>
        </w:rPr>
        <w:t>που</w:t>
      </w:r>
      <w:r w:rsidR="00806A90" w:rsidRPr="00730D74">
        <w:rPr>
          <w:rFonts w:eastAsia="Calibri"/>
          <w:lang w:val="en-US"/>
        </w:rPr>
        <w:t xml:space="preserve"> </w:t>
      </w:r>
      <w:r w:rsidR="00806A90" w:rsidRPr="00A831E7">
        <w:rPr>
          <w:rFonts w:eastAsia="Calibri"/>
        </w:rPr>
        <w:t>διερευνήθηκαν</w:t>
      </w:r>
      <w:r w:rsidR="00806A90" w:rsidRPr="00730D74">
        <w:rPr>
          <w:rFonts w:eastAsia="Calibri"/>
          <w:lang w:val="en-US"/>
        </w:rPr>
        <w:t xml:space="preserve"> </w:t>
      </w:r>
      <w:r w:rsidR="00806A90" w:rsidRPr="00A831E7">
        <w:rPr>
          <w:rFonts w:eastAsia="Calibri"/>
        </w:rPr>
        <w:t>στην</w:t>
      </w:r>
      <w:r w:rsidR="00806A90" w:rsidRPr="00730D74">
        <w:rPr>
          <w:rFonts w:eastAsia="Calibri"/>
          <w:lang w:val="en-US"/>
        </w:rPr>
        <w:t xml:space="preserve"> </w:t>
      </w:r>
      <w:r w:rsidR="00806A90" w:rsidRPr="00A831E7">
        <w:rPr>
          <w:rFonts w:eastAsia="Calibri"/>
        </w:rPr>
        <w:t>μελέτη</w:t>
      </w:r>
      <w:r w:rsidR="00806A90" w:rsidRPr="00730D74">
        <w:rPr>
          <w:rFonts w:eastAsia="Calibri"/>
          <w:lang w:val="en-US"/>
        </w:rPr>
        <w:t xml:space="preserve"> </w:t>
      </w:r>
      <w:r w:rsidR="00806A90" w:rsidRPr="00A831E7">
        <w:rPr>
          <w:rFonts w:eastAsia="Calibri"/>
        </w:rPr>
        <w:t>των</w:t>
      </w:r>
      <w:r w:rsidR="00806A90" w:rsidRPr="00730D74">
        <w:rPr>
          <w:rFonts w:eastAsia="Calibri"/>
          <w:lang w:val="en-US"/>
        </w:rPr>
        <w:t xml:space="preserve"> Han et al.</w:t>
      </w:r>
      <w:r w:rsidRPr="00730D74">
        <w:rPr>
          <w:rFonts w:eastAsia="Calibri"/>
          <w:lang w:val="en-US"/>
        </w:rPr>
        <w:t xml:space="preserve"> </w:t>
      </w:r>
      <w:r w:rsidRPr="00A831E7">
        <w:rPr>
          <w:rFonts w:eastAsia="Calibri"/>
        </w:rPr>
        <w:fldChar w:fldCharType="begin"/>
      </w:r>
      <w:r w:rsidR="00B22777" w:rsidRPr="00730D74">
        <w:rPr>
          <w:rFonts w:eastAsia="Calibri"/>
          <w:lang w:val="en-US"/>
        </w:rPr>
        <w:instrText xml:space="preserve"> ADDIN ZOTERO_ITEM CSL_CITATION {"citationID":"4qRUzbnC","properties":{"formattedCitation":"[67]","plainCitation":"[67]","noteIndex":0},"citationItems":[{"id":348,"uris":["http://zotero.org/users/local/mfHf28QG/items/MKKSSDYZ"],"itemData":{"id":348,"type":"article-journal","abstract":"Acute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schema":"https://github.com/citation-style-language/schema/raw/master/csl-citation.json"} </w:instrText>
      </w:r>
      <w:r w:rsidRPr="00A831E7">
        <w:rPr>
          <w:rFonts w:eastAsia="Calibri"/>
        </w:rPr>
        <w:fldChar w:fldCharType="separate"/>
      </w:r>
      <w:r w:rsidR="00B22777" w:rsidRPr="00A831E7">
        <w:rPr>
          <w:rFonts w:eastAsia="Calibri"/>
        </w:rPr>
        <w:t>[67]</w:t>
      </w:r>
      <w:r w:rsidRPr="00A831E7">
        <w:rPr>
          <w:rFonts w:eastAsia="Calibri"/>
        </w:rPr>
        <w:fldChar w:fldCharType="end"/>
      </w:r>
      <w:r w:rsidRPr="00A831E7">
        <w:rPr>
          <w:rFonts w:eastAsia="Calibri"/>
        </w:rPr>
        <w:t xml:space="preserve">. </w:t>
      </w:r>
    </w:p>
    <w:p w14:paraId="5495639C" w14:textId="14437D8F" w:rsidR="0010194E" w:rsidRPr="00A831E7" w:rsidRDefault="002E0B64" w:rsidP="0057069D">
      <w:pPr>
        <w:spacing w:line="360" w:lineRule="auto"/>
        <w:ind w:firstLine="720"/>
        <w:jc w:val="both"/>
        <w:rPr>
          <w:rFonts w:eastAsia="Calibri"/>
        </w:rPr>
      </w:pPr>
      <w:r w:rsidRPr="00A831E7">
        <w:rPr>
          <w:rFonts w:eastAsia="Calibri"/>
        </w:rPr>
        <w:t>Η GFAP είναι μια ενδιάμεση</w:t>
      </w:r>
      <w:r w:rsidR="0010194E" w:rsidRPr="00A831E7">
        <w:rPr>
          <w:rFonts w:eastAsia="Calibri"/>
        </w:rPr>
        <w:t xml:space="preserve"> νηματοειδής</w:t>
      </w:r>
      <w:r w:rsidRPr="00A831E7">
        <w:rPr>
          <w:rFonts w:eastAsia="Calibri"/>
        </w:rPr>
        <w:t xml:space="preserve"> πρωτεΐνη που βρίσκεται στα αστροκύτταρα. Απελευθερώνεται στην κυκλοφορία του αίματος μετά από βλάβη αστροκυττ</w:t>
      </w:r>
      <w:r w:rsidR="0010194E" w:rsidRPr="00A831E7">
        <w:rPr>
          <w:rFonts w:eastAsia="Calibri"/>
        </w:rPr>
        <w:t>άρων</w:t>
      </w:r>
      <w:r w:rsidRPr="00A831E7">
        <w:rPr>
          <w:rFonts w:eastAsia="Calibri"/>
        </w:rPr>
        <w:t xml:space="preserve">, η οποία συμβαίνει γρήγορα σε αιμορραγικό εγκεφαλικό επεισόδιο (HS) λόγω νέκρωσης, αλλά </w:t>
      </w:r>
      <w:r w:rsidR="0010194E" w:rsidRPr="00A831E7">
        <w:rPr>
          <w:rFonts w:eastAsia="Calibri"/>
        </w:rPr>
        <w:t>για το ισχαιμικό (IS) απελευθερώνεται</w:t>
      </w:r>
      <w:r w:rsidRPr="00A831E7">
        <w:rPr>
          <w:rFonts w:eastAsia="Calibri"/>
        </w:rPr>
        <w:t xml:space="preserve"> 48-98 ώρες μετά την έναρξη</w:t>
      </w:r>
      <w:r w:rsidR="0010194E" w:rsidRPr="00A831E7">
        <w:rPr>
          <w:rFonts w:eastAsia="Calibri"/>
        </w:rPr>
        <w:t xml:space="preserve"> των συμπτωμάτων </w:t>
      </w:r>
      <w:r w:rsidR="0010194E" w:rsidRPr="00A831E7">
        <w:rPr>
          <w:rFonts w:eastAsia="Calibri"/>
        </w:rPr>
        <w:fldChar w:fldCharType="begin"/>
      </w:r>
      <w:r w:rsidR="00B22777" w:rsidRPr="00A831E7">
        <w:rPr>
          <w:rFonts w:eastAsia="Calibri"/>
        </w:rPr>
        <w:instrText xml:space="preserve"> ADDIN ZOTERO_ITEM CSL_CITATION {"citationID":"AbPwtJEk","properties":{"formattedCitation":"[67]","plainCitation":"[67]","noteIndex":0},"citationItems":[{"id":348,"uris":["http://zotero.org/users/local/mfHf28QG/items/MKKSSDYZ"],"itemData":{"id":348,"type":"article-journal","abstract":"Acute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schema":"https://github.com/citation-style-language/schema/raw/master/csl-citation.json"} </w:instrText>
      </w:r>
      <w:r w:rsidR="0010194E" w:rsidRPr="00A831E7">
        <w:rPr>
          <w:rFonts w:eastAsia="Calibri"/>
        </w:rPr>
        <w:fldChar w:fldCharType="separate"/>
      </w:r>
      <w:r w:rsidR="00B22777" w:rsidRPr="00A831E7">
        <w:rPr>
          <w:rFonts w:eastAsia="Calibri"/>
        </w:rPr>
        <w:t>[67]</w:t>
      </w:r>
      <w:r w:rsidR="0010194E" w:rsidRPr="00A831E7">
        <w:rPr>
          <w:rFonts w:eastAsia="Calibri"/>
        </w:rPr>
        <w:fldChar w:fldCharType="end"/>
      </w:r>
      <w:r w:rsidRPr="00A831E7">
        <w:rPr>
          <w:rFonts w:eastAsia="Calibri"/>
        </w:rPr>
        <w:t xml:space="preserve">. Αυτό εξηγεί γιατί τα επίπεδα </w:t>
      </w:r>
      <w:r w:rsidR="0010194E" w:rsidRPr="00A831E7">
        <w:rPr>
          <w:rFonts w:eastAsia="Calibri"/>
        </w:rPr>
        <w:t xml:space="preserve">της </w:t>
      </w:r>
      <w:r w:rsidRPr="00A831E7">
        <w:rPr>
          <w:rFonts w:eastAsia="Calibri"/>
        </w:rPr>
        <w:t xml:space="preserve">GFAP είναι σημαντικά υψηλότερα στο HS </w:t>
      </w:r>
      <w:r w:rsidR="0010194E" w:rsidRPr="00A831E7">
        <w:rPr>
          <w:rFonts w:eastAsia="Calibri"/>
        </w:rPr>
        <w:t xml:space="preserve">σε σχέση με το </w:t>
      </w:r>
      <w:r w:rsidRPr="00A831E7">
        <w:rPr>
          <w:rFonts w:eastAsia="Calibri"/>
        </w:rPr>
        <w:t xml:space="preserve">ισχαιμικό εγκεφαλικό επεισόδιο (IS). </w:t>
      </w:r>
    </w:p>
    <w:p w14:paraId="7E81C01D" w14:textId="795475EE" w:rsidR="002E0B64" w:rsidRPr="00A831E7" w:rsidRDefault="0010194E" w:rsidP="0057069D">
      <w:pPr>
        <w:spacing w:line="360" w:lineRule="auto"/>
        <w:ind w:firstLine="720"/>
        <w:jc w:val="both"/>
        <w:rPr>
          <w:rFonts w:eastAsia="Calibri"/>
        </w:rPr>
      </w:pPr>
      <w:r w:rsidRPr="00A831E7">
        <w:rPr>
          <w:rFonts w:eastAsia="Calibri"/>
        </w:rPr>
        <w:t>Το</w:t>
      </w:r>
      <w:r w:rsidR="002E0B64" w:rsidRPr="00A831E7">
        <w:rPr>
          <w:rFonts w:eastAsia="Calibri"/>
        </w:rPr>
        <w:t xml:space="preserve"> NT-proBNP </w:t>
      </w:r>
      <w:r w:rsidRPr="00A831E7">
        <w:rPr>
          <w:rFonts w:eastAsia="Calibri"/>
        </w:rPr>
        <w:t xml:space="preserve">πεπτίδιο </w:t>
      </w:r>
      <w:r w:rsidR="002E0B64" w:rsidRPr="00A831E7">
        <w:rPr>
          <w:rFonts w:eastAsia="Calibri"/>
        </w:rPr>
        <w:t>είναι ένας καρδιακός βιοδείκτης που σχετίζεται με καρδιαγγειακό στρες και</w:t>
      </w:r>
      <w:r w:rsidRPr="00A831E7">
        <w:rPr>
          <w:rFonts w:eastAsia="Calibri"/>
        </w:rPr>
        <w:t xml:space="preserve"> την</w:t>
      </w:r>
      <w:r w:rsidR="002E0B64" w:rsidRPr="00A831E7">
        <w:rPr>
          <w:rFonts w:eastAsia="Calibri"/>
        </w:rPr>
        <w:t xml:space="preserve"> καρδιακή ανεπάρκεια </w:t>
      </w:r>
      <w:r w:rsidRPr="00A831E7">
        <w:rPr>
          <w:rFonts w:eastAsia="Calibri"/>
        </w:rPr>
        <w:fldChar w:fldCharType="begin"/>
      </w:r>
      <w:r w:rsidR="00B22777" w:rsidRPr="00A831E7">
        <w:rPr>
          <w:rFonts w:eastAsia="Calibri"/>
        </w:rPr>
        <w:instrText xml:space="preserve"> ADDIN ZOTERO_ITEM CSL_CITATION {"citationID":"2LUwHx8z","properties":{"formattedCitation":"[67]","plainCitation":"[67]","noteIndex":0},"citationItems":[{"id":348,"uris":["http://zotero.org/users/local/mfHf28QG/items/MKKSSDYZ"],"itemData":{"id":348,"type":"article-journal","abstract":"Acute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schema":"https://github.com/citation-style-language/schema/raw/master/csl-citation.json"} </w:instrText>
      </w:r>
      <w:r w:rsidRPr="00A831E7">
        <w:rPr>
          <w:rFonts w:eastAsia="Calibri"/>
        </w:rPr>
        <w:fldChar w:fldCharType="separate"/>
      </w:r>
      <w:r w:rsidR="00B22777" w:rsidRPr="00A831E7">
        <w:rPr>
          <w:rFonts w:eastAsia="Calibri"/>
        </w:rPr>
        <w:t>[67]</w:t>
      </w:r>
      <w:r w:rsidRPr="00A831E7">
        <w:rPr>
          <w:rFonts w:eastAsia="Calibri"/>
        </w:rPr>
        <w:fldChar w:fldCharType="end"/>
      </w:r>
      <w:r w:rsidR="002E0B64" w:rsidRPr="00A831E7">
        <w:rPr>
          <w:rFonts w:eastAsia="Calibri"/>
        </w:rPr>
        <w:t xml:space="preserve">. </w:t>
      </w:r>
      <w:r w:rsidRPr="00A831E7">
        <w:rPr>
          <w:rFonts w:eastAsia="Calibri"/>
        </w:rPr>
        <w:t xml:space="preserve">Τα επίπεδά του αυξάνονται στο ισχαιμικό εγκεφαλικό, ιδιαίτερα στον καρδιοεμβολικό τύπο </w:t>
      </w:r>
      <w:r w:rsidRPr="00A831E7">
        <w:rPr>
          <w:rFonts w:eastAsia="Calibri"/>
        </w:rPr>
        <w:fldChar w:fldCharType="begin"/>
      </w:r>
      <w:r w:rsidR="00B22777" w:rsidRPr="00A831E7">
        <w:rPr>
          <w:rFonts w:eastAsia="Calibri"/>
        </w:rPr>
        <w:instrText xml:space="preserve"> ADDIN ZOTERO_ITEM CSL_CITATION {"citationID":"P108SSEY","properties":{"formattedCitation":"[72]","plainCitation":"[72]","noteIndex":0},"citationItems":[{"id":1711,"uris":["http://zotero.org/users/local/mfHf28QG/items/EAECQVQI"],"itemData":{"id":1711,"type":"article-journal","abstract":"BACKGROUND AND PURPOSE: Atrial fibrillation (AF) is a major risk factor for ischemic stroke and its prevalence increases steeply with age. Population-based data on its influence on stroke outcome are scarce.\nMETHODS: We evaluated the prevalence of AF and its influence on prognosis in patients with a first-ever ischemic stroke from a population-based registry.\nRESULTS: The presence of AF at stroke onset and during the acute phase was confirmed by a standard electrocardiogram in 869 (24.6%) of 3530 patients with ischemic stroke. With respect to patients without the arrhythmia, those with AF were more frequently women, aged 80 years and older, with coronary heart disease and peripheral arterial disease. The presence of AF was associated with high 30-day (32.5%; 95% CI, 29.3 to 35.6) and 1-year case-fatality rates (49.5%; 95% CI, 46.2 to 52.8), with a higher stroke recurrence rate within the first year of follow-up (6.6% versus 4.4%; P=0.046) and with the worst survival after an average follow-up of 45.2 months (P&lt;0.0001). At the multivariate Cox regression analysis, AF was an independent predictor of 30-day and 1-year mortality. Approximately 17% of all deaths were attributable to the presence of AF.\nCONCLUSIONS: We found a high prevalence of AF in patients with a first-ever ischemic stroke, especially among elderly women. The overall contribution of AF to stroke mortality was relevant, suggesting that together with new strategies to prevent the development of the arrhythmia more appropriate treatments are needed, mostly in elderly women.","container-title":"Stroke","DOI":"10.1161/01.STR.0000166053.83476.4a","ISSN":"1524-4628","issue":"6","journalAbbreviation":"Stroke","language":"eng","note":"PMID: 15879330","page":"1115-1119","source":"PubMed","title":"Contribution of atrial fibrillation to incidence and outcome of ischemic stroke: results from a population-based study","title-short":"Contribution of atrial fibrillation to incidence and outcome of ischemic stroke","volume":"36","author":[{"family":"Marini","given":"Carmine"},{"family":"De Santis","given":"Federica"},{"family":"Sacco","given":"Simona"},{"family":"Russo","given":"Tommasina"},{"family":"Olivieri","given":"Luigi"},{"family":"Totaro","given":"Rocco"},{"family":"Carolei","given":"Antonio"}],"issued":{"date-parts":[["2005",6]]}},"suppress-author":true}],"schema":"https://github.com/citation-style-language/schema/raw/master/csl-citation.json"} </w:instrText>
      </w:r>
      <w:r w:rsidRPr="00A831E7">
        <w:rPr>
          <w:rFonts w:eastAsia="Calibri"/>
        </w:rPr>
        <w:fldChar w:fldCharType="separate"/>
      </w:r>
      <w:r w:rsidR="00B22777" w:rsidRPr="00A831E7">
        <w:rPr>
          <w:rFonts w:eastAsia="Calibri"/>
        </w:rPr>
        <w:t>[72]</w:t>
      </w:r>
      <w:r w:rsidRPr="00A831E7">
        <w:rPr>
          <w:rFonts w:eastAsia="Calibri"/>
        </w:rPr>
        <w:fldChar w:fldCharType="end"/>
      </w:r>
      <w:r w:rsidRPr="00A831E7">
        <w:rPr>
          <w:rFonts w:eastAsia="Calibri"/>
        </w:rPr>
        <w:t xml:space="preserve">. Αντίθετα, οι ασθενείς με HS εμφανίζουν χαμηλότερα επίπεδα NT-proBNP, γεγονός που το καθιστά χρήσιμο για τη διαφοροποίηση μεταξύ των δύο υποτύπων </w:t>
      </w:r>
      <w:r w:rsidRPr="00A831E7">
        <w:rPr>
          <w:rFonts w:eastAsia="Calibri"/>
        </w:rPr>
        <w:fldChar w:fldCharType="begin"/>
      </w:r>
      <w:r w:rsidR="00B22777" w:rsidRPr="00A831E7">
        <w:rPr>
          <w:rFonts w:eastAsia="Calibri"/>
        </w:rPr>
        <w:instrText xml:space="preserve"> ADDIN ZOTERO_ITEM CSL_CITATION {"citationID":"KzRPT20e","properties":{"formattedCitation":"[73]","plainCitation":"[73]","noteIndex":0},"citationItems":[{"id":1708,"uris":["http://zotero.org/users/local/mfHf28QG/items/8LFFLUQ7"],"itemData":{"id":1708,"type":"article-journal","abstract":"Few studies correlated n-terminal pro-brain natriuretic peptide (NT-proBNP) with early neurological deterioration (END) and prognosis of acute ischaemic stroke (AIS) patients with rt-PA intravenous thrombolysis. Therefore this study aimed to investigate the relationship between NT-proBNP and END, and prognosis after intravenous thrombolysis in patients with AIS.","container-title":"BMC Neurology","DOI":"10.1186/s12883-023-03222-6","ISSN":"1471-2377","issue":"1","journalAbbreviation":"BMC Neurology","page":"203","source":"BioMed Central","title":"Elevated NT-proBNP predicts unfavorable outcomes in patients with acute ischemic stroke after thrombolytic therapy","volume":"23","author":[{"family":"Zhu","given":"Zhuang"},{"family":"Muhammad","given":"Bilal"},{"family":"Du","given":"Bo"},{"family":"Gu","given":"Ning"},{"family":"Meng","given":"Tian-Yue"},{"family":"Kan","given":"Shu"},{"family":"Mu","given":"Ying-Feng"},{"family":"Cheng","given":"Yan-Bo"},{"family":"Zhu","given":"Shi-Guang"},{"family":"Geng","given":"De-Qin"}],"issued":{"date-parts":[["2023",5,23]]}},"suppress-author":true}],"schema":"https://github.com/citation-style-language/schema/raw/master/csl-citation.json"} </w:instrText>
      </w:r>
      <w:r w:rsidRPr="00A831E7">
        <w:rPr>
          <w:rFonts w:eastAsia="Calibri"/>
        </w:rPr>
        <w:fldChar w:fldCharType="separate"/>
      </w:r>
      <w:r w:rsidR="00B22777" w:rsidRPr="00A831E7">
        <w:rPr>
          <w:rFonts w:eastAsia="Calibri"/>
        </w:rPr>
        <w:t>[73]</w:t>
      </w:r>
      <w:r w:rsidRPr="00A831E7">
        <w:rPr>
          <w:rFonts w:eastAsia="Calibri"/>
        </w:rPr>
        <w:fldChar w:fldCharType="end"/>
      </w:r>
      <w:r w:rsidRPr="00A831E7">
        <w:rPr>
          <w:rFonts w:eastAsia="Calibri"/>
        </w:rPr>
        <w:t>.</w:t>
      </w:r>
    </w:p>
    <w:p w14:paraId="52B408B4" w14:textId="288C2D24" w:rsidR="002E0B64" w:rsidRPr="00A831E7" w:rsidRDefault="002E0B64" w:rsidP="0057069D">
      <w:pPr>
        <w:spacing w:line="360" w:lineRule="auto"/>
        <w:ind w:firstLine="720"/>
        <w:jc w:val="both"/>
        <w:rPr>
          <w:rFonts w:eastAsia="Calibri"/>
        </w:rPr>
      </w:pPr>
      <w:r w:rsidRPr="00A831E7">
        <w:rPr>
          <w:rFonts w:eastAsia="Calibri"/>
        </w:rPr>
        <w:t>Η μελέτη ανέλυσε δείγματα αίματος από ασθενείς με εγκεφαλικό επεισόδιο εντός έξι ωρών από την έναρξη των συμπτωμάτων</w:t>
      </w:r>
      <w:r w:rsidR="003040F1" w:rsidRPr="00A831E7">
        <w:rPr>
          <w:rFonts w:eastAsia="Calibri"/>
        </w:rPr>
        <w:t>.</w:t>
      </w:r>
      <w:r w:rsidRPr="00A831E7">
        <w:rPr>
          <w:rFonts w:eastAsia="Calibri"/>
        </w:rPr>
        <w:t xml:space="preserve"> Τα </w:t>
      </w:r>
      <w:r w:rsidR="00806A90" w:rsidRPr="00A831E7">
        <w:rPr>
          <w:rFonts w:eastAsia="Calibri"/>
        </w:rPr>
        <w:t>ευρήματα</w:t>
      </w:r>
      <w:r w:rsidRPr="00A831E7">
        <w:rPr>
          <w:rFonts w:eastAsia="Calibri"/>
        </w:rPr>
        <w:t xml:space="preserve"> </w:t>
      </w:r>
      <w:r w:rsidR="00806A90" w:rsidRPr="00A831E7">
        <w:rPr>
          <w:rFonts w:eastAsia="Calibri"/>
        </w:rPr>
        <w:t>της</w:t>
      </w:r>
      <w:r w:rsidR="003040F1" w:rsidRPr="00A831E7">
        <w:rPr>
          <w:rFonts w:eastAsia="Calibri"/>
        </w:rPr>
        <w:t xml:space="preserve"> </w:t>
      </w:r>
      <w:r w:rsidR="00806A90" w:rsidRPr="00A831E7">
        <w:rPr>
          <w:rFonts w:eastAsia="Calibri"/>
        </w:rPr>
        <w:t>μελέτης</w:t>
      </w:r>
      <w:r w:rsidRPr="00A831E7">
        <w:rPr>
          <w:rFonts w:eastAsia="Calibri"/>
        </w:rPr>
        <w:t xml:space="preserve"> </w:t>
      </w:r>
      <w:r w:rsidR="00806A90" w:rsidRPr="00A831E7">
        <w:rPr>
          <w:rFonts w:eastAsia="Calibri"/>
        </w:rPr>
        <w:t>έδειξαν ότι</w:t>
      </w:r>
      <w:r w:rsidRPr="00A831E7">
        <w:rPr>
          <w:rFonts w:eastAsia="Calibri"/>
        </w:rPr>
        <w:t>:</w:t>
      </w:r>
    </w:p>
    <w:p w14:paraId="262A5E4C" w14:textId="1B70E123" w:rsidR="003040F1" w:rsidRPr="00A831E7" w:rsidRDefault="002E0B64" w:rsidP="0057069D">
      <w:pPr>
        <w:pStyle w:val="a6"/>
        <w:numPr>
          <w:ilvl w:val="0"/>
          <w:numId w:val="17"/>
        </w:numPr>
        <w:spacing w:line="360" w:lineRule="auto"/>
        <w:ind w:left="180" w:hanging="180"/>
        <w:jc w:val="both"/>
        <w:rPr>
          <w:rFonts w:eastAsia="Calibri"/>
        </w:rPr>
      </w:pPr>
      <w:r w:rsidRPr="00A831E7">
        <w:rPr>
          <w:rFonts w:eastAsia="Calibri"/>
        </w:rPr>
        <w:t xml:space="preserve"> Τα επίπεδα GFAP (&gt;703 pg/mL) ήταν σημαντικά υψηλότερα στο HS από το IS (διάμεση τιμή 2171 έναντι 213,8 pg/mL, p &lt; 0,001), </w:t>
      </w:r>
      <w:r w:rsidR="003040F1" w:rsidRPr="00A831E7">
        <w:rPr>
          <w:rFonts w:eastAsia="Calibri"/>
        </w:rPr>
        <w:t xml:space="preserve">υποδεικνύοντας </w:t>
      </w:r>
      <w:r w:rsidRPr="00A831E7">
        <w:rPr>
          <w:rFonts w:eastAsia="Calibri"/>
        </w:rPr>
        <w:t xml:space="preserve">ταχεία αστροκυτταρική βλάβη σε </w:t>
      </w:r>
      <w:r w:rsidR="003040F1" w:rsidRPr="00A831E7">
        <w:rPr>
          <w:rFonts w:eastAsia="Calibri"/>
        </w:rPr>
        <w:t>HS.</w:t>
      </w:r>
    </w:p>
    <w:p w14:paraId="22AEF89B" w14:textId="77777777" w:rsidR="003040F1" w:rsidRPr="00A831E7" w:rsidRDefault="002E0B64" w:rsidP="0057069D">
      <w:pPr>
        <w:pStyle w:val="a6"/>
        <w:numPr>
          <w:ilvl w:val="0"/>
          <w:numId w:val="17"/>
        </w:numPr>
        <w:spacing w:line="360" w:lineRule="auto"/>
        <w:ind w:left="180" w:hanging="180"/>
        <w:jc w:val="both"/>
        <w:rPr>
          <w:rFonts w:eastAsia="Calibri"/>
        </w:rPr>
      </w:pPr>
      <w:r w:rsidRPr="00A831E7">
        <w:rPr>
          <w:rFonts w:eastAsia="Calibri"/>
        </w:rPr>
        <w:t xml:space="preserve"> Οι συγκεντρώσεις NT-proBNP ήταν χαμηλότερες στο HS σε σύγκριση με το IS (διάμεση τιμή 44,2 έναντι 312 pg/ml, p &lt; 0,001).</w:t>
      </w:r>
    </w:p>
    <w:p w14:paraId="1347BDCB" w14:textId="4804BD7C" w:rsidR="002E0B64" w:rsidRPr="00A831E7" w:rsidRDefault="002E0B64" w:rsidP="0057069D">
      <w:pPr>
        <w:pStyle w:val="a6"/>
        <w:numPr>
          <w:ilvl w:val="0"/>
          <w:numId w:val="17"/>
        </w:numPr>
        <w:spacing w:line="360" w:lineRule="auto"/>
        <w:ind w:left="180" w:hanging="180"/>
        <w:jc w:val="both"/>
        <w:rPr>
          <w:rFonts w:eastAsia="Calibri"/>
        </w:rPr>
      </w:pPr>
      <w:r w:rsidRPr="00A831E7">
        <w:rPr>
          <w:rFonts w:eastAsia="Calibri"/>
        </w:rPr>
        <w:t xml:space="preserve">Ο συνδυασμός GFAP και NT-proBNP βελτίωσε την ειδικότητα </w:t>
      </w:r>
      <w:r w:rsidR="003040F1" w:rsidRPr="00A831E7">
        <w:rPr>
          <w:rFonts w:eastAsia="Calibri"/>
        </w:rPr>
        <w:t>σ</w:t>
      </w:r>
      <w:r w:rsidRPr="00A831E7">
        <w:rPr>
          <w:rFonts w:eastAsia="Calibri"/>
        </w:rPr>
        <w:t>την ανίχνευση HS (έως και 100% PPV στ</w:t>
      </w:r>
      <w:r w:rsidR="003040F1" w:rsidRPr="00A831E7">
        <w:rPr>
          <w:rFonts w:eastAsia="Calibri"/>
        </w:rPr>
        <w:t>ο σετ</w:t>
      </w:r>
      <w:r w:rsidRPr="00A831E7">
        <w:rPr>
          <w:rFonts w:eastAsia="Calibri"/>
        </w:rPr>
        <w:t xml:space="preserve"> επικύρωσης), μειώνοντας τ</w:t>
      </w:r>
      <w:r w:rsidR="003040F1" w:rsidRPr="00A831E7">
        <w:rPr>
          <w:rFonts w:eastAsia="Calibri"/>
        </w:rPr>
        <w:t>ον κίνδυνο</w:t>
      </w:r>
      <w:r w:rsidRPr="00A831E7">
        <w:rPr>
          <w:rFonts w:eastAsia="Calibri"/>
        </w:rPr>
        <w:t xml:space="preserve"> εσφαλμένης ταξινόμησης.</w:t>
      </w:r>
    </w:p>
    <w:p w14:paraId="174D2EEE" w14:textId="736F8EC1" w:rsidR="0066323E" w:rsidRPr="00A831E7" w:rsidRDefault="002E0B64" w:rsidP="0057069D">
      <w:pPr>
        <w:spacing w:line="360" w:lineRule="auto"/>
        <w:ind w:firstLine="720"/>
        <w:jc w:val="both"/>
        <w:rPr>
          <w:rFonts w:eastAsia="Calibri"/>
        </w:rPr>
      </w:pPr>
      <w:r w:rsidRPr="00A831E7">
        <w:rPr>
          <w:rFonts w:eastAsia="Calibri"/>
        </w:rPr>
        <w:t>Η μελέτη ενισχύει τ</w:t>
      </w:r>
      <w:r w:rsidR="003040F1" w:rsidRPr="00A831E7">
        <w:rPr>
          <w:rFonts w:eastAsia="Calibri"/>
        </w:rPr>
        <w:t>η διαγνωστική αξία</w:t>
      </w:r>
      <w:r w:rsidRPr="00A831E7">
        <w:rPr>
          <w:rFonts w:eastAsia="Calibri"/>
        </w:rPr>
        <w:t xml:space="preserve"> των GFAP και NT-proBNP στη διάκριση των υποτύπων εγκεφαλικού επεισοδίου </w:t>
      </w:r>
      <w:r w:rsidR="003040F1" w:rsidRPr="00A831E7">
        <w:rPr>
          <w:rFonts w:eastAsia="Calibri"/>
        </w:rPr>
        <w:t>κοντά στην έναρξη των συμπτωμάτων</w:t>
      </w:r>
      <w:r w:rsidRPr="00A831E7">
        <w:rPr>
          <w:rFonts w:eastAsia="Calibri"/>
        </w:rPr>
        <w:t>, όπου η άμεση παρέμβαση είναι κρίσιμη.</w:t>
      </w:r>
      <w:r w:rsidR="003040F1" w:rsidRPr="00A831E7">
        <w:rPr>
          <w:rFonts w:eastAsia="Calibri"/>
        </w:rPr>
        <w:t xml:space="preserve"> Επιπλέον, δείχνει ότι αστροκυτταρικοί και καρδιακοί βιοδείκτες έχουν μεγαλύτερη προγνωστική αξία στην πρώιμη ταξινόμηση εγκεφαλικών επεισοδίων από ό,τι γενικοί φλεγμονώδεις δείκτες</w:t>
      </w:r>
      <w:r w:rsidR="000A30AC">
        <w:rPr>
          <w:rFonts w:eastAsia="Calibri"/>
        </w:rPr>
        <w:t>(</w:t>
      </w:r>
      <w:r w:rsidR="000A30AC" w:rsidRPr="000A30AC">
        <w:rPr>
          <w:rFonts w:eastAsia="Calibri"/>
        </w:rPr>
        <w:t xml:space="preserve">NF-L, copeptin, </w:t>
      </w:r>
      <w:r w:rsidR="000A30AC">
        <w:rPr>
          <w:rFonts w:eastAsia="Calibri"/>
        </w:rPr>
        <w:t>και</w:t>
      </w:r>
      <w:r w:rsidR="000A30AC" w:rsidRPr="000A30AC">
        <w:rPr>
          <w:rFonts w:eastAsia="Calibri"/>
        </w:rPr>
        <w:t xml:space="preserve"> NLR</w:t>
      </w:r>
      <w:r w:rsidR="000A30AC">
        <w:rPr>
          <w:rFonts w:eastAsia="Calibri"/>
        </w:rPr>
        <w:t xml:space="preserve">) </w:t>
      </w:r>
      <w:r w:rsidR="000A30AC" w:rsidRPr="00A831E7">
        <w:rPr>
          <w:rFonts w:eastAsia="Calibri"/>
        </w:rPr>
        <w:fldChar w:fldCharType="begin"/>
      </w:r>
      <w:r w:rsidR="006F6EE6">
        <w:rPr>
          <w:rFonts w:eastAsia="Calibri"/>
        </w:rPr>
        <w:instrText xml:space="preserve"> ADDIN ZOTERO_ITEM CSL_CITATION {"citationID":"RVhu0C3A","properties":{"formattedCitation":"[67]","plainCitation":"[67]","noteIndex":0},"citationItems":[{"id":348,"uris":["http://zotero.org/users/local/mfHf28QG/items/MKKSSDYZ"],"itemData":{"id":348,"type":"article-journal","abstract":"Acute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schema":"https://github.com/citation-style-language/schema/raw/master/csl-citation.json"} </w:instrText>
      </w:r>
      <w:r w:rsidR="000A30AC" w:rsidRPr="00A831E7">
        <w:rPr>
          <w:rFonts w:eastAsia="Calibri"/>
        </w:rPr>
        <w:fldChar w:fldCharType="separate"/>
      </w:r>
      <w:r w:rsidR="000A30AC" w:rsidRPr="00A831E7">
        <w:rPr>
          <w:rFonts w:eastAsia="Calibri"/>
        </w:rPr>
        <w:t>[67]</w:t>
      </w:r>
      <w:r w:rsidR="000A30AC" w:rsidRPr="00A831E7">
        <w:rPr>
          <w:rFonts w:eastAsia="Calibri"/>
        </w:rPr>
        <w:fldChar w:fldCharType="end"/>
      </w:r>
      <w:r w:rsidR="003040F1" w:rsidRPr="00A831E7">
        <w:rPr>
          <w:rFonts w:eastAsia="Calibri"/>
        </w:rPr>
        <w:t>.</w:t>
      </w:r>
    </w:p>
    <w:p w14:paraId="24937FD1" w14:textId="77777777" w:rsidR="003040F1" w:rsidRPr="00A831E7" w:rsidRDefault="003040F1" w:rsidP="0057069D">
      <w:pPr>
        <w:spacing w:line="360" w:lineRule="auto"/>
        <w:jc w:val="both"/>
        <w:rPr>
          <w:rFonts w:eastAsia="Calibri"/>
        </w:rPr>
      </w:pPr>
    </w:p>
    <w:p w14:paraId="05D52BA5" w14:textId="71A4741C" w:rsidR="003040F1" w:rsidRPr="00A831E7" w:rsidRDefault="003040F1" w:rsidP="0057069D">
      <w:pPr>
        <w:pStyle w:val="4"/>
        <w:spacing w:line="360" w:lineRule="auto"/>
        <w:rPr>
          <w:rFonts w:eastAsia="Calibri"/>
          <w:b w:val="0"/>
          <w:bCs/>
          <w:color w:val="000000" w:themeColor="text1"/>
        </w:rPr>
      </w:pPr>
      <w:r w:rsidRPr="00A831E7">
        <w:rPr>
          <w:rFonts w:eastAsia="Calibri"/>
          <w:bCs/>
          <w:color w:val="000000" w:themeColor="text1"/>
        </w:rPr>
        <w:t>GFAP και UCH-L1</w:t>
      </w:r>
    </w:p>
    <w:p w14:paraId="612979CE" w14:textId="1CCC9593" w:rsidR="003040F1" w:rsidRPr="00A831E7" w:rsidRDefault="003040F1" w:rsidP="0057069D">
      <w:pPr>
        <w:spacing w:line="360" w:lineRule="auto"/>
        <w:ind w:firstLine="720"/>
        <w:jc w:val="both"/>
        <w:rPr>
          <w:rFonts w:eastAsia="Calibri"/>
        </w:rPr>
      </w:pPr>
      <w:r w:rsidRPr="00A831E7">
        <w:rPr>
          <w:rFonts w:eastAsia="Calibri"/>
        </w:rPr>
        <w:t>Η μελέτη του Luger et al</w:t>
      </w:r>
      <w:r w:rsidR="00D06D18" w:rsidRPr="00A831E7">
        <w:rPr>
          <w:rFonts w:eastAsia="Calibri"/>
        </w:rPr>
        <w:t xml:space="preserve">. </w:t>
      </w:r>
      <w:r w:rsidR="00D06D18" w:rsidRPr="00A831E7">
        <w:rPr>
          <w:rFonts w:eastAsia="Calibri"/>
        </w:rPr>
        <w:fldChar w:fldCharType="begin"/>
      </w:r>
      <w:r w:rsidR="00B22777" w:rsidRPr="00A831E7">
        <w:rPr>
          <w:rFonts w:eastAsia="Calibri"/>
        </w:rPr>
        <w:instrText xml:space="preserve"> ADDIN ZOTERO_ITEM CSL_CITATION {"citationID":"OCBui2be","properties":{"formattedCitation":"[68]","plainCitation":"[68]","noteIndex":0},"citationItems":[{"id":514,"uris":["http://zotero.org/users/local/mfHf28QG/items/FTRRT6DL"],"itemData":{"id":514,"type":"article-journal","abstract":"BACKGROUND: Biomarkers indicative of intracerebral hemorrhage (ICH) may help triage acute stroke patients in the pre-hospital phase. We hypothesized that serum concentration of glial fibrillary acidic protein (GFAP) in combination with ubiquitin carboxy-terminal hydrolase-L1 (UCH-L1), measured by a rapid bio-assay, could be used to distinguish ICH from ischemic stroke.\nMETHODS: This prospective two-center study recruited patients with a clinical diagnosis of acute stroke both in the pre-hospital phase and at hospital admission (within 4 and 6 h after symptom onset, respectively). Blood samples were analyzed for concentrations of GFAP and UCH-L1 using ELISA techniques. The reference standard was the diagnosis of ICH, ischemic stroke, or stroke mimicking condition achieved after clinical workup including brain imaging.\nRESULTS: A total of 251 patients were included (mean age [± SD] 72 ± 15 years; 5 ICH, 23 ischemic strokes and 14 stroke mimics in the pre-hospital part; and 59 ICH, 148 ischemic strokes and 2 stroke mimics in the in-hospital part). Mean delay (± SD) from symptom onset to blood withdrawal was 130 ± 79 min for the pre-hospital patients and 136 ± 86 min for the in-hospital patients. Both GFAP and UCH-L1 serum concentrations were higher in patients having ICH as compared to other diagnoses (GFAP: median 330 ng/L [interquartile range 64-7060, range 8-56,100] vs. 27.5 ng/L [14-57.25, 0-781], p &lt; 0.001; UCH-L1: 401 ng/L [265-764, 133-1812] vs. 338 ng/L [213-549.5, 0-2950], p = 0.025). Area-under-the-curve values were 0.866 (95% CI 0.809-0.924, p &lt; 0.001) for GFAP, and 0.590 (0.511-0.670, p = 0.033) for UCH-L1. Regarding overall diagnostic accuracy, UCH-L1 did not add significantly to the performance of GFAP.\nCONCLUSIONS: GFAP may differentiate ICH from ischemic stroke and stroke mimics. A point-of-care test to distinguish between ischemic and hemorrhagic strokes might facilitate triage to different treatment pathways or locations, or be used to select patients for trials of ultra-early interventions.","container-title":"Neurocritical Care","DOI":"10.1007/s12028-020-00931-5","ISSN":"1556-0961","issue":"1","journalAbbreviation":"Neurocrit Care","language":"eng","note":"PMID: 32096121","page":"39-48","source":"PubMed","title":"Diagnostic Accuracy of Glial Fibrillary Acidic Protein and Ubiquitin Carboxy-Terminal Hydrolase-L1 Serum Concentrations for Differentiating Acute Intracerebral Hemorrhage from Ischemic Stroke","volume":"33","author":[{"family":"Luger","given":"Sebastian"},{"family":"Jæger","given":"Henriette S."},{"family":"Dixon","given":"Joanna"},{"family":"Bohmann","given":"Ferdinand O."},{"family":"Schaefer","given":"JanHendrik"},{"family":"Richieri","given":"Steven P."},{"family":"Larsen","given":"Karianne"},{"family":"Hov","given":"Maren R."},{"family":"Bache","given":"Kristi G."},{"family":"Foerch","given":"Christian"},{"literal":"BE FAST III Study Group"}],"issued":{"date-parts":[["2020",8]]}}}],"schema":"https://github.com/citation-style-language/schema/raw/master/csl-citation.json"} </w:instrText>
      </w:r>
      <w:r w:rsidR="00D06D18" w:rsidRPr="00A831E7">
        <w:rPr>
          <w:rFonts w:eastAsia="Calibri"/>
        </w:rPr>
        <w:fldChar w:fldCharType="separate"/>
      </w:r>
      <w:r w:rsidR="00B22777" w:rsidRPr="00A831E7">
        <w:rPr>
          <w:rFonts w:eastAsia="Calibri"/>
        </w:rPr>
        <w:t>[68]</w:t>
      </w:r>
      <w:r w:rsidR="00D06D18" w:rsidRPr="00A831E7">
        <w:rPr>
          <w:rFonts w:eastAsia="Calibri"/>
        </w:rPr>
        <w:fldChar w:fldCharType="end"/>
      </w:r>
      <w:r w:rsidRPr="00A831E7">
        <w:rPr>
          <w:rFonts w:eastAsia="Calibri"/>
        </w:rPr>
        <w:t xml:space="preserve"> αξιολόγησε την GFAP πρωτεΐνη και την UCH-L1 για τη διάκριση της ενδοεγκεφαλικής αιμορραγίας (ICH) από το ισχαιμικό εγκεφαλικό (IS)</w:t>
      </w:r>
      <w:r w:rsidR="00EF4134">
        <w:rPr>
          <w:rFonts w:eastAsia="Calibri"/>
        </w:rPr>
        <w:t xml:space="preserve"> σε συνολικά 251 ασθενείς</w:t>
      </w:r>
      <w:r w:rsidR="008326F6">
        <w:rPr>
          <w:rFonts w:eastAsia="Calibri"/>
          <w:lang w:val="en-US"/>
        </w:rPr>
        <w:t xml:space="preserve"> (ICH = 64, IS = 171, SMs = 16)</w:t>
      </w:r>
      <w:r w:rsidR="00EF4134">
        <w:rPr>
          <w:rFonts w:eastAsia="Calibri"/>
        </w:rPr>
        <w:t xml:space="preserve">. </w:t>
      </w:r>
      <w:r w:rsidR="00D06D18" w:rsidRPr="00A831E7">
        <w:rPr>
          <w:rFonts w:eastAsia="Calibri"/>
        </w:rPr>
        <w:t xml:space="preserve">Για τη </w:t>
      </w:r>
      <w:r w:rsidRPr="00A831E7">
        <w:rPr>
          <w:rFonts w:eastAsia="Calibri"/>
        </w:rPr>
        <w:t>μέτρηση των επιπέδων των βιοδεικτών</w:t>
      </w:r>
      <w:r w:rsidR="00D06D18" w:rsidRPr="00A831E7">
        <w:rPr>
          <w:rFonts w:eastAsia="Calibri"/>
        </w:rPr>
        <w:t xml:space="preserve"> έγινε δειγματοληψία</w:t>
      </w:r>
      <w:r w:rsidRPr="00A831E7">
        <w:rPr>
          <w:rFonts w:eastAsia="Calibri"/>
        </w:rPr>
        <w:t xml:space="preserve"> τόσο </w:t>
      </w:r>
      <w:r w:rsidR="003F6BC2" w:rsidRPr="00A831E7">
        <w:rPr>
          <w:rFonts w:eastAsia="Calibri"/>
        </w:rPr>
        <w:t>προνοσοκομειακά</w:t>
      </w:r>
      <w:r w:rsidRPr="00A831E7">
        <w:rPr>
          <w:rFonts w:eastAsia="Calibri"/>
        </w:rPr>
        <w:t xml:space="preserve"> όσο και εντός νοσοκομείου.</w:t>
      </w:r>
    </w:p>
    <w:p w14:paraId="71782AEB" w14:textId="06F8ED7C" w:rsidR="00D06D18" w:rsidRPr="00A831E7" w:rsidRDefault="003040F1" w:rsidP="0057069D">
      <w:pPr>
        <w:pStyle w:val="a6"/>
        <w:numPr>
          <w:ilvl w:val="0"/>
          <w:numId w:val="18"/>
        </w:numPr>
        <w:spacing w:line="360" w:lineRule="auto"/>
        <w:ind w:left="180" w:hanging="180"/>
        <w:jc w:val="both"/>
        <w:rPr>
          <w:rFonts w:eastAsia="Calibri"/>
        </w:rPr>
      </w:pPr>
      <w:r w:rsidRPr="00A831E7">
        <w:rPr>
          <w:rFonts w:eastAsia="Calibri"/>
        </w:rPr>
        <w:t>Η ROC ανάλυση επιβεβαίωσε την υψηλή διαγνωστική ακρίβεια του GFAP</w:t>
      </w:r>
      <w:r w:rsidR="00204644">
        <w:rPr>
          <w:rFonts w:eastAsia="Calibri"/>
        </w:rPr>
        <w:t xml:space="preserve"> βιοδείκτη</w:t>
      </w:r>
      <w:r w:rsidRPr="00A831E7">
        <w:rPr>
          <w:rFonts w:eastAsia="Calibri"/>
        </w:rPr>
        <w:t xml:space="preserve"> (AUC = 0.866, p &lt; 0.001), επιβεβαιώνοντας την αξία του για την ανίχνευση ICH.</w:t>
      </w:r>
    </w:p>
    <w:p w14:paraId="5F9DC6DD" w14:textId="3447789B" w:rsidR="00D06D18" w:rsidRPr="00A831E7" w:rsidRDefault="00D06D18" w:rsidP="0057069D">
      <w:pPr>
        <w:pStyle w:val="a6"/>
        <w:numPr>
          <w:ilvl w:val="0"/>
          <w:numId w:val="18"/>
        </w:numPr>
        <w:spacing w:line="360" w:lineRule="auto"/>
        <w:ind w:left="180" w:hanging="180"/>
        <w:jc w:val="both"/>
        <w:rPr>
          <w:rFonts w:eastAsia="Calibri"/>
        </w:rPr>
      </w:pPr>
      <w:r w:rsidRPr="00A831E7">
        <w:rPr>
          <w:rFonts w:eastAsia="Calibri"/>
        </w:rPr>
        <w:t xml:space="preserve">Η </w:t>
      </w:r>
      <w:r w:rsidR="003040F1" w:rsidRPr="00A831E7">
        <w:rPr>
          <w:rFonts w:eastAsia="Calibri"/>
        </w:rPr>
        <w:t>UCH-L1 παρουσίασε χαμηλή διαγνωστική ακρίβεια (AUC = 0.590, p = 0.033), γεγονός που τ</w:t>
      </w:r>
      <w:r w:rsidR="00204644">
        <w:rPr>
          <w:rFonts w:eastAsia="Calibri"/>
        </w:rPr>
        <w:t>ην</w:t>
      </w:r>
      <w:r w:rsidR="003040F1" w:rsidRPr="00A831E7">
        <w:rPr>
          <w:rFonts w:eastAsia="Calibri"/>
        </w:rPr>
        <w:t xml:space="preserve"> καθιστά λιγότερο αξιόπιστ</w:t>
      </w:r>
      <w:r w:rsidR="00204644">
        <w:rPr>
          <w:rFonts w:eastAsia="Calibri"/>
        </w:rPr>
        <w:t>η</w:t>
      </w:r>
      <w:r w:rsidR="003040F1" w:rsidRPr="00A831E7">
        <w:rPr>
          <w:rFonts w:eastAsia="Calibri"/>
        </w:rPr>
        <w:t xml:space="preserve"> για τη διάκριση υπ</w:t>
      </w:r>
      <w:r w:rsidR="003F6BC2" w:rsidRPr="00A831E7">
        <w:rPr>
          <w:rFonts w:eastAsia="Calibri"/>
        </w:rPr>
        <w:t>ο</w:t>
      </w:r>
      <w:r w:rsidR="003040F1" w:rsidRPr="00A831E7">
        <w:rPr>
          <w:rFonts w:eastAsia="Calibri"/>
        </w:rPr>
        <w:t>τ</w:t>
      </w:r>
      <w:r w:rsidR="003F6BC2" w:rsidRPr="00A831E7">
        <w:rPr>
          <w:rFonts w:eastAsia="Calibri"/>
        </w:rPr>
        <w:t>ύ</w:t>
      </w:r>
      <w:r w:rsidR="003040F1" w:rsidRPr="00A831E7">
        <w:rPr>
          <w:rFonts w:eastAsia="Calibri"/>
        </w:rPr>
        <w:t>πων εγκεφαλικού.</w:t>
      </w:r>
    </w:p>
    <w:p w14:paraId="64AE4263" w14:textId="23B7E3CC" w:rsidR="003040F1" w:rsidRPr="00A831E7" w:rsidRDefault="003040F1" w:rsidP="0057069D">
      <w:pPr>
        <w:pStyle w:val="a6"/>
        <w:numPr>
          <w:ilvl w:val="0"/>
          <w:numId w:val="18"/>
        </w:numPr>
        <w:spacing w:line="360" w:lineRule="auto"/>
        <w:ind w:left="180" w:hanging="180"/>
        <w:jc w:val="both"/>
        <w:rPr>
          <w:rFonts w:eastAsia="Calibri"/>
        </w:rPr>
      </w:pPr>
      <w:r w:rsidRPr="00A831E7">
        <w:rPr>
          <w:rFonts w:eastAsia="Calibri"/>
        </w:rPr>
        <w:t>Ο συνδυασμός GFAP και UCH-L1 βελτίωσε οριακά τη διαφοροποίηση (AUC = 0.873) αλλά δεν υπερείχε σημαντικά σε σχέση με το GFAP μόνο, επιβεβαιώνοντας την περιορισμένη κλινική χρησιμότητα τ</w:t>
      </w:r>
      <w:r w:rsidR="00D06D18" w:rsidRPr="00A831E7">
        <w:rPr>
          <w:rFonts w:eastAsia="Calibri"/>
        </w:rPr>
        <w:t>ης</w:t>
      </w:r>
      <w:r w:rsidRPr="00A831E7">
        <w:rPr>
          <w:rFonts w:eastAsia="Calibri"/>
        </w:rPr>
        <w:t xml:space="preserve"> UCH-L1.</w:t>
      </w:r>
    </w:p>
    <w:p w14:paraId="4D13DB45" w14:textId="77777777" w:rsidR="00D06D18" w:rsidRPr="00A831E7" w:rsidRDefault="00D06D18" w:rsidP="0057069D">
      <w:pPr>
        <w:spacing w:line="360" w:lineRule="auto"/>
        <w:jc w:val="both"/>
        <w:rPr>
          <w:rFonts w:eastAsia="Calibri"/>
        </w:rPr>
      </w:pPr>
    </w:p>
    <w:p w14:paraId="525184B7" w14:textId="119C46A6" w:rsidR="00D06D18" w:rsidRPr="00A831E7" w:rsidRDefault="00D06D18" w:rsidP="0057069D">
      <w:pPr>
        <w:pStyle w:val="4"/>
        <w:spacing w:line="360" w:lineRule="auto"/>
        <w:rPr>
          <w:rFonts w:eastAsia="Calibri"/>
          <w:b w:val="0"/>
          <w:bCs/>
          <w:color w:val="000000" w:themeColor="text1"/>
        </w:rPr>
      </w:pPr>
      <w:r w:rsidRPr="00A831E7">
        <w:rPr>
          <w:rFonts w:eastAsia="Calibri"/>
          <w:bCs/>
          <w:color w:val="000000" w:themeColor="text1"/>
        </w:rPr>
        <w:t>NfL και Digital ELISA</w:t>
      </w:r>
    </w:p>
    <w:p w14:paraId="56F6E3AB" w14:textId="494CBE05" w:rsidR="00D06D18" w:rsidRPr="00A831E7" w:rsidRDefault="00D06D18" w:rsidP="0057069D">
      <w:pPr>
        <w:spacing w:line="360" w:lineRule="auto"/>
        <w:ind w:firstLine="720"/>
        <w:jc w:val="both"/>
        <w:rPr>
          <w:rFonts w:eastAsia="Calibri"/>
        </w:rPr>
      </w:pPr>
      <w:r w:rsidRPr="00A831E7">
        <w:rPr>
          <w:rFonts w:eastAsia="Calibri"/>
        </w:rPr>
        <w:t>Η υψηλής ευαισθησίας ψηφιακή</w:t>
      </w:r>
      <w:r w:rsidR="00444202" w:rsidRPr="00A831E7">
        <w:rPr>
          <w:rFonts w:eastAsia="Calibri"/>
        </w:rPr>
        <w:t xml:space="preserve"> τεχνική</w:t>
      </w:r>
      <w:r w:rsidRPr="00A831E7">
        <w:rPr>
          <w:rFonts w:eastAsia="Calibri"/>
        </w:rPr>
        <w:t xml:space="preserve"> ELISA επιτρέπει την ανίχνευση εξαιρετικά χαμηλών συγκεντρώσεων (</w:t>
      </w:r>
      <w:r w:rsidR="00DF3B6E">
        <w:rPr>
          <w:rFonts w:eastAsia="Calibri"/>
        </w:rPr>
        <w:t xml:space="preserve">σε επίπεδα </w:t>
      </w:r>
      <w:r w:rsidR="00DF3B6E">
        <w:rPr>
          <w:rFonts w:eastAsia="Calibri"/>
          <w:lang w:val="en-US"/>
        </w:rPr>
        <w:t>pico-</w:t>
      </w:r>
      <w:r w:rsidR="00DF3B6E">
        <w:rPr>
          <w:rFonts w:eastAsia="Calibri"/>
        </w:rPr>
        <w:t>γραμμαρίων</w:t>
      </w:r>
      <w:r w:rsidRPr="00A831E7">
        <w:rPr>
          <w:rFonts w:eastAsia="Calibri"/>
        </w:rPr>
        <w:t xml:space="preserve">) εγκεφαλικών πρωτεϊνών, ξεπερνώντας τους περιορισμούς των συμβατικών ανοσοπροσδιορισμών (immunoassays) στη διάγνωση πρώιμου εγκεφαλικού επεισοδίου. Η μελέτη των O’Connell et al. </w:t>
      </w:r>
      <w:r w:rsidRPr="00A831E7">
        <w:rPr>
          <w:rFonts w:eastAsia="Calibri"/>
        </w:rPr>
        <w:fldChar w:fldCharType="begin"/>
      </w:r>
      <w:r w:rsidR="00B22777" w:rsidRPr="00A831E7">
        <w:rPr>
          <w:rFonts w:eastAsia="Calibri"/>
        </w:rPr>
        <w:instrText xml:space="preserve"> ADDIN ZOTERO_ITEM CSL_CITATION {"citationID":"aFglkPYF","properties":{"formattedCitation":"[69]","plainCitation":"[69]","noteIndex":0},"citationItems":[{"id":306,"uris":["http://zotero.org/users/local/mfHf28QG/items/STQ5RSX9"],"itemData":{"id":306,"type":"article-journal","abstract":"Limited lower detection ranges associated with traditional immunoassay techniques have prevented the use of brain-specific proteins as blood biomarkers of stroke in the acute phase of care, as these proteins are often only present in circulation at ...","container-title":"Brain research","DOI":"10.1016/j.brainres.2020.146861","language":"en","note":"PMID: 32353434","page":"146861","source":"pmc.ncbi.nlm.nih.gov","title":"Diagnosis of ischemic stroke using circulating levels of brain-specific proteins measured via high-sensitivity digital ELISA","volume":"1739","author":[{"family":"O’Connell","given":"Grant C."},{"family":"Alder","given":"Megan L."},{"family":"Smothers","given":"Christine G."},{"family":"Still","given":"Carolyn H."},{"family":"Webel","given":"Allison R."},{"family":"Moore","given":"Shirley M."}],"issued":{"date-parts":[["2020",4,27]]}}}],"schema":"https://github.com/citation-style-language/schema/raw/master/csl-citation.json"} </w:instrText>
      </w:r>
      <w:r w:rsidRPr="00A831E7">
        <w:rPr>
          <w:rFonts w:eastAsia="Calibri"/>
        </w:rPr>
        <w:fldChar w:fldCharType="separate"/>
      </w:r>
      <w:r w:rsidR="00B22777" w:rsidRPr="00A831E7">
        <w:rPr>
          <w:rFonts w:eastAsia="Calibri"/>
        </w:rPr>
        <w:t>[69]</w:t>
      </w:r>
      <w:r w:rsidRPr="00A831E7">
        <w:rPr>
          <w:rFonts w:eastAsia="Calibri"/>
        </w:rPr>
        <w:fldChar w:fldCharType="end"/>
      </w:r>
      <w:r w:rsidRPr="00A831E7">
        <w:rPr>
          <w:rFonts w:eastAsia="Calibri"/>
        </w:rPr>
        <w:t xml:space="preserve"> αξιολόγησε τις πρωτεΐνες NfL (neurofilament light chain) και Tau σε δείγματα</w:t>
      </w:r>
      <w:r w:rsidR="00FF3A87">
        <w:rPr>
          <w:rFonts w:eastAsia="Calibri"/>
          <w:lang w:val="en-US"/>
        </w:rPr>
        <w:t xml:space="preserve"> </w:t>
      </w:r>
      <w:r w:rsidR="00FF3A87">
        <w:rPr>
          <w:rFonts w:eastAsia="Calibri"/>
        </w:rPr>
        <w:t>πλάσματος</w:t>
      </w:r>
      <w:r w:rsidRPr="00A831E7">
        <w:rPr>
          <w:rFonts w:eastAsia="Calibri"/>
        </w:rPr>
        <w:t xml:space="preserve"> ασθενών με ισχαιμικό εγκεφαλικό (IS), </w:t>
      </w:r>
      <w:r w:rsidR="004B06CC" w:rsidRPr="00A831E7">
        <w:rPr>
          <w:rFonts w:eastAsia="Calibri"/>
        </w:rPr>
        <w:t>όπου</w:t>
      </w:r>
      <w:r w:rsidRPr="00A831E7">
        <w:rPr>
          <w:rFonts w:eastAsia="Calibri"/>
        </w:rPr>
        <w:t xml:space="preserve"> η NfL παρουσίασε ανώτερη διαγνωστική απόδοση (92.9% ευαισθησία, 84.9% ειδικότητα) συγκριτικά με την Tau (85.7% ευαισθησία, 54.6% ειδικότητα). Επιπλέον, </w:t>
      </w:r>
      <w:r w:rsidR="00444202" w:rsidRPr="00A831E7">
        <w:rPr>
          <w:rFonts w:eastAsia="Calibri"/>
        </w:rPr>
        <w:t>η</w:t>
      </w:r>
      <w:r w:rsidRPr="00A831E7">
        <w:rPr>
          <w:rFonts w:eastAsia="Calibri"/>
        </w:rPr>
        <w:t xml:space="preserve"> NfL</w:t>
      </w:r>
      <w:r w:rsidR="005403E6">
        <w:rPr>
          <w:rFonts w:eastAsia="Calibri"/>
        </w:rPr>
        <w:t xml:space="preserve"> </w:t>
      </w:r>
      <w:r w:rsidR="00FF3A87">
        <w:rPr>
          <w:rFonts w:eastAsia="Calibri"/>
        </w:rPr>
        <w:t xml:space="preserve">και η </w:t>
      </w:r>
      <w:r w:rsidR="00FF3A87">
        <w:rPr>
          <w:rFonts w:eastAsia="Calibri"/>
          <w:lang w:val="en-US"/>
        </w:rPr>
        <w:t>Tau</w:t>
      </w:r>
      <w:r w:rsidRPr="00A831E7">
        <w:rPr>
          <w:rFonts w:eastAsia="Calibri"/>
        </w:rPr>
        <w:t xml:space="preserve"> συσχετίστηκ</w:t>
      </w:r>
      <w:r w:rsidR="00FF3A87">
        <w:rPr>
          <w:rFonts w:eastAsia="Calibri"/>
        </w:rPr>
        <w:t>αν</w:t>
      </w:r>
      <w:r w:rsidRPr="00A831E7">
        <w:rPr>
          <w:rFonts w:eastAsia="Calibri"/>
        </w:rPr>
        <w:t xml:space="preserve"> με τον όγκο του εγκεφαλικού </w:t>
      </w:r>
      <w:r w:rsidR="00444202" w:rsidRPr="00A831E7">
        <w:rPr>
          <w:rFonts w:eastAsia="Calibri"/>
        </w:rPr>
        <w:t>έμφρακτου</w:t>
      </w:r>
      <w:r w:rsidRPr="00A831E7">
        <w:rPr>
          <w:rFonts w:eastAsia="Calibri"/>
        </w:rPr>
        <w:t xml:space="preserve">, υποδηλώνοντας τη χρησιμότητά </w:t>
      </w:r>
      <w:r w:rsidR="004B06CC" w:rsidRPr="00A831E7">
        <w:rPr>
          <w:rFonts w:eastAsia="Calibri"/>
        </w:rPr>
        <w:t>τ</w:t>
      </w:r>
      <w:r w:rsidR="00FF3A87">
        <w:rPr>
          <w:rFonts w:eastAsia="Calibri"/>
        </w:rPr>
        <w:t>ους</w:t>
      </w:r>
      <w:r w:rsidR="004B06CC" w:rsidRPr="00A831E7">
        <w:rPr>
          <w:rFonts w:eastAsia="Calibri"/>
        </w:rPr>
        <w:t xml:space="preserve"> ως βιοδείκτης</w:t>
      </w:r>
      <w:r w:rsidRPr="00A831E7">
        <w:rPr>
          <w:rFonts w:eastAsia="Calibri"/>
        </w:rPr>
        <w:t xml:space="preserve"> στην αξιολόγηση της σοβαρότητας νευρ</w:t>
      </w:r>
      <w:r w:rsidR="001B6EFF">
        <w:rPr>
          <w:rFonts w:eastAsia="Calibri"/>
        </w:rPr>
        <w:t>ων</w:t>
      </w:r>
      <w:r w:rsidRPr="00A831E7">
        <w:rPr>
          <w:rFonts w:eastAsia="Calibri"/>
        </w:rPr>
        <w:t>ικ</w:t>
      </w:r>
      <w:r w:rsidR="00444202" w:rsidRPr="00A831E7">
        <w:rPr>
          <w:rFonts w:eastAsia="Calibri"/>
        </w:rPr>
        <w:t>ών</w:t>
      </w:r>
      <w:r w:rsidRPr="00A831E7">
        <w:rPr>
          <w:rFonts w:eastAsia="Calibri"/>
        </w:rPr>
        <w:t xml:space="preserve"> βλ</w:t>
      </w:r>
      <w:r w:rsidR="00444202" w:rsidRPr="00A831E7">
        <w:rPr>
          <w:rFonts w:eastAsia="Calibri"/>
        </w:rPr>
        <w:t>αβών</w:t>
      </w:r>
      <w:r w:rsidRPr="00A831E7">
        <w:rPr>
          <w:rFonts w:eastAsia="Calibri"/>
        </w:rPr>
        <w:t xml:space="preserve">, </w:t>
      </w:r>
      <w:r w:rsidR="00FF3A87">
        <w:rPr>
          <w:rFonts w:eastAsia="Calibri"/>
        </w:rPr>
        <w:t>αλλά</w:t>
      </w:r>
      <w:r w:rsidRPr="00A831E7">
        <w:rPr>
          <w:rFonts w:eastAsia="Calibri"/>
        </w:rPr>
        <w:t xml:space="preserve"> </w:t>
      </w:r>
      <w:r w:rsidR="00444202" w:rsidRPr="00A831E7">
        <w:rPr>
          <w:rFonts w:eastAsia="Calibri"/>
        </w:rPr>
        <w:t>η</w:t>
      </w:r>
      <w:r w:rsidRPr="00A831E7">
        <w:rPr>
          <w:rFonts w:eastAsia="Calibri"/>
        </w:rPr>
        <w:t xml:space="preserve"> Tau είχε</w:t>
      </w:r>
      <w:r w:rsidR="00FF3A87" w:rsidRPr="008F5904">
        <w:rPr>
          <w:rFonts w:eastAsia="Calibri"/>
          <w:lang w:val="en-US"/>
        </w:rPr>
        <w:t xml:space="preserve"> </w:t>
      </w:r>
      <w:r w:rsidR="00FF3A87">
        <w:rPr>
          <w:rFonts w:eastAsia="Calibri"/>
        </w:rPr>
        <w:t>πιο</w:t>
      </w:r>
      <w:r w:rsidRPr="00A831E7">
        <w:rPr>
          <w:rFonts w:eastAsia="Calibri"/>
        </w:rPr>
        <w:t xml:space="preserve"> περιορισμένη διαγνωστική </w:t>
      </w:r>
      <w:r w:rsidR="00FF3A87">
        <w:rPr>
          <w:rFonts w:eastAsia="Calibri"/>
        </w:rPr>
        <w:t>απόδοση</w:t>
      </w:r>
      <w:r w:rsidRPr="00A831E7">
        <w:rPr>
          <w:rFonts w:eastAsia="Calibri"/>
        </w:rPr>
        <w:t>.</w:t>
      </w:r>
    </w:p>
    <w:p w14:paraId="5889047B" w14:textId="7389B5A2" w:rsidR="00D06D18" w:rsidRPr="00A831E7" w:rsidRDefault="00D06D18" w:rsidP="0057069D">
      <w:pPr>
        <w:spacing w:line="360" w:lineRule="auto"/>
        <w:ind w:firstLine="720"/>
        <w:jc w:val="both"/>
        <w:rPr>
          <w:rFonts w:eastAsia="Calibri"/>
        </w:rPr>
      </w:pPr>
      <w:r w:rsidRPr="00A831E7">
        <w:rPr>
          <w:rFonts w:eastAsia="Calibri"/>
        </w:rPr>
        <w:t xml:space="preserve">Επιπλέον, η ψηφιακή ELISA ξεπέρασε κατά πολύ τη συμβατική ELISA, η οποία απέτυχε να ανιχνεύσει NfL και Tau στα περισσότερα δείγματα λόγω υψηλότερων ορίων ανίχνευσης. Αυτό υποδηλώνει ότι προηγούμενες μελέτες με συμβατική ELISA ενδέχεται να έχουν υποτιμήσει τη διαγνωστική αξία των κυκλοφορούντων εγκεφαλικών πρωτεϊνών. Για παράδειγμα, η μελέτη </w:t>
      </w:r>
      <w:r w:rsidR="00444202" w:rsidRPr="00A831E7">
        <w:rPr>
          <w:rFonts w:eastAsia="Calibri"/>
        </w:rPr>
        <w:t xml:space="preserve">των Han et al. </w:t>
      </w:r>
      <w:r w:rsidR="00444202" w:rsidRPr="00A831E7">
        <w:rPr>
          <w:rFonts w:eastAsia="Calibri"/>
        </w:rPr>
        <w:lastRenderedPageBreak/>
        <w:fldChar w:fldCharType="begin"/>
      </w:r>
      <w:r w:rsidR="00B22777" w:rsidRPr="00A831E7">
        <w:rPr>
          <w:rFonts w:eastAsia="Calibri"/>
        </w:rPr>
        <w:instrText xml:space="preserve"> ADDIN ZOTERO_ITEM CSL_CITATION {"citationID":"kUO2EWVW","properties":{"formattedCitation":"[67]","plainCitation":"[67]","noteIndex":0},"citationItems":[{"id":348,"uris":["http://zotero.org/users/local/mfHf28QG/items/MKKSSDYZ"],"itemData":{"id":348,"type":"article-journal","abstract":"Acute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schema":"https://github.com/citation-style-language/schema/raw/master/csl-citation.json"} </w:instrText>
      </w:r>
      <w:r w:rsidR="00444202" w:rsidRPr="00A831E7">
        <w:rPr>
          <w:rFonts w:eastAsia="Calibri"/>
        </w:rPr>
        <w:fldChar w:fldCharType="separate"/>
      </w:r>
      <w:r w:rsidR="00B22777" w:rsidRPr="00A831E7">
        <w:rPr>
          <w:rFonts w:eastAsia="Calibri"/>
        </w:rPr>
        <w:t>[67]</w:t>
      </w:r>
      <w:r w:rsidR="00444202" w:rsidRPr="00A831E7">
        <w:rPr>
          <w:rFonts w:eastAsia="Calibri"/>
        </w:rPr>
        <w:fldChar w:fldCharType="end"/>
      </w:r>
      <w:r w:rsidRPr="00A831E7">
        <w:rPr>
          <w:rFonts w:eastAsia="Calibri"/>
        </w:rPr>
        <w:t xml:space="preserve"> που χρησιμοποίησε συμβατική ELISA κατέληξε ότι </w:t>
      </w:r>
      <w:r w:rsidR="00061EE9">
        <w:rPr>
          <w:rFonts w:eastAsia="Calibri"/>
        </w:rPr>
        <w:t>η</w:t>
      </w:r>
      <w:r w:rsidRPr="00A831E7">
        <w:rPr>
          <w:rFonts w:eastAsia="Calibri"/>
        </w:rPr>
        <w:t xml:space="preserve"> NfL, μαζί με άλλους βιοδείκτες, δεν είχ</w:t>
      </w:r>
      <w:r w:rsidR="00444202" w:rsidRPr="00A831E7">
        <w:rPr>
          <w:rFonts w:eastAsia="Calibri"/>
        </w:rPr>
        <w:t>αν</w:t>
      </w:r>
      <w:r w:rsidRPr="00A831E7">
        <w:rPr>
          <w:rFonts w:eastAsia="Calibri"/>
        </w:rPr>
        <w:t xml:space="preserve"> κλινική αξία.</w:t>
      </w:r>
    </w:p>
    <w:p w14:paraId="7FCE1742" w14:textId="687F556B" w:rsidR="00D06D18" w:rsidRPr="00A831E7" w:rsidRDefault="00D06D18" w:rsidP="0057069D">
      <w:pPr>
        <w:spacing w:line="360" w:lineRule="auto"/>
        <w:ind w:firstLine="720"/>
        <w:jc w:val="both"/>
        <w:rPr>
          <w:rFonts w:eastAsia="Calibri"/>
        </w:rPr>
      </w:pPr>
      <w:r w:rsidRPr="00A831E7">
        <w:rPr>
          <w:rFonts w:eastAsia="Calibri"/>
        </w:rPr>
        <w:t>Σε σύγκριση με τ</w:t>
      </w:r>
      <w:r w:rsidR="004B06CC" w:rsidRPr="00A831E7">
        <w:rPr>
          <w:rFonts w:eastAsia="Calibri"/>
        </w:rPr>
        <w:t>ον πρωτεϊνικό βιοδείκτη</w:t>
      </w:r>
      <w:r w:rsidRPr="00A831E7">
        <w:rPr>
          <w:rFonts w:eastAsia="Calibri"/>
        </w:rPr>
        <w:t xml:space="preserve"> GFAP</w:t>
      </w:r>
      <w:r w:rsidR="004B06CC" w:rsidRPr="00A831E7">
        <w:rPr>
          <w:rFonts w:eastAsia="Calibri"/>
        </w:rPr>
        <w:t>, ο οποίος</w:t>
      </w:r>
      <w:r w:rsidRPr="00A831E7">
        <w:rPr>
          <w:rFonts w:eastAsia="Calibri"/>
        </w:rPr>
        <w:t xml:space="preserve"> διαχωρίζει αποτελεσματικά το ισχαιμικό από το αιμορραγικό εγκεφαλικό επεισόδιο, </w:t>
      </w:r>
      <w:r w:rsidR="004B06CC" w:rsidRPr="00A831E7">
        <w:rPr>
          <w:rFonts w:eastAsia="Calibri"/>
        </w:rPr>
        <w:t>ο βιοδείκτης της</w:t>
      </w:r>
      <w:r w:rsidRPr="00A831E7">
        <w:rPr>
          <w:rFonts w:eastAsia="Calibri"/>
        </w:rPr>
        <w:t xml:space="preserve"> NfL επικεντρώνεται στη σοβαρότητα νευρ</w:t>
      </w:r>
      <w:r w:rsidR="00DD6A2E">
        <w:rPr>
          <w:rFonts w:eastAsia="Calibri"/>
        </w:rPr>
        <w:t>ωνι</w:t>
      </w:r>
      <w:r w:rsidRPr="00A831E7">
        <w:rPr>
          <w:rFonts w:eastAsia="Calibri"/>
        </w:rPr>
        <w:t>κής βλάβης, προσφέροντας συμπληρωματικές διαγνωστικές πληροφορίες.</w:t>
      </w:r>
    </w:p>
    <w:p w14:paraId="52C6B887" w14:textId="77777777" w:rsidR="00D067D1" w:rsidRPr="00A831E7" w:rsidRDefault="00D067D1" w:rsidP="0057069D">
      <w:pPr>
        <w:spacing w:line="360" w:lineRule="auto"/>
        <w:jc w:val="both"/>
        <w:rPr>
          <w:rFonts w:eastAsia="Calibri"/>
        </w:rPr>
      </w:pPr>
    </w:p>
    <w:p w14:paraId="1C05A335" w14:textId="7E5B5602" w:rsidR="005774B1" w:rsidRPr="008F5904" w:rsidRDefault="005774B1" w:rsidP="0057069D">
      <w:pPr>
        <w:pStyle w:val="4"/>
        <w:spacing w:line="360" w:lineRule="auto"/>
        <w:rPr>
          <w:b w:val="0"/>
          <w:color w:val="000000" w:themeColor="text1"/>
          <w:lang w:val="en-US"/>
        </w:rPr>
      </w:pPr>
      <w:r w:rsidRPr="00A831E7">
        <w:rPr>
          <w:rFonts w:eastAsia="Calibri"/>
          <w:bCs/>
          <w:color w:val="000000" w:themeColor="text1"/>
        </w:rPr>
        <w:t>Μεταβολίτες</w:t>
      </w:r>
    </w:p>
    <w:p w14:paraId="1AF52943" w14:textId="5973BF2D" w:rsidR="00D067D1" w:rsidRPr="00A831E7" w:rsidRDefault="00D067D1" w:rsidP="0057069D">
      <w:pPr>
        <w:spacing w:line="360" w:lineRule="auto"/>
        <w:ind w:firstLine="720"/>
        <w:jc w:val="both"/>
        <w:rPr>
          <w:rFonts w:eastAsia="Calibri"/>
        </w:rPr>
      </w:pPr>
      <w:r w:rsidRPr="00A831E7">
        <w:rPr>
          <w:rFonts w:eastAsia="Calibri"/>
        </w:rPr>
        <w:t>Η μελέτη τ</w:t>
      </w:r>
      <w:r w:rsidR="005774B1" w:rsidRPr="00A831E7">
        <w:rPr>
          <w:rFonts w:eastAsia="Calibri"/>
        </w:rPr>
        <w:t>ων</w:t>
      </w:r>
      <w:r w:rsidRPr="00A831E7">
        <w:rPr>
          <w:rFonts w:eastAsia="Calibri"/>
        </w:rPr>
        <w:t xml:space="preserve"> Tiedt et al. </w:t>
      </w:r>
      <w:r w:rsidR="005774B1" w:rsidRPr="00A831E7">
        <w:rPr>
          <w:rFonts w:eastAsia="Calibri"/>
        </w:rPr>
        <w:fldChar w:fldCharType="begin"/>
      </w:r>
      <w:r w:rsidR="00B22777" w:rsidRPr="00A831E7">
        <w:rPr>
          <w:rFonts w:eastAsia="Calibri"/>
        </w:rPr>
        <w:instrText xml:space="preserve"> ADDIN ZOTERO_ITEM CSL_CITATION {"citationID":"hvcMMmja","properties":{"formattedCitation":"[70]","plainCitation":"[70]","noteIndex":0},"citationItems":[{"id":522,"uris":["http://zotero.org/users/local/mfHf28QG/items/GG78SY3F"],"itemData":{"id":522,"type":"article-journal","abstract":"Objective Early discrimination of patients with ischemic stroke (IS) from stroke mimics (SMs) poses a diagnostic challenge. The circulating metabolome might reflect pathophysiological events related to acute IS. Here, we investigated the utility of early metabolic changes for differentiating IS from SM. Methods We performed untargeted metabolomics on serum samples obtained from patients with IS (N = 508) and SM (N = 349; defined by absence of a diffusion weighted imaging [DWI] positive lesion on magnetic resonance imaging [MRI]) who presented to the hospital within 24 hours after symptom onset (median time from symptom onset to blood sampling = 3.3 hours; interquartile range [IQR] = 1.6–6.7 hours) and from neurologically normal controls (NCs; N = 112). We compared diagnostic groups in a discovery-validation approach by applying multivariable linear regression models, machine learning techniques, and propensity score matching. We further performed a targeted look-up of published metabolite sets. Results Levels of 41 metabolites were significantly associated with IS compared to NCs. The top metabolites showing the highest value in separating IS from SMs were asymmetrical and symmetrical dimethylarginine, pregnenolone sulfate, and adenosine. Together, these 4 metabolites differentiated patients with IS from SMs with an area under the curve (AUC) of 0.90 in the replication sample, which was superior to multimodal cranial computed tomography (CT; AUC = 0.80) obtained for routine diagnostics. They were further superior to previously published metabolite sets detected in our samples. All 4 metabolites returned to control levels by day 90. Interpretation A set of 4 metabolites with known biological effects relevant to stroke pathophysiology shows unprecedented utility to identify patients with IS upon hospital arrival, thus encouraging further investigation, including multicenter studies. ANN NEUROL 2020;88:736–746","container-title":"Annals of Neurology","DOI":"10.1002/ana.25859","ISSN":"1531-8249","issue":"4","language":"en","license":"© 2020 The Authors. Annals of Neurology published by Wiley Periodicals LLC on behalf of American Neurological Association.","note":"_eprint: https://onlinelibrary.wiley.com/doi/pdf/10.1002/ana.25859","page":"736-746","source":"Wiley Online Library","title":"Circulating Metabolites Differentiate Acute Ischemic Stroke from Stroke Mimics","volume":"88","author":[{"family":"Tiedt","given":"Steffen"},{"family":"Brandmaier","given":"Stefan"},{"family":"Kollmeier","given":"Hanna"},{"family":"Duering","given":"Marco"},{"family":"Artati","given":"Anna"},{"family":"Adamski","given":"Jerzy"},{"family":"Klein","given":"Matthias"},{"family":"Liebig","given":"Thomas"},{"family":"Holdt","given":"Lesca M."},{"family":"Teupser","given":"Daniel"},{"family":"Wang-Sattler","given":"Rui"},{"family":"Schwedhelm","given":"Edzard"},{"family":"Gieger","given":"Christian"},{"family":"Dichgans","given":"Martin"}],"issued":{"date-parts":[["2020"]]}}}],"schema":"https://github.com/citation-style-language/schema/raw/master/csl-citation.json"} </w:instrText>
      </w:r>
      <w:r w:rsidR="005774B1" w:rsidRPr="00A831E7">
        <w:rPr>
          <w:rFonts w:eastAsia="Calibri"/>
        </w:rPr>
        <w:fldChar w:fldCharType="separate"/>
      </w:r>
      <w:r w:rsidR="00B22777" w:rsidRPr="00A831E7">
        <w:rPr>
          <w:rFonts w:eastAsia="Calibri"/>
        </w:rPr>
        <w:t>[70]</w:t>
      </w:r>
      <w:r w:rsidR="005774B1" w:rsidRPr="00A831E7">
        <w:rPr>
          <w:rFonts w:eastAsia="Calibri"/>
        </w:rPr>
        <w:fldChar w:fldCharType="end"/>
      </w:r>
      <w:r w:rsidRPr="00A831E7">
        <w:rPr>
          <w:rFonts w:eastAsia="Calibri"/>
        </w:rPr>
        <w:t xml:space="preserve"> αξιολόγησε τη χρήση κυκλοφορούντων μεταβολιτών για τη διάκριση ισχαιμικού εγκεφαλικού (IS) από </w:t>
      </w:r>
      <w:r w:rsidR="00A76D60">
        <w:rPr>
          <w:rFonts w:eastAsia="Calibri"/>
          <w:lang w:val="en-US"/>
        </w:rPr>
        <w:t>m</w:t>
      </w:r>
      <w:r w:rsidRPr="00A831E7">
        <w:rPr>
          <w:rFonts w:eastAsia="Calibri"/>
        </w:rPr>
        <w:t>imics (SMs) εντός 24 ωρών από την έναρξη των συμπτωμάτων. Εντοπίστηκαν και αξιολογήθηκαν συνολικά τέσσερις μεταβολίτες: ADMA, SDMA, θειική πρεγνενολόνη και αδενοσίνη με AUC = 0.90</w:t>
      </w:r>
      <w:r w:rsidR="00543ACF">
        <w:rPr>
          <w:rFonts w:eastAsia="Calibri"/>
          <w:lang w:val="en-US"/>
        </w:rPr>
        <w:t xml:space="preserve"> </w:t>
      </w:r>
      <w:r w:rsidR="00543ACF">
        <w:rPr>
          <w:rFonts w:eastAsia="Calibri"/>
        </w:rPr>
        <w:t xml:space="preserve">(σε επαναληπτικό </w:t>
      </w:r>
      <w:r w:rsidR="001D286F">
        <w:rPr>
          <w:rFonts w:eastAsia="Calibri"/>
        </w:rPr>
        <w:t>σετ</w:t>
      </w:r>
      <w:r w:rsidR="00543ACF">
        <w:rPr>
          <w:rFonts w:eastAsia="Calibri"/>
        </w:rPr>
        <w:t xml:space="preserve"> 500 ασθενών)</w:t>
      </w:r>
      <w:r w:rsidRPr="00A831E7">
        <w:rPr>
          <w:rFonts w:eastAsia="Calibri"/>
        </w:rPr>
        <w:t>, ξεπερνώντας τη multimodal CT (AUC = 0.80) στην ταξινόμηση εγκεφαλικών επεισοδίων.</w:t>
      </w:r>
    </w:p>
    <w:p w14:paraId="4A3CB4A6" w14:textId="0E62FE08" w:rsidR="00D067D1" w:rsidRPr="00A831E7" w:rsidRDefault="00D067D1" w:rsidP="0057069D">
      <w:pPr>
        <w:spacing w:line="360" w:lineRule="auto"/>
        <w:ind w:firstLine="720"/>
        <w:jc w:val="both"/>
        <w:rPr>
          <w:rFonts w:eastAsia="Calibri"/>
        </w:rPr>
      </w:pPr>
      <w:r w:rsidRPr="00A831E7">
        <w:rPr>
          <w:rFonts w:eastAsia="Calibri"/>
        </w:rPr>
        <w:t xml:space="preserve">Η θειική πρεγνενολόνη συσχετίστηκε με τον όγκο του </w:t>
      </w:r>
      <w:r w:rsidR="009C2D42">
        <w:rPr>
          <w:rFonts w:eastAsia="Calibri"/>
        </w:rPr>
        <w:t>έμφρακτου</w:t>
      </w:r>
      <w:r w:rsidRPr="00A831E7">
        <w:rPr>
          <w:rFonts w:eastAsia="Calibri"/>
        </w:rPr>
        <w:t>, ενώ οι ADMA και SDMA μπορεί να επηρεά</w:t>
      </w:r>
      <w:r w:rsidR="00E06B21">
        <w:rPr>
          <w:rFonts w:eastAsia="Calibri"/>
        </w:rPr>
        <w:t>σ</w:t>
      </w:r>
      <w:r w:rsidR="00FF3A87">
        <w:rPr>
          <w:rFonts w:eastAsia="Calibri"/>
        </w:rPr>
        <w:t>ουν</w:t>
      </w:r>
      <w:r w:rsidRPr="00A831E7">
        <w:rPr>
          <w:rFonts w:eastAsia="Calibri"/>
        </w:rPr>
        <w:t xml:space="preserve"> την αγγειακή λειτουργία μέσω αναστολής της συνθάσης νιτρικού οξειδίου</w:t>
      </w:r>
      <w:r w:rsidR="00FF3A87">
        <w:rPr>
          <w:rFonts w:eastAsia="Calibri"/>
          <w:lang w:val="en-US"/>
        </w:rPr>
        <w:t xml:space="preserve"> </w:t>
      </w:r>
      <w:r w:rsidR="00FF3A87">
        <w:rPr>
          <w:rFonts w:eastAsia="Calibri"/>
        </w:rPr>
        <w:t>(</w:t>
      </w:r>
      <w:r w:rsidR="00FF3A87">
        <w:rPr>
          <w:rFonts w:eastAsia="Calibri"/>
          <w:lang w:val="en-US"/>
        </w:rPr>
        <w:t>NOS)</w:t>
      </w:r>
      <w:r w:rsidRPr="00A831E7">
        <w:rPr>
          <w:rFonts w:eastAsia="Calibri"/>
        </w:rPr>
        <w:t xml:space="preserve">. Η χαμηλότερη τιμή αδενοσίνης σε ασθενείς με IS υποδηλώνει εξασθενημένους νευροπροστατευτικούς μηχανισμούς </w:t>
      </w:r>
      <w:r w:rsidRPr="00A831E7">
        <w:rPr>
          <w:rFonts w:eastAsia="Calibri"/>
        </w:rPr>
        <w:fldChar w:fldCharType="begin"/>
      </w:r>
      <w:r w:rsidR="00B22777" w:rsidRPr="00A831E7">
        <w:rPr>
          <w:rFonts w:eastAsia="Calibri"/>
        </w:rPr>
        <w:instrText xml:space="preserve"> ADDIN ZOTERO_ITEM CSL_CITATION {"citationID":"JXvaF7rh","properties":{"formattedCitation":"[70]","plainCitation":"[70]","noteIndex":0},"citationItems":[{"id":522,"uris":["http://zotero.org/users/local/mfHf28QG/items/GG78SY3F"],"itemData":{"id":522,"type":"article-journal","abstract":"Objective Early discrimination of patients with ischemic stroke (IS) from stroke mimics (SMs) poses a diagnostic challenge. The circulating metabolome might reflect pathophysiological events related to acute IS. Here, we investigated the utility of early metabolic changes for differentiating IS from SM. Methods We performed untargeted metabolomics on serum samples obtained from patients with IS (N = 508) and SM (N = 349; defined by absence of a diffusion weighted imaging [DWI] positive lesion on magnetic resonance imaging [MRI]) who presented to the hospital within 24 hours after symptom onset (median time from symptom onset to blood sampling = 3.3 hours; interquartile range [IQR] = 1.6–6.7 hours) and from neurologically normal controls (NCs; N = 112). We compared diagnostic groups in a discovery-validation approach by applying multivariable linear regression models, machine learning techniques, and propensity score matching. We further performed a targeted look-up of published metabolite sets. Results Levels of 41 metabolites were significantly associated with IS compared to NCs. The top metabolites showing the highest value in separating IS from SMs were asymmetrical and symmetrical dimethylarginine, pregnenolone sulfate, and adenosine. Together, these 4 metabolites differentiated patients with IS from SMs with an area under the curve (AUC) of 0.90 in the replication sample, which was superior to multimodal cranial computed tomography (CT; AUC = 0.80) obtained for routine diagnostics. They were further superior to previously published metabolite sets detected in our samples. All 4 metabolites returned to control levels by day 90. Interpretation A set of 4 metabolites with known biological effects relevant to stroke pathophysiology shows unprecedented utility to identify patients with IS upon hospital arrival, thus encouraging further investigation, including multicenter studies. ANN NEUROL 2020;88:736–746","container-title":"Annals of Neurology","DOI":"10.1002/ana.25859","ISSN":"1531-8249","issue":"4","language":"en","license":"© 2020 The Authors. Annals of Neurology published by Wiley Periodicals LLC on behalf of American Neurological Association.","note":"_eprint: https://onlinelibrary.wiley.com/doi/pdf/10.1002/ana.25859","page":"736-746","source":"Wiley Online Library","title":"Circulating Metabolites Differentiate Acute Ischemic Stroke from Stroke Mimics","volume":"88","author":[{"family":"Tiedt","given":"Steffen"},{"family":"Brandmaier","given":"Stefan"},{"family":"Kollmeier","given":"Hanna"},{"family":"Duering","given":"Marco"},{"family":"Artati","given":"Anna"},{"family":"Adamski","given":"Jerzy"},{"family":"Klein","given":"Matthias"},{"family":"Liebig","given":"Thomas"},{"family":"Holdt","given":"Lesca M."},{"family":"Teupser","given":"Daniel"},{"family":"Wang-Sattler","given":"Rui"},{"family":"Schwedhelm","given":"Edzard"},{"family":"Gieger","given":"Christian"},{"family":"Dichgans","given":"Martin"}],"issued":{"date-parts":[["2020"]]}}}],"schema":"https://github.com/citation-style-language/schema/raw/master/csl-citation.json"} </w:instrText>
      </w:r>
      <w:r w:rsidRPr="00A831E7">
        <w:rPr>
          <w:rFonts w:eastAsia="Calibri"/>
        </w:rPr>
        <w:fldChar w:fldCharType="separate"/>
      </w:r>
      <w:r w:rsidR="00B22777" w:rsidRPr="00A831E7">
        <w:rPr>
          <w:rFonts w:eastAsia="Calibri"/>
        </w:rPr>
        <w:t>[70]</w:t>
      </w:r>
      <w:r w:rsidRPr="00A831E7">
        <w:rPr>
          <w:rFonts w:eastAsia="Calibri"/>
        </w:rPr>
        <w:fldChar w:fldCharType="end"/>
      </w:r>
      <w:r w:rsidRPr="00A831E7">
        <w:rPr>
          <w:rFonts w:eastAsia="Calibri"/>
        </w:rPr>
        <w:t>.</w:t>
      </w:r>
    </w:p>
    <w:p w14:paraId="3611832D" w14:textId="469102A9" w:rsidR="005774B1" w:rsidRPr="00A831E7" w:rsidRDefault="00D067D1" w:rsidP="0057069D">
      <w:pPr>
        <w:spacing w:line="360" w:lineRule="auto"/>
        <w:ind w:firstLine="720"/>
        <w:jc w:val="both"/>
        <w:rPr>
          <w:rFonts w:eastAsia="Calibri"/>
        </w:rPr>
      </w:pPr>
      <w:r w:rsidRPr="00A831E7">
        <w:rPr>
          <w:rFonts w:eastAsia="Calibri"/>
        </w:rPr>
        <w:t>Σε αντίθεση με προηγούμενες μελέτες που αξιολόγησαν πρωτεϊνικούς βιοδείκτες όπως GFAP και NT-proBNP, αυτή η προσέγγιση επικεντρώνεται στη μεταβολική διαφοροποίηση IS από</w:t>
      </w:r>
      <w:r w:rsidR="005774B1" w:rsidRPr="00A831E7">
        <w:rPr>
          <w:rFonts w:eastAsia="Calibri"/>
        </w:rPr>
        <w:t xml:space="preserve"> SMs</w:t>
      </w:r>
      <w:r w:rsidRPr="00A831E7">
        <w:rPr>
          <w:rFonts w:eastAsia="Calibri"/>
        </w:rPr>
        <w:t>.</w:t>
      </w:r>
    </w:p>
    <w:p w14:paraId="76E232D4" w14:textId="77777777" w:rsidR="00F32EEE" w:rsidRPr="00A831E7" w:rsidRDefault="00F32EEE" w:rsidP="0057069D">
      <w:pPr>
        <w:spacing w:line="360" w:lineRule="auto"/>
        <w:jc w:val="both"/>
        <w:rPr>
          <w:rFonts w:eastAsia="Calibri"/>
        </w:rPr>
      </w:pPr>
    </w:p>
    <w:p w14:paraId="7419AD9C" w14:textId="720B4A26" w:rsidR="005774B1" w:rsidRPr="00A831E7" w:rsidRDefault="005774B1" w:rsidP="0057069D">
      <w:pPr>
        <w:pStyle w:val="4"/>
        <w:spacing w:line="360" w:lineRule="auto"/>
        <w:rPr>
          <w:rFonts w:eastAsia="Calibri"/>
          <w:b w:val="0"/>
          <w:bCs/>
          <w:color w:val="000000" w:themeColor="text1"/>
        </w:rPr>
      </w:pPr>
      <w:r w:rsidRPr="00A831E7">
        <w:rPr>
          <w:rFonts w:eastAsia="Calibri"/>
          <w:bCs/>
          <w:color w:val="000000" w:themeColor="text1"/>
        </w:rPr>
        <w:t>Διαφορική Έκφραση Γονιδίων</w:t>
      </w:r>
    </w:p>
    <w:p w14:paraId="5DB54D8E" w14:textId="6BF1DA96" w:rsidR="00D067D1" w:rsidRPr="00A831E7" w:rsidRDefault="005774B1" w:rsidP="0057069D">
      <w:pPr>
        <w:spacing w:line="360" w:lineRule="auto"/>
        <w:ind w:firstLine="720"/>
        <w:jc w:val="both"/>
        <w:rPr>
          <w:rFonts w:eastAsia="Calibri"/>
        </w:rPr>
      </w:pPr>
      <w:r w:rsidRPr="00A831E7">
        <w:rPr>
          <w:rFonts w:eastAsia="Calibri"/>
        </w:rPr>
        <w:t xml:space="preserve">Οι </w:t>
      </w:r>
      <w:r w:rsidR="00D067D1" w:rsidRPr="00A831E7">
        <w:rPr>
          <w:rFonts w:eastAsia="Calibri"/>
        </w:rPr>
        <w:t>μεταβολές στη</w:t>
      </w:r>
      <w:r w:rsidRPr="00A831E7">
        <w:rPr>
          <w:rFonts w:eastAsia="Calibri"/>
        </w:rPr>
        <w:t>ν</w:t>
      </w:r>
      <w:r w:rsidR="00D067D1" w:rsidRPr="00A831E7">
        <w:rPr>
          <w:rFonts w:eastAsia="Calibri"/>
        </w:rPr>
        <w:t xml:space="preserve"> έκφραση</w:t>
      </w:r>
      <w:r w:rsidRPr="00A831E7">
        <w:rPr>
          <w:rFonts w:eastAsia="Calibri"/>
        </w:rPr>
        <w:t xml:space="preserve"> γονιδίων</w:t>
      </w:r>
      <w:r w:rsidR="00D067D1" w:rsidRPr="00A831E7">
        <w:rPr>
          <w:rFonts w:eastAsia="Calibri"/>
        </w:rPr>
        <w:t xml:space="preserve"> για τη διάκριση οξέος ισχαιμικού εγκεφαλικού (AIS) από</w:t>
      </w:r>
      <w:r w:rsidRPr="00A831E7">
        <w:rPr>
          <w:rFonts w:eastAsia="Calibri"/>
        </w:rPr>
        <w:t xml:space="preserve"> mimics </w:t>
      </w:r>
      <w:r w:rsidR="00D067D1" w:rsidRPr="00A831E7">
        <w:rPr>
          <w:rFonts w:eastAsia="Calibri"/>
        </w:rPr>
        <w:t>(SMs) μέσω ανάλυσης RNA σε ολικό αίμα</w:t>
      </w:r>
      <w:r w:rsidRPr="00A831E7">
        <w:rPr>
          <w:rFonts w:eastAsia="Calibri"/>
        </w:rPr>
        <w:t xml:space="preserve"> ήταν το </w:t>
      </w:r>
      <w:r w:rsidR="005403E6" w:rsidRPr="00A831E7">
        <w:rPr>
          <w:rFonts w:eastAsia="Calibri"/>
        </w:rPr>
        <w:t>αντικείμενο</w:t>
      </w:r>
      <w:r w:rsidRPr="00A831E7">
        <w:rPr>
          <w:rFonts w:eastAsia="Calibri"/>
        </w:rPr>
        <w:t xml:space="preserve"> της μελέτης των  O’Connell et al. </w:t>
      </w:r>
      <w:r w:rsidRPr="00A831E7">
        <w:rPr>
          <w:rFonts w:eastAsia="Calibri"/>
        </w:rPr>
        <w:fldChar w:fldCharType="begin"/>
      </w:r>
      <w:r w:rsidR="00B22777" w:rsidRPr="00A831E7">
        <w:rPr>
          <w:rFonts w:eastAsia="Calibri"/>
        </w:rPr>
        <w:instrText xml:space="preserve"> ADDIN ZOTERO_ITEM CSL_CITATION {"citationID":"vsZSJktL","properties":{"formattedCitation":"[71]","plainCitation":"[71]","noteIndex":0},"citationItems":[{"id":606,"uris":["http://zotero.org/users/local/mfHf28QG/items/SDSCZMT5"],"itemData":{"id":606,"type":"article-journal","abstract":"Our group recently identified a panel of ten genes whose RNA expression levels in whole blood have utility for detection of stroke. The purpose of this study was to determine the mechanisms by which these genes become differentially expressed during stroke pathology. First, we assessed the transcriptional distribution of the ten genes across the peripheral immune system by measuring their expression levels on isolated neutrophils, monocytes, B-lymphocytes, CD-4+ T-lymphocytes, CD-8+ T-lymphocytes, and NK cells generated from the blood of healthy donors (n=3). Then, we examined the relationship between the whole blood expression levels of the ten genes and white blood cell counts in a cohort of acute ischemic stroke patients (n=36) and acute stroke mimics (n=15) recruited at emergency department admission. All ten genes displayed strong patterns of lineage-specific expression in our analysis of isolated leukocytes, and their whole blood expression levels were correlated with white blood cell differential across the total patient population, suggesting that many of them are likely differentially expressed in whole blood during stroke as an artifact of stroke-induced shifts in leukocyte counts. Specifically, factor analysis inferred that over 50% of the collective variance in their whole blood expression levels across the patient population was driven by underlying variance in white blood cell counts alone. However, the cumulative expression levels of the ten genes displayed a superior ability to discriminate between stroke patients and stroke mimics over white blood cell differential, suggesting that additional less prominent factors influence their expression levels which add to their diagnostic utility. These findings not only provide insight regarding this particular panel of ten genes, but also into the results of prior stroke transcriptomics studies performed in whole blood.","container-title":"Translational stroke research","DOI":"10.1007/s12975-018-0623-1","ISSN":"1868-4483","issue":"1","journalAbbreviation":"Transl Stroke Res","note":"PMID: 29550910\nPMCID: PMC6141354","page":"26-35","source":"PubMed Central","title":"Shifts in leukocyte counts drive the differential expression of transcriptional stroke biomarkers in whole blood","volume":"10","author":[{"family":"O’Connell","given":"Grant C."},{"family":"Treadway","given":"Madison B."},{"family":"Tennant","given":"Connie S."},{"family":"Lucke-Wold","given":"Noelle"},{"family":"Chantler","given":"Paul D."},{"family":"Barr","given":"Taura L."}],"issued":{"date-parts":[["2019",2]]}},"suppress-author":true}],"schema":"https://github.com/citation-style-language/schema/raw/master/csl-citation.json"} </w:instrText>
      </w:r>
      <w:r w:rsidRPr="00A831E7">
        <w:rPr>
          <w:rFonts w:eastAsia="Calibri"/>
        </w:rPr>
        <w:fldChar w:fldCharType="separate"/>
      </w:r>
      <w:r w:rsidR="00B22777" w:rsidRPr="00A831E7">
        <w:rPr>
          <w:rFonts w:eastAsia="Calibri"/>
        </w:rPr>
        <w:t>[71]</w:t>
      </w:r>
      <w:r w:rsidRPr="00A831E7">
        <w:rPr>
          <w:rFonts w:eastAsia="Calibri"/>
        </w:rPr>
        <w:fldChar w:fldCharType="end"/>
      </w:r>
      <w:r w:rsidRPr="00A831E7">
        <w:rPr>
          <w:rFonts w:eastAsia="Calibri"/>
        </w:rPr>
        <w:t>.</w:t>
      </w:r>
    </w:p>
    <w:p w14:paraId="0F6D2E49" w14:textId="0BA7F69E" w:rsidR="00D067D1" w:rsidRPr="00A831E7" w:rsidRDefault="00D067D1" w:rsidP="0057069D">
      <w:pPr>
        <w:spacing w:line="360" w:lineRule="auto"/>
        <w:ind w:firstLine="720"/>
        <w:jc w:val="both"/>
        <w:rPr>
          <w:rFonts w:eastAsia="Calibri"/>
        </w:rPr>
      </w:pPr>
      <w:r w:rsidRPr="00A831E7">
        <w:rPr>
          <w:rFonts w:eastAsia="Calibri"/>
        </w:rPr>
        <w:t>Δέκα γονίδια εμφάνισαν αυξημένη έκφραση σε ουδετερόφιλα και μονοκύτταρα, ενώ</w:t>
      </w:r>
      <w:r w:rsidR="005774B1" w:rsidRPr="00A831E7">
        <w:rPr>
          <w:rFonts w:eastAsia="Calibri"/>
        </w:rPr>
        <w:t xml:space="preserve"> είχαν</w:t>
      </w:r>
      <w:r w:rsidRPr="00A831E7">
        <w:rPr>
          <w:rFonts w:eastAsia="Calibri"/>
        </w:rPr>
        <w:t xml:space="preserve"> μειωμένη έκφραση σε λεμφοκύτταρα, αντανακλώντας ανοσολογικές μεταβολές που προκαλεί το εγκεφαλικό. Ανάλυση παραγόντων έδειξε ότι πάνω από 50% της συνολικής μεταβολής στην έκφραση των γονιδίων οφείλεται στη διαφοροποίηση των λευκοκυττάρων, υποδηλώνοντας ότι αυτά λειτουργούν κυρίως ως δείκτες ανοσολογικών αλλαγών παρά ως άμεσοι παθολογικοί παράγοντες</w:t>
      </w:r>
      <w:r w:rsidR="005774B1" w:rsidRPr="00A831E7">
        <w:rPr>
          <w:rFonts w:eastAsia="Calibri"/>
        </w:rPr>
        <w:t xml:space="preserve"> </w:t>
      </w:r>
      <w:r w:rsidR="005774B1" w:rsidRPr="00A831E7">
        <w:rPr>
          <w:rFonts w:eastAsia="Calibri"/>
        </w:rPr>
        <w:fldChar w:fldCharType="begin"/>
      </w:r>
      <w:r w:rsidR="00B22777" w:rsidRPr="00A831E7">
        <w:rPr>
          <w:rFonts w:eastAsia="Calibri"/>
        </w:rPr>
        <w:instrText xml:space="preserve"> ADDIN ZOTERO_ITEM CSL_CITATION {"citationID":"yTNnQ1J4","properties":{"formattedCitation":"[71]","plainCitation":"[71]","noteIndex":0},"citationItems":[{"id":606,"uris":["http://zotero.org/users/local/mfHf28QG/items/SDSCZMT5"],"itemData":{"id":606,"type":"article-journal","abstract":"Our group recently identified a panel of ten genes whose RNA expression levels in whole blood have utility for detection of stroke. The purpose of this study was to determine the mechanisms by which these genes become differentially expressed during stroke pathology. First, we assessed the transcriptional distribution of the ten genes across the peripheral immune system by measuring their expression levels on isolated neutrophils, monocytes, B-lymphocytes, CD-4+ T-lymphocytes, CD-8+ T-lymphocytes, and NK cells generated from the blood of healthy donors (n=3). Then, we examined the relationship between the whole blood expression levels of the ten genes and white blood cell counts in a cohort of acute ischemic stroke patients (n=36) and acute stroke mimics (n=15) recruited at emergency department admission. All ten genes displayed strong patterns of lineage-specific expression in our analysis of isolated leukocytes, and their whole blood expression levels were correlated with white blood cell differential across the total patient population, suggesting that many of them are likely differentially expressed in whole blood during stroke as an artifact of stroke-induced shifts in leukocyte counts. Specifically, factor analysis inferred that over 50% of the collective variance in their whole blood expression levels across the patient population was driven by underlying variance in white blood cell counts alone. However, the cumulative expression levels of the ten genes displayed a superior ability to discriminate between stroke patients and stroke mimics over white blood cell differential, suggesting that additional less prominent factors influence their expression levels which add to their diagnostic utility. These findings not only provide insight regarding this particular panel of ten genes, but also into the results of prior stroke transcriptomics studies performed in whole blood.","container-title":"Translational stroke research","DOI":"10.1007/s12975-018-0623-1","ISSN":"1868-4483","issue":"1","journalAbbreviation":"Transl Stroke Res","note":"PMID: 29550910\nPMCID: PMC6141354","page":"26-35","source":"PubMed Central","title":"Shifts in leukocyte counts drive the differential expression of transcriptional stroke biomarkers in whole blood","volume":"10","author":[{"family":"O’Connell","given":"Grant C."},{"family":"Treadway","given":"Madison B."},{"family":"Tennant","given":"Connie S."},{"family":"Lucke-Wold","given":"Noelle"},{"family":"Chantler","given":"Paul D."},{"family":"Barr","given":"Taura L."}],"issued":{"date-parts":[["2019",2]]}}}],"schema":"https://github.com/citation-style-language/schema/raw/master/csl-citation.json"} </w:instrText>
      </w:r>
      <w:r w:rsidR="005774B1" w:rsidRPr="00A831E7">
        <w:rPr>
          <w:rFonts w:eastAsia="Calibri"/>
        </w:rPr>
        <w:fldChar w:fldCharType="separate"/>
      </w:r>
      <w:r w:rsidR="00B22777" w:rsidRPr="00A831E7">
        <w:rPr>
          <w:rFonts w:eastAsia="Calibri"/>
        </w:rPr>
        <w:t>[71]</w:t>
      </w:r>
      <w:r w:rsidR="005774B1" w:rsidRPr="00A831E7">
        <w:rPr>
          <w:rFonts w:eastAsia="Calibri"/>
        </w:rPr>
        <w:fldChar w:fldCharType="end"/>
      </w:r>
      <w:r w:rsidRPr="00A831E7">
        <w:rPr>
          <w:rFonts w:eastAsia="Calibri"/>
        </w:rPr>
        <w:t>.</w:t>
      </w:r>
    </w:p>
    <w:p w14:paraId="64D5D47C" w14:textId="1701D70B" w:rsidR="00D067D1" w:rsidRPr="00A831E7" w:rsidRDefault="00D067D1" w:rsidP="0057069D">
      <w:pPr>
        <w:spacing w:line="360" w:lineRule="auto"/>
        <w:ind w:firstLine="720"/>
        <w:jc w:val="both"/>
        <w:rPr>
          <w:rFonts w:eastAsia="Calibri"/>
        </w:rPr>
      </w:pPr>
      <w:r w:rsidRPr="00A831E7">
        <w:rPr>
          <w:rFonts w:eastAsia="Calibri"/>
        </w:rPr>
        <w:lastRenderedPageBreak/>
        <w:t>Σε σύγκριση με GFAP, NT-proBNP και NfL, που επικεντρώνονται σε αστροκυτταρική ή νευρ</w:t>
      </w:r>
      <w:r w:rsidR="00DD6A2E">
        <w:rPr>
          <w:rFonts w:eastAsia="Calibri"/>
        </w:rPr>
        <w:t>ωνι</w:t>
      </w:r>
      <w:r w:rsidRPr="00A831E7">
        <w:rPr>
          <w:rFonts w:eastAsia="Calibri"/>
        </w:rPr>
        <w:t>κή βλάβη, αυτή η προσέγγιση εστιάζει στις ανοσολογικές αποκρίσεις που επάγει το εγκεφαλικό, διευρύνοντας τις εφαρμογές βιοδεικτών στην πρώιμη ταξινόμηση εγκεφαλικών επεισοδίων.</w:t>
      </w:r>
    </w:p>
    <w:p w14:paraId="2765AF1D" w14:textId="77777777" w:rsidR="001B1A85" w:rsidRPr="00A831E7" w:rsidRDefault="001B1A85" w:rsidP="0057069D">
      <w:pPr>
        <w:spacing w:line="360" w:lineRule="auto"/>
        <w:ind w:firstLine="720"/>
        <w:jc w:val="both"/>
        <w:rPr>
          <w:rFonts w:eastAsia="Calibri"/>
        </w:rPr>
      </w:pPr>
    </w:p>
    <w:p w14:paraId="75C185DB" w14:textId="5EC4E241" w:rsidR="001B1A85" w:rsidRPr="00A831E7" w:rsidRDefault="001B1A85" w:rsidP="0057069D">
      <w:pPr>
        <w:pStyle w:val="2"/>
        <w:spacing w:line="360" w:lineRule="auto"/>
        <w:rPr>
          <w:rFonts w:ascii="Times New Roman" w:hAnsi="Times New Roman" w:cs="Times New Roman"/>
          <w:b/>
          <w:bCs/>
          <w:i/>
          <w:iCs/>
          <w:color w:val="auto"/>
          <w:sz w:val="28"/>
          <w:szCs w:val="28"/>
        </w:rPr>
      </w:pPr>
      <w:bookmarkStart w:id="120" w:name="_Toc199787408"/>
      <w:bookmarkStart w:id="121" w:name="_Toc199946479"/>
      <w:r w:rsidRPr="00A831E7">
        <w:rPr>
          <w:rFonts w:ascii="Times New Roman" w:hAnsi="Times New Roman" w:cs="Times New Roman"/>
          <w:b/>
          <w:bCs/>
          <w:i/>
          <w:iCs/>
          <w:color w:val="auto"/>
          <w:sz w:val="28"/>
          <w:szCs w:val="28"/>
        </w:rPr>
        <w:t>4.3 Αξιοποίηση  Μηχανικής Μάθησης (ML) με Βιοδείκτες</w:t>
      </w:r>
      <w:bookmarkEnd w:id="120"/>
      <w:bookmarkEnd w:id="121"/>
    </w:p>
    <w:p w14:paraId="2F1A6F93" w14:textId="79B8B67F" w:rsidR="008D1226" w:rsidRPr="00A831E7" w:rsidRDefault="008D1226" w:rsidP="0057069D">
      <w:pPr>
        <w:spacing w:line="360" w:lineRule="auto"/>
        <w:ind w:firstLine="720"/>
        <w:jc w:val="both"/>
      </w:pPr>
      <w:r w:rsidRPr="00A831E7">
        <w:t xml:space="preserve">Η μηχανική μάθηση (ML) έχει αρχίσει να χρησιμοποιείται επιτυχώς στην εύρεση βιοδεικτών που σχετίζονται με το εγκεφαλικό επεισόδιο, επιτρέποντας ανάλυση μεγάλου όγκου δεδομένων και βελτιώνοντας την ακρίβεια ταξινόμησης των </w:t>
      </w:r>
      <w:r w:rsidR="00336BD8">
        <w:t>εγκεφαλικών επεισοδίων</w:t>
      </w:r>
      <w:r w:rsidRPr="00A831E7">
        <w:t xml:space="preserve">. Οι παραδοσιακές προσεγγίσεις βασίζονται σε προκαθορισμένα στατιστικά μοντέλα, τα οποία συχνά δυσκολεύονται να χειριστούν την πολυπλοκότητα και την ετερογένεια των βιολογικών δεικτών που σχετίζονται με το </w:t>
      </w:r>
      <w:r w:rsidR="00336BD8">
        <w:t>εγκεφαλικό επεισόδιο</w:t>
      </w:r>
      <w:r w:rsidRPr="00A831E7">
        <w:t xml:space="preserve">. </w:t>
      </w:r>
      <w:r w:rsidR="005103BB" w:rsidRPr="00A831E7">
        <w:t>Με την μηχανική μάθηση μπορούμε να</w:t>
      </w:r>
      <w:r w:rsidRPr="00A831E7">
        <w:t xml:space="preserve"> </w:t>
      </w:r>
      <w:r w:rsidR="005103BB" w:rsidRPr="00A831E7">
        <w:t xml:space="preserve">αναπτύξουμε </w:t>
      </w:r>
      <w:r w:rsidRPr="00A831E7">
        <w:t xml:space="preserve">υπολογιστικούς αλγορίθμους για την αναγνώριση προβλέψιμων χαρακτηριστικών, τη βελτιστοποίηση της ταξινόμησης και τη βελτίωση των διαγνωστικών μοντέλων </w:t>
      </w:r>
      <w:r w:rsidRPr="00A831E7">
        <w:fldChar w:fldCharType="begin"/>
      </w:r>
      <w:r w:rsidR="00B22777" w:rsidRPr="00A831E7">
        <w:instrText xml:space="preserve"> ADDIN ZOTERO_ITEM CSL_CITATION {"citationID":"5TjPA0eu","properties":{"formattedCitation":"[21], [74]","plainCitation":"[21], [74]","noteIndex":0},"citationItems":[{"id":294,"uris":["http://zotero.org/users/local/mfHf28QG/items/YA2XYRNF"],"itemData":{"id":294,"type":"article-journal","abstract":"OBJECTIVES: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id":122,"uris":["http://zotero.org/users/local/mfHf28QG/items/6MA7QMM2"],"itemData":{"id":122,"type":"article-journal","abstract":"Accurate stroke recognition during triage can streamline care and afford patients earlier access to life-saving interventions. However, the tools currently available to clinicians for prehospital and early in-hospital identification of stroke are ...","container-title":"Neurotherapeutics","DOI":"10.1007/s13311-019-00720-9","issue":"3","language":"en","note":"PMID: 30783962","page":"868","source":"pmc.ncbi.nlm.nih.gov","title":"High-Throughput Profiling of Circulating Antibody Signatures for Stroke Diagnosis Using Small Volumes of Whole Blood","volume":"16","author":[{"family":"O’Connell","given":"Grant C."},{"family":"Stafford","given":"Phillip"},{"family":"Walsh","given":"Kyle B."},{"family":"Adeoye","given":"Opeolu"},{"family":"Barr","given":"Taura L."}],"issued":{"date-parts":[["2019",2,19]]}}}],"schema":"https://github.com/citation-style-language/schema/raw/master/csl-citation.json"} </w:instrText>
      </w:r>
      <w:r w:rsidRPr="00A831E7">
        <w:fldChar w:fldCharType="separate"/>
      </w:r>
      <w:r w:rsidR="00B22777" w:rsidRPr="00A831E7">
        <w:t>[21], [74]</w:t>
      </w:r>
      <w:r w:rsidRPr="00A831E7">
        <w:fldChar w:fldCharType="end"/>
      </w:r>
      <w:r w:rsidRPr="00A831E7">
        <w:t>.</w:t>
      </w:r>
    </w:p>
    <w:p w14:paraId="2437354B" w14:textId="5F8FE1B1" w:rsidR="008D1226" w:rsidRPr="00A831E7" w:rsidRDefault="008D1226" w:rsidP="0057069D">
      <w:pPr>
        <w:spacing w:line="360" w:lineRule="auto"/>
        <w:ind w:firstLine="720"/>
        <w:jc w:val="both"/>
      </w:pPr>
      <w:r w:rsidRPr="00A831E7">
        <w:t xml:space="preserve">Πρόσφατες μελέτες έχουν δείξει ότι η αξιοποίηση μηχανικής μάθησης (ML) μπορεί να ενισχύσει τη διάγνωση εγκεφαλικών επεισοδίων μέσω ανάλυσης έκφρασης γονιδίων και  κυκλοφορούντων microRNA καθώς και της επιλογής ανοσολογικών βιοδεικτών βοηθώντας στην επιλογή χαρακτηριστικών </w:t>
      </w:r>
      <w:r w:rsidRPr="00A831E7">
        <w:fldChar w:fldCharType="begin"/>
      </w:r>
      <w:r w:rsidR="00B22777" w:rsidRPr="00A831E7">
        <w:instrText xml:space="preserve"> ADDIN ZOTERO_ITEM CSL_CITATION {"citationID":"CRQXDTbU","properties":{"formattedCitation":"[21], [75], [76]","plainCitation":"[21], [75], [76]","noteIndex":0},"citationItems":[{"id":294,"uris":["http://zotero.org/users/local/mfHf28QG/items/YA2XYRNF"],"itemData":{"id":294,"type":"article-journal","abstract":"OBJECTIVES: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schema":"https://github.com/citation-style-language/schema/raw/master/csl-citation.json"} </w:instrText>
      </w:r>
      <w:r w:rsidRPr="00A831E7">
        <w:fldChar w:fldCharType="separate"/>
      </w:r>
      <w:r w:rsidR="00B22777" w:rsidRPr="00A831E7">
        <w:t>[21], [75], [76]</w:t>
      </w:r>
      <w:r w:rsidRPr="00A831E7">
        <w:fldChar w:fldCharType="end"/>
      </w:r>
      <w:r w:rsidRPr="00A831E7">
        <w:t xml:space="preserve">. Τα μοντέλα ML, όπως οι μηχανές διανυσμάτων υποστήριξης (SVM), τα τυχαία δάση (RF) και τα τεχνητά νευρωνικά δίκτυα (ANN), αυξάνουν την ευαισθησία και την εξειδίκευση, υπερβαίνοντας τις παραδοσιακές μεθόδους απεικόνισης </w:t>
      </w:r>
      <w:r w:rsidRPr="00A831E7">
        <w:fldChar w:fldCharType="begin"/>
      </w:r>
      <w:r w:rsidR="00B22777" w:rsidRPr="00A831E7">
        <w:instrText xml:space="preserve"> ADDIN ZOTERO_ITEM CSL_CITATION {"citationID":"UkzRyiXO","properties":{"formattedCitation":"[77], [78], [79]","plainCitation":"[77], [78], [79]","noteIndex":0},"citationItems":[{"id":585,"uris":["http://zotero.org/users/local/mfHf28QG/items/PHBIWPGX"],"itemData":{"id":585,"type":"article-journal","abstract":"Purpose: The present study aimed to investigate the comprehensive differential expression profile of microRNAs (miRNAs) by screening for miRNA expression in ischemic stroke and normal samples., Methods: Differentially expressed miRNA (DEM) analysis was conducted using limma R Bioconductor package. Target genes of DEMs were identified from TargetScanHuman and miRTarBase databases. Functional enrichment analysis of the target genes was performed using clusterProfiler R Bioconductor package. The miRNA-based ischemic stroke diagnostic signature was constructed via logistic regression analysis., Results: Compared with the normal cohort, a total of 14 DEMs, including 5 up-regulated miRNAs and 9 down-regulated miRNAs, were identified in ischemic stroke patients. These DEMs have 1600 regulatory targets. Using a logistic regression model, the top five miRNAs were screened for constructing an miRNA-based ischemic stroke diagnostic signature. Using the miRNA–mRNA interaction pairs, two target genes (specificity protein 1 (SP1) and Argonaute 1 (AGO1)) were speculated to be the primary genes of ischemic stroke., Discussion and conclusion: Here, several potential miRNAs biomarkers were identified and an miRNA-based diagnostic signature for ischemic stroke was established, which can be a valuable reference for future clinical researches.","container-title":"Bioscience Reports","DOI":"10.1042/BSR20201154","ISSN":"0144-8463","issue":"8","journalAbbreviation":"Biosci Rep","note":"PMID: 32744319\nPMCID: PMC7432999","page":"BSR20201154","source":"PubMed Central","title":"Bioinformatics method combined with logistic regression analysis reveal potentially important miRNAs in ischemic stroke","volume":"40","author":[{"family":"Wei","given":"Zhiqiang"},{"family":"Qi","given":"Xingdi"},{"family":"Chen","given":"Yan"},{"family":"Xia","given":"Xiaoshuang"},{"family":"Zheng","given":"Boyu"},{"family":"Sun","given":"Xugang"},{"family":"Zhang","given":"Guangming"},{"family":"Wang","given":"Ling"},{"family":"Zhang","given":"Qi"},{"family":"Xu","given":"Chen"},{"family":"Jiang","given":"Shihe"},{"family":"Li","given":"Xiulian"},{"family":"Xie","given":"Bingxin"},{"family":"Liao","given":"Xiaohui"},{"family":"Zhu","given":"Ai"}],"issued":{"date-parts":[["2020",8,17]]}},"label":"page"},{"id":359,"uris":["http://zotero.org/users/local/mfHf28QG/items/684W7TJH"],"itemData":{"id":359,"type":"article-journal","abstract":"Ischemic stroke (IS) is a severe condition regulated by complex molecular alterations. This study aimed to identify potential nicotinamide adenine dinucleotide (NAD+) metabolism-associated diagnostic markers of IS and explore their associations with immune dynamics. Weighted Gene Co-expression Network Analysis and single-sample gene set enrichment analysis (ssGSEA) were employed to identify key gene modules on the GEO dataset (GSE16561). LASSO regression was used to identify diagnostic genes. A diagnostic model was then developed using the training dataset, and its performance was assessed using a validation dataset (GSE22255 dataset). Associations between hub genes and immune cells, immune response genes, and human leukocyte antigen (HLA) genes were assessed by ssGSEA. A regulatory network was constructed using mirBase and TRRUST databases. A total of 20 NAD+ metabolic genes exhibited noteworthy expression variations. Within the module notably associated with NAD+ metabolism, 19 specific genes were included in the diagnostic model, which was validated on the GSE22255 dataset (AUC: 0.733). There were significant disparities in immune cell populations, immune response genes, and HLA gene expression, all of which were associated with the hub genes. A regulatory network composed of 153 edges and 103 nodes was constructed. This study advances our understanding of IS by providing insights into NAD+ metabolism and gene interactions, contributing to potential diagnostic innovations in IS.","container-title":"Experimental Gerontology","DOI":"10.1016/j.exger.2024.112584","ISSN":"0531-5565","journalAbbreviation":"Experimental Gerontology","page":"112584","source":"ScienceDirect","title":"Employ machine learning to identify NAD+ metabolism-related diagnostic markers for ischemic stroke and develop a diagnostic model","volume":"196","author":[{"family":"Sun","given":"Yameng"},{"family":"Ding","given":"Shenghao"},{"family":"Shen","given":"Fei"},{"family":"Yang","given":"Xiaolan"},{"family":"Sun","given":"Wenhua"},{"family":"Wan","given":"Jieqing"}],"issued":{"date-parts":[["2024",10,15]]}},"label":"page"},{"id":270,"uris":["http://zotero.org/users/local/mfHf28QG/items/FSC92ZHB"],"itemData":{"id":270,"type":"article-journal","abstract":"Background: Coagulation system is currently known associated with the development of ischemic stroke (IS). Thus, the current study is designed to identify diagnostic value of coagulation genes (CGs) in IS and to explore their role in the immune ...","container-title":"Aging (Albany NY)","DOI":"10.18632/aging.205706","issue":"7","language":"en","note":"PMID: 38575196","page":"6314","source":"pmc.ncbi.nlm.nih.gov","title":"Machine learning identifies novel coagulation genes as diagnostic and immunological biomarkers in ischemic stroke","volume":"16","author":[{"family":"Liu","given":"Jinzhi"},{"family":"Si","given":"Zhihua"},{"family":"Liu","given":"Ju"},{"family":"Zhang","given":"Xu"},{"family":"Xie","given":"Cong"},{"family":"Zhao","given":"Wei"},{"family":"Wang","given":"Aihua"},{"family":"Xia","given":"Zhangyong"}],"issued":{"date-parts":[["2024",4,3]]}},"label":"page"}],"schema":"https://github.com/citation-style-language/schema/raw/master/csl-citation.json"} </w:instrText>
      </w:r>
      <w:r w:rsidRPr="00A831E7">
        <w:fldChar w:fldCharType="separate"/>
      </w:r>
      <w:r w:rsidR="00B22777" w:rsidRPr="00A831E7">
        <w:t>[77], [78], [79]</w:t>
      </w:r>
      <w:r w:rsidRPr="00A831E7">
        <w:fldChar w:fldCharType="end"/>
      </w:r>
      <w:r w:rsidRPr="00A831E7">
        <w:t>.</w:t>
      </w:r>
    </w:p>
    <w:p w14:paraId="75043E62" w14:textId="622DE401" w:rsidR="008D1226" w:rsidRPr="00A831E7" w:rsidRDefault="008D1226" w:rsidP="0057069D">
      <w:pPr>
        <w:spacing w:line="360" w:lineRule="auto"/>
        <w:ind w:firstLine="720"/>
        <w:jc w:val="both"/>
      </w:pPr>
      <w:r w:rsidRPr="00A831E7">
        <w:t>Η επικύρωση των σ</w:t>
      </w:r>
      <w:r w:rsidR="00C72D97" w:rsidRPr="00A831E7">
        <w:t>ετ</w:t>
      </w:r>
      <w:r w:rsidRPr="00A831E7">
        <w:t xml:space="preserve"> δεδομένων είναι κρίσιμο βήμα για τη διασφάλιση της αξιοπιστίας και γενικευσιμότητας των ML μοντέλων  </w:t>
      </w:r>
      <w:r w:rsidR="00C72D97" w:rsidRPr="00A831E7">
        <w:t xml:space="preserve">για το εγκεφαλικό επεισόδιο </w:t>
      </w:r>
      <w:r w:rsidR="00C72D97" w:rsidRPr="00A831E7">
        <w:fldChar w:fldCharType="begin"/>
      </w:r>
      <w:r w:rsidR="00B22777" w:rsidRPr="00A831E7">
        <w:instrText xml:space="preserve"> ADDIN ZOTERO_ITEM CSL_CITATION {"citationID":"vZd8HmXA","properties":{"formattedCitation":"[75], [76], [77]","plainCitation":"[75], [76], [77]","noteIndex":0},"citationItems":[{"id":298,"uris":["http://zotero.org/users/local/mfHf28QG/items/5V7SWQNA"],"itemData":{"id":298,"type":"article-journal","abstract":"Intracerebral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id":585,"uris":["http://zotero.org/users/local/mfHf28QG/items/PHBIWPGX"],"itemData":{"id":585,"type":"article-journal","abstract":"Purpose: The present study aimed to investigate the comprehensive differential expression profile of microRNAs (miRNAs) by screening for miRNA expression in ischemic stroke and normal samples., Methods: Differentially expressed miRNA (DEM) analysis was conducted using limma R Bioconductor package. Target genes of DEMs were identified from TargetScanHuman and miRTarBase databases. Functional enrichment analysis of the target genes was performed using clusterProfiler R Bioconductor package. The miRNA-based ischemic stroke diagnostic signature was constructed via logistic regression analysis., Results: Compared with the normal cohort, a total of 14 DEMs, including 5 up-regulated miRNAs and 9 down-regulated miRNAs, were identified in ischemic stroke patients. These DEMs have 1600 regulatory targets. Using a logistic regression model, the top five miRNAs were screened for constructing an miRNA-based ischemic stroke diagnostic signature. Using the miRNA–mRNA interaction pairs, two target genes (specificity protein 1 (SP1) and Argonaute 1 (AGO1)) were speculated to be the primary genes of ischemic stroke., Discussion and conclusion: Here, several potential miRNAs biomarkers were identified and an miRNA-based diagnostic signature for ischemic stroke was established, which can be a valuable reference for future clinical researches.","container-title":"Bioscience Reports","DOI":"10.1042/BSR20201154","ISSN":"0144-8463","issue":"8","journalAbbreviation":"Biosci Rep","note":"PMID: 32744319\nPMCID: PMC7432999","page":"BSR20201154","source":"PubMed Central","title":"Bioinformatics method combined with logistic regression analysis reveal potentially important miRNAs in ischemic stroke","volume":"40","author":[{"family":"Wei","given":"Zhiqiang"},{"family":"Qi","given":"Xingdi"},{"family":"Chen","given":"Yan"},{"family":"Xia","given":"Xiaoshuang"},{"family":"Zheng","given":"Boyu"},{"family":"Sun","given":"Xugang"},{"family":"Zhang","given":"Guangming"},{"family":"Wang","given":"Ling"},{"family":"Zhang","given":"Qi"},{"family":"Xu","given":"Chen"},{"family":"Jiang","given":"Shihe"},{"family":"Li","given":"Xiulian"},{"family":"Xie","given":"Bingxin"},{"family":"Liao","given":"Xiaohui"},{"family":"Zhu","given":"Ai"}],"issued":{"date-parts":[["2020",8,17]]}}}],"schema":"https://github.com/citation-style-language/schema/raw/master/csl-citation.json"} </w:instrText>
      </w:r>
      <w:r w:rsidR="00C72D97" w:rsidRPr="00A831E7">
        <w:fldChar w:fldCharType="separate"/>
      </w:r>
      <w:r w:rsidR="00B22777" w:rsidRPr="00A831E7">
        <w:t>[75], [76], [77]</w:t>
      </w:r>
      <w:r w:rsidR="00C72D97" w:rsidRPr="00A831E7">
        <w:fldChar w:fldCharType="end"/>
      </w:r>
      <w:r w:rsidRPr="00A831E7">
        <w:t xml:space="preserve">. Στις μελέτες που </w:t>
      </w:r>
      <w:r w:rsidR="006D54C3">
        <w:t>επιλέχθηκαν</w:t>
      </w:r>
      <w:r w:rsidRPr="00A831E7">
        <w:t xml:space="preserve">, </w:t>
      </w:r>
      <w:r w:rsidR="00DF3B6E" w:rsidRPr="00A831E7">
        <w:t>χρησιμοποι</w:t>
      </w:r>
      <w:r w:rsidR="00DF3B6E">
        <w:t>ούνται</w:t>
      </w:r>
      <w:r w:rsidRPr="00A831E7">
        <w:t xml:space="preserve"> μέθοδοι διασταυρούμενης επικύρωσης</w:t>
      </w:r>
      <w:r w:rsidR="00C72D97" w:rsidRPr="00A831E7">
        <w:t xml:space="preserve"> (cross-validation)</w:t>
      </w:r>
      <w:r w:rsidRPr="00A831E7">
        <w:t>, εξωτερικής επικύρωσης</w:t>
      </w:r>
      <w:r w:rsidR="00C72D97" w:rsidRPr="00A831E7">
        <w:t xml:space="preserve"> (external validation) </w:t>
      </w:r>
      <w:r w:rsidRPr="00A831E7">
        <w:t>και ανεξάρτητων δοκιμαστικών συνόλων δεδομένων για τη βελτίωση της επιλογής βιοδεικτών και της ακρίβειας</w:t>
      </w:r>
      <w:r w:rsidR="00C72D97" w:rsidRPr="00A831E7">
        <w:t xml:space="preserve"> στην</w:t>
      </w:r>
      <w:r w:rsidRPr="00A831E7">
        <w:t xml:space="preserve"> ταξινόμηση</w:t>
      </w:r>
      <w:r w:rsidR="00C72D97" w:rsidRPr="00A831E7">
        <w:t xml:space="preserve"> </w:t>
      </w:r>
      <w:r w:rsidR="00C72D97" w:rsidRPr="00A831E7">
        <w:fldChar w:fldCharType="begin"/>
      </w:r>
      <w:r w:rsidR="00B22777" w:rsidRPr="00A831E7">
        <w:instrText xml:space="preserve"> ADDIN ZOTERO_ITEM CSL_CITATION {"citationID":"gbsvL3Zi","properties":{"formattedCitation":"[21], [74], [79]","plainCitation":"[21], [74], [79]","noteIndex":0},"citationItems":[{"id":294,"uris":["http://zotero.org/users/local/mfHf28QG/items/YA2XYRNF"],"itemData":{"id":294,"type":"article-journal","abstract":"OBJECTIVES: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id":122,"uris":["http://zotero.org/users/local/mfHf28QG/items/6MA7QMM2"],"itemData":{"id":122,"type":"article-journal","abstract":"Accurate stroke recognition during triage can streamline care and afford patients earlier access to life-saving interventions. However, the tools currently available to clinicians for prehospital and early in-hospital identification of stroke are ...","container-title":"Neurotherapeutics","DOI":"10.1007/s13311-019-00720-9","issue":"3","language":"en","note":"PMID: 30783962","page":"868","source":"pmc.ncbi.nlm.nih.gov","title":"High-Throughput Profiling of Circulating Antibody Signatures for Stroke Diagnosis Using Small Volumes of Whole Blood","volume":"16","author":[{"family":"O’Connell","given":"Grant C."},{"family":"Stafford","given":"Phillip"},{"family":"Walsh","given":"Kyle B."},{"family":"Adeoye","given":"Opeolu"},{"family":"Barr","given":"Taura L."}],"issued":{"date-parts":[["2019",2,19]]}}},{"id":270,"uris":["http://zotero.org/users/local/mfHf28QG/items/FSC92ZHB"],"itemData":{"id":270,"type":"article-journal","abstract":"Background: Coagulation system is currently known associated with the development of ischemic stroke (IS). Thus, the current study is designed to identify diagnostic value of coagulation genes (CGs) in IS and to explore their role in the immune ...","container-title":"Aging (Albany NY)","DOI":"10.18632/aging.205706","issue":"7","language":"en","note":"PMID: 38575196","page":"6314","source":"pmc.ncbi.nlm.nih.gov","title":"Machine learning identifies novel coagulation genes as diagnostic and immunological biomarkers in ischemic stroke","volume":"16","author":[{"family":"Liu","given":"Jinzhi"},{"family":"Si","given":"Zhihua"},{"family":"Liu","given":"Ju"},{"family":"Zhang","given":"Xu"},{"family":"Xie","given":"Cong"},{"family":"Zhao","given":"Wei"},{"family":"Wang","given":"Aihua"},{"family":"Xia","given":"Zhangyong"}],"issued":{"date-parts":[["2024",4,3]]}}}],"schema":"https://github.com/citation-style-language/schema/raw/master/csl-citation.json"} </w:instrText>
      </w:r>
      <w:r w:rsidR="00C72D97" w:rsidRPr="00A831E7">
        <w:fldChar w:fldCharType="separate"/>
      </w:r>
      <w:r w:rsidR="00B22777" w:rsidRPr="00A831E7">
        <w:t>[21], [74], [79]</w:t>
      </w:r>
      <w:r w:rsidR="00C72D97" w:rsidRPr="00A831E7">
        <w:fldChar w:fldCharType="end"/>
      </w:r>
      <w:r w:rsidRPr="00A831E7">
        <w:t xml:space="preserve">. </w:t>
      </w:r>
      <w:r w:rsidR="00336BD8">
        <w:t>Μερικές</w:t>
      </w:r>
      <w:r w:rsidRPr="00A831E7">
        <w:t xml:space="preserve"> μελέτες αξιοποίησαν</w:t>
      </w:r>
      <w:r w:rsidR="00DF3B6E">
        <w:t xml:space="preserve"> δεκαπλώς διασταυρούμενη επικύρωση</w:t>
      </w:r>
      <w:r w:rsidRPr="00A831E7">
        <w:t xml:space="preserve"> </w:t>
      </w:r>
      <w:r w:rsidR="00DF3B6E">
        <w:t>(</w:t>
      </w:r>
      <w:r w:rsidR="00C72D97" w:rsidRPr="00A831E7">
        <w:t>ten-fold-cross-validation</w:t>
      </w:r>
      <w:r w:rsidR="00DF3B6E">
        <w:t>)</w:t>
      </w:r>
      <w:r w:rsidR="00C72D97" w:rsidRPr="00A831E7">
        <w:t xml:space="preserve"> </w:t>
      </w:r>
      <w:r w:rsidRPr="00A831E7">
        <w:t xml:space="preserve">για την αξιολόγηση της σταθερότητας μοντέλων που βασίζονται σε microRNA, εξασφαλίζοντας ότι η προβλεπτική τους απόδοση παρέμενε σταθερή σε διάφορα υποσύνολα ασθενών </w:t>
      </w:r>
      <w:r w:rsidR="00C72D97" w:rsidRPr="00A831E7">
        <w:fldChar w:fldCharType="begin"/>
      </w:r>
      <w:r w:rsidR="00B22777" w:rsidRPr="00A831E7">
        <w:instrText xml:space="preserve"> ADDIN ZOTERO_ITEM CSL_CITATION {"citationID":"uH0AICPO","properties":{"formattedCitation":"[21], [77]","plainCitation":"[21], [77]","noteIndex":0},"citationItems":[{"id":294,"uris":["http://zotero.org/users/local/mfHf28QG/items/YA2XYRNF"],"itemData":{"id":294,"type":"article-journal","abstract":"OBJECTIVES: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id":585,"uris":["http://zotero.org/users/local/mfHf28QG/items/PHBIWPGX"],"itemData":{"id":585,"type":"article-journal","abstract":"Purpose: The present study aimed to investigate the comprehensive differential expression profile of microRNAs (miRNAs) by screening for miRNA expression in ischemic stroke and normal samples., Methods: Differentially expressed miRNA (DEM) analysis was conducted using limma R Bioconductor package. Target genes of DEMs were identified from TargetScanHuman and miRTarBase databases. Functional enrichment analysis of the target genes was performed using clusterProfiler R Bioconductor package. The miRNA-based ischemic stroke diagnostic signature was constructed via logistic regression analysis., Results: Compared with the normal cohort, a total of 14 DEMs, including 5 up-regulated miRNAs and 9 down-regulated miRNAs, were identified in ischemic stroke patients. These DEMs have 1600 regulatory targets. Using a logistic regression model, the top five miRNAs were screened for constructing an miRNA-based ischemic stroke diagnostic signature. Using the miRNA–mRNA interaction pairs, two target genes (specificity protein 1 (SP1) and Argonaute 1 (AGO1)) were speculated to be the primary genes of ischemic stroke., Discussion and conclusion: Here, several potential miRNAs biomarkers were identified and an miRNA-based diagnostic signature for ischemic stroke was established, which can be a valuable reference for future clinical researches.","container-title":"Bioscience Reports","DOI":"10.1042/BSR20201154","ISSN":"0144-8463","issue":"8","journalAbbreviation":"Biosci Rep","note":"PMID: 32744319\nPMCID: PMC7432999","page":"BSR20201154","source":"PubMed Central","title":"Bioinformatics method combined with logistic regression analysis reveal potentially important miRNAs in ischemic stroke","volume":"40","author":[{"family":"Wei","given":"Zhiqiang"},{"family":"Qi","given":"Xingdi"},{"family":"Chen","given":"Yan"},{"family":"Xia","given":"Xiaoshuang"},{"family":"Zheng","given":"Boyu"},{"family":"Sun","given":"Xugang"},{"family":"Zhang","given":"Guangming"},{"family":"Wang","given":"Ling"},{"family":"Zhang","given":"Qi"},{"family":"Xu","given":"Chen"},{"family":"Jiang","given":"Shihe"},{"family":"Li","given":"Xiulian"},{"family":"Xie","given":"Bingxin"},{"family":"Liao","given":"Xiaohui"},{"family":"Zhu","given":"Ai"}],"issued":{"date-parts":[["2020",8,17]]}}}],"schema":"https://github.com/citation-style-language/schema/raw/master/csl-citation.json"} </w:instrText>
      </w:r>
      <w:r w:rsidR="00C72D97" w:rsidRPr="00A831E7">
        <w:fldChar w:fldCharType="separate"/>
      </w:r>
      <w:r w:rsidR="00B22777" w:rsidRPr="00A831E7">
        <w:t>[21], [77]</w:t>
      </w:r>
      <w:r w:rsidR="00C72D97" w:rsidRPr="00A831E7">
        <w:fldChar w:fldCharType="end"/>
      </w:r>
      <w:r w:rsidRPr="00A831E7">
        <w:t>. Παράλληλ</w:t>
      </w:r>
      <w:r w:rsidR="00336BD8">
        <w:t>α</w:t>
      </w:r>
      <w:r w:rsidRPr="00A831E7">
        <w:t>,  ενσωματώθηκαν</w:t>
      </w:r>
      <w:r w:rsidR="00C72D97" w:rsidRPr="00A831E7">
        <w:t xml:space="preserve"> </w:t>
      </w:r>
      <w:r w:rsidR="00DF3B6E">
        <w:t xml:space="preserve">σετ εξωτερικής </w:t>
      </w:r>
      <w:r w:rsidR="00DF3B6E">
        <w:lastRenderedPageBreak/>
        <w:t xml:space="preserve">επικύρωσης </w:t>
      </w:r>
      <w:r w:rsidRPr="00A831E7">
        <w:t xml:space="preserve">σε μελέτες RNA-βιοδεικτών και ανοσολογικών δεικτών, επιβεβαιώνοντας την </w:t>
      </w:r>
      <w:r w:rsidR="00C72D97" w:rsidRPr="00A831E7">
        <w:t>επαναληψιμότητα και ακρίβεια</w:t>
      </w:r>
      <w:r w:rsidRPr="00A831E7">
        <w:t xml:space="preserve"> πέρα από τα αρχικά σ</w:t>
      </w:r>
      <w:r w:rsidR="00C72D97" w:rsidRPr="00A831E7">
        <w:t>ετ</w:t>
      </w:r>
      <w:r w:rsidRPr="00A831E7">
        <w:t xml:space="preserve"> δεδομένων</w:t>
      </w:r>
      <w:r w:rsidR="00C72D97" w:rsidRPr="00A831E7">
        <w:t xml:space="preserve"> </w:t>
      </w:r>
      <w:r w:rsidR="00C72D97" w:rsidRPr="00A831E7">
        <w:fldChar w:fldCharType="begin"/>
      </w:r>
      <w:r w:rsidR="00B22777" w:rsidRPr="00A831E7">
        <w:instrText xml:space="preserve"> ADDIN ZOTERO_ITEM CSL_CITATION {"citationID":"6hokHzAp","properties":{"formattedCitation":"[75], [76]","plainCitation":"[75], [76]","noteIndex":0},"citationItems":[{"id":298,"uris":["http://zotero.org/users/local/mfHf28QG/items/5V7SWQNA"],"itemData":{"id":298,"type":"article-journal","abstract":"Intracerebral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schema":"https://github.com/citation-style-language/schema/raw/master/csl-citation.json"} </w:instrText>
      </w:r>
      <w:r w:rsidR="00C72D97" w:rsidRPr="00A831E7">
        <w:fldChar w:fldCharType="separate"/>
      </w:r>
      <w:r w:rsidR="00B22777" w:rsidRPr="00A831E7">
        <w:t>[75], [76]</w:t>
      </w:r>
      <w:r w:rsidR="00C72D97" w:rsidRPr="00A831E7">
        <w:fldChar w:fldCharType="end"/>
      </w:r>
      <w:r w:rsidRPr="00A831E7">
        <w:t>. Η</w:t>
      </w:r>
      <w:r w:rsidR="00C72D97" w:rsidRPr="00A831E7">
        <w:t xml:space="preserve"> αποφυγή</w:t>
      </w:r>
      <w:r w:rsidRPr="00A831E7">
        <w:t xml:space="preserve"> χρήση</w:t>
      </w:r>
      <w:r w:rsidR="00C72D97" w:rsidRPr="00A831E7">
        <w:t>ς του</w:t>
      </w:r>
      <w:r w:rsidRPr="00A831E7">
        <w:t xml:space="preserve"> </w:t>
      </w:r>
      <w:r w:rsidR="00C72D97" w:rsidRPr="00A831E7">
        <w:t>ίδιου σετ δεδομένων</w:t>
      </w:r>
      <w:r w:rsidR="00336BD8">
        <w:t xml:space="preserve"> – όπου αυτό είναι δυνατό –</w:t>
      </w:r>
      <w:r w:rsidR="00C72D97" w:rsidRPr="00A831E7">
        <w:t xml:space="preserve"> για </w:t>
      </w:r>
      <w:r w:rsidR="00DF3B6E">
        <w:t>εκπαίδευση</w:t>
      </w:r>
      <w:r w:rsidR="00C72D97" w:rsidRPr="00A831E7">
        <w:t xml:space="preserve"> και </w:t>
      </w:r>
      <w:r w:rsidR="00DF3B6E">
        <w:t>επικύρωση</w:t>
      </w:r>
      <w:r w:rsidRPr="00A831E7">
        <w:t xml:space="preserve">, </w:t>
      </w:r>
      <w:r w:rsidR="00C72D97" w:rsidRPr="00A831E7">
        <w:t>μειώνει τους</w:t>
      </w:r>
      <w:r w:rsidRPr="00A831E7">
        <w:t xml:space="preserve"> κίνδυνο</w:t>
      </w:r>
      <w:r w:rsidR="00C72D97" w:rsidRPr="00A831E7">
        <w:t>υς</w:t>
      </w:r>
      <w:r w:rsidRPr="00A831E7">
        <w:t xml:space="preserve"> υπερπροσαρμογής (overfitting) </w:t>
      </w:r>
      <w:r w:rsidR="00C72D97" w:rsidRPr="00A831E7">
        <w:fldChar w:fldCharType="begin"/>
      </w:r>
      <w:r w:rsidR="00B22777" w:rsidRPr="00A831E7">
        <w:instrText xml:space="preserve"> ADDIN ZOTERO_ITEM CSL_CITATION {"citationID":"aWJKXvFm","properties":{"formattedCitation":"[74], [80]","plainCitation":"[74], [80]","noteIndex":0},"citationItems":[{"id":122,"uris":["http://zotero.org/users/local/mfHf28QG/items/6MA7QMM2"],"itemData":{"id":122,"type":"article-journal","abstract":"Accurate stroke recognition during triage can streamline care and afford patients earlier access to life-saving interventions. However, the tools currently available to clinicians for prehospital and early in-hospital identification of stroke are ...","container-title":"Neurotherapeutics","DOI":"10.1007/s13311-019-00720-9","issue":"3","language":"en","note":"PMID: 30783962","page":"868","source":"pmc.ncbi.nlm.nih.gov","title":"High-Throughput Profiling of Circulating Antibody Signatures for Stroke Diagnosis Using Small Volumes of Whole Blood","volume":"16","author":[{"family":"O’Connell","given":"Grant C."},{"family":"Stafford","given":"Phillip"},{"family":"Walsh","given":"Kyle B."},{"family":"Adeoye","given":"Opeolu"},{"family":"Barr","given":"Taura L."}],"issued":{"date-parts":[["2019",2,19]]}}},{"id":510,"uris":["http://zotero.org/users/local/mfHf28QG/items/62MEESIZ"],"itemData":{"id":510,"type":"article-journal","abstract":"Identifying molecular biomarkers characteristic of ischemic stroke has the potential to aid in distinguishing stroke cases from stroke mimicking symptoms, as well as advancing the understanding of the physiological changes that underlie the body’s ...","container-title":"BMC Medical Genomics","DOI":"10.1186/s12920-019-0566-8","language":"en","note":"PMID: 31391037","page":"118","source":"pmc.ncbi.nlm.nih.gov","title":"Discovery of stroke-related blood biomarkers from gene expression network models","volume":"12","author":[{"family":"Theofilatos","given":"Konstantinos"},{"family":"Korfiati","given":"Aigli"},{"family":"Mavroudi","given":"Seferina"},{"family":"Cowperthwaite","given":"Matthew C."},{"family":"Shpak","given":"Max"}],"issued":{"date-parts":[["2019",8,7]]}}}],"schema":"https://github.com/citation-style-language/schema/raw/master/csl-citation.json"} </w:instrText>
      </w:r>
      <w:r w:rsidR="00C72D97" w:rsidRPr="00A831E7">
        <w:fldChar w:fldCharType="separate"/>
      </w:r>
      <w:r w:rsidR="00B22777" w:rsidRPr="00A831E7">
        <w:t>[74], [80]</w:t>
      </w:r>
      <w:r w:rsidR="00C72D97" w:rsidRPr="00A831E7">
        <w:fldChar w:fldCharType="end"/>
      </w:r>
      <w:r w:rsidR="00C72D97" w:rsidRPr="00A831E7">
        <w:t>.</w:t>
      </w:r>
    </w:p>
    <w:p w14:paraId="3EDA2206" w14:textId="591836A5" w:rsidR="008D1226" w:rsidRPr="00A831E7" w:rsidRDefault="008D1226" w:rsidP="0057069D">
      <w:pPr>
        <w:spacing w:line="360" w:lineRule="auto"/>
        <w:ind w:firstLine="720"/>
        <w:jc w:val="both"/>
      </w:pPr>
      <w:r w:rsidRPr="00A831E7">
        <w:t>Μέσω της ενσωμάτωσης επικύρωσης πολλαπλών ομάδων</w:t>
      </w:r>
      <w:r w:rsidR="00E66665" w:rsidRPr="00A831E7">
        <w:t xml:space="preserve"> (multi-cohort validation)</w:t>
      </w:r>
      <w:r w:rsidRPr="00A831E7">
        <w:t>, οι ερευνητές βελτιώνουν την κλινική εφαρμοσιμότητα των ML-βιοδεικτών, μειώνοντας την προκατάληψη</w:t>
      </w:r>
      <w:r w:rsidR="00E66665" w:rsidRPr="00A831E7">
        <w:t xml:space="preserve"> του μοντέλου</w:t>
      </w:r>
      <w:r w:rsidRPr="00A831E7">
        <w:t xml:space="preserve"> και βελτιώνοντας την διαγνωστική αξιοπιστία</w:t>
      </w:r>
      <w:r w:rsidR="00E66665" w:rsidRPr="00A831E7">
        <w:t xml:space="preserve"> </w:t>
      </w:r>
      <w:r w:rsidR="00E66665" w:rsidRPr="00A831E7">
        <w:fldChar w:fldCharType="begin"/>
      </w:r>
      <w:r w:rsidR="00B22777" w:rsidRPr="00A831E7">
        <w:instrText xml:space="preserve"> ADDIN ZOTERO_ITEM CSL_CITATION {"citationID":"i7fqDKUk","properties":{"formattedCitation":"[79], [81]","plainCitation":"[79], [81]","noteIndex":0},"citationItems":[{"id":270,"uris":["http://zotero.org/users/local/mfHf28QG/items/FSC92ZHB"],"itemData":{"id":270,"type":"article-journal","abstract":"Background: Coagulation system is currently known associated with the development of ischemic stroke (IS). Thus, the current study is designed to identify diagnostic value of coagulation genes (CGs) in IS and to explore their role in the immune ...","container-title":"Aging (Albany NY)","DOI":"10.18632/aging.205706","issue":"7","language":"en","note":"PMID: 38575196","page":"6314","source":"pmc.ncbi.nlm.nih.gov","title":"Machine learning identifies novel coagulation genes as diagnostic and immunological biomarkers in ischemic stroke","volume":"16","author":[{"family":"Liu","given":"Jinzhi"},{"family":"Si","given":"Zhihua"},{"family":"Liu","given":"Ju"},{"family":"Zhang","given":"Xu"},{"family":"Xie","given":"Cong"},{"family":"Zhao","given":"Wei"},{"family":"Wang","given":"Aihua"},{"family":"Xia","given":"Zhangyong"}],"issued":{"date-parts":[["2024",4,3]]}}},{"id":119,"uris":["http://zotero.org/users/local/mfHf28QG/items/FJTDNHQJ"],"itemData":{"id":119,"type":"article-journal","abstract":"The development of tools that could help emergency department clinicians recognize stroke during triage could reduce treatment delays and improve patient outcomes. Growing evidence suggests that stroke is associated with several changes in ...","container-title":"BMC Neurology","DOI":"10.1186/s12883-022-02726-x","language":"en","note":"PMID: 35659609","page":"206","source":"pmc.ncbi.nlm.nih.gov","title":"Use of deep artificial neural networks to identify stroke during triage via subtle changes in circulating cell counts","volume":"22","author":[{"family":"O’Connell","given":"Grant C."},{"family":"Walsh","given":"Kyle B."},{"family":"Smothers","given":"Christine G."},{"family":"Ruksakulpiwat","given":"Suebsarn"},{"family":"Armentrout","given":"Bethany L."},{"family":"Winkelman","given":"Chris"},{"family":"Milling","given":"Truman J."},{"family":"Warach","given":"Steven J."},{"family":"Barr","given":"Taura L."}],"issued":{"date-parts":[["2022",6,3]]}}}],"schema":"https://github.com/citation-style-language/schema/raw/master/csl-citation.json"} </w:instrText>
      </w:r>
      <w:r w:rsidR="00E66665" w:rsidRPr="00A831E7">
        <w:fldChar w:fldCharType="separate"/>
      </w:r>
      <w:r w:rsidR="00B22777" w:rsidRPr="00A831E7">
        <w:t>[79], [81]</w:t>
      </w:r>
      <w:r w:rsidR="00E66665" w:rsidRPr="00A831E7">
        <w:fldChar w:fldCharType="end"/>
      </w:r>
      <w:r w:rsidRPr="00A831E7">
        <w:t xml:space="preserve">. </w:t>
      </w:r>
      <w:r w:rsidR="006D54C3">
        <w:t>Τα δεδομένα</w:t>
      </w:r>
      <w:r w:rsidRPr="00A831E7">
        <w:t xml:space="preserve"> που συνοψίζονται στον </w:t>
      </w:r>
      <w:r w:rsidRPr="006D54C3">
        <w:rPr>
          <w:i/>
          <w:iCs/>
        </w:rPr>
        <w:t>Πίνακα 16</w:t>
      </w:r>
      <w:r w:rsidRPr="00A831E7">
        <w:t xml:space="preserve"> υπογραμμίζουν την ανάγκη αυστηρών δοκιμών στην έρευνα βιοδεικτών εγκεφαλικού, ώστε τα μοντέλα ML να </w:t>
      </w:r>
      <w:r w:rsidR="00E66665" w:rsidRPr="00A831E7">
        <w:t xml:space="preserve">μπορούν να εφαρμοστούν </w:t>
      </w:r>
      <w:r w:rsidRPr="00A831E7">
        <w:t xml:space="preserve">αποτελεσματικά σε </w:t>
      </w:r>
      <w:r w:rsidR="00E66665" w:rsidRPr="00A831E7">
        <w:t xml:space="preserve">πραγματικές </w:t>
      </w:r>
      <w:r w:rsidRPr="00A831E7">
        <w:t>κλινικές συνθήκες</w:t>
      </w:r>
      <w:r w:rsidR="00E66665" w:rsidRPr="00A831E7">
        <w:t xml:space="preserve"> </w:t>
      </w:r>
      <w:r w:rsidR="00E66665" w:rsidRPr="00A831E7">
        <w:fldChar w:fldCharType="begin"/>
      </w:r>
      <w:r w:rsidR="00B22777" w:rsidRPr="00A831E7">
        <w:instrText xml:space="preserve"> ADDIN ZOTERO_ITEM CSL_CITATION {"citationID":"vUKIm9XY","properties":{"formattedCitation":"[75], [76], [78]","plainCitation":"[75], [76], [78]","noteIndex":0},"citationItems":[{"id":298,"uris":["http://zotero.org/users/local/mfHf28QG/items/5V7SWQNA"],"itemData":{"id":298,"type":"article-journal","abstract":"Intracerebral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id":359,"uris":["http://zotero.org/users/local/mfHf28QG/items/684W7TJH"],"itemData":{"id":359,"type":"article-journal","abstract":"Ischemic stroke (IS) is a severe condition regulated by complex molecular alterations. This study aimed to identify potential nicotinamide adenine dinucleotide (NAD+) metabolism-associated diagnostic markers of IS and explore their associations with immune dynamics. Weighted Gene Co-expression Network Analysis and single-sample gene set enrichment analysis (ssGSEA) were employed to identify key gene modules on the GEO dataset (GSE16561). LASSO regression was used to identify diagnostic genes. A diagnostic model was then developed using the training dataset, and its performance was assessed using a validation dataset (GSE22255 dataset). Associations between hub genes and immune cells, immune response genes, and human leukocyte antigen (HLA) genes were assessed by ssGSEA. A regulatory network was constructed using mirBase and TRRUST databases. A total of 20 NAD+ metabolic genes exhibited noteworthy expression variations. Within the module notably associated with NAD+ metabolism, 19 specific genes were included in the diagnostic model, which was validated on the GSE22255 dataset (AUC: 0.733). There were significant disparities in immune cell populations, immune response genes, and HLA gene expression, all of which were associated with the hub genes. A regulatory network composed of 153 edges and 103 nodes was constructed. This study advances our understanding of IS by providing insights into NAD+ metabolism and gene interactions, contributing to potential diagnostic innovations in IS.","container-title":"Experimental Gerontology","DOI":"10.1016/j.exger.2024.112584","ISSN":"0531-5565","journalAbbreviation":"Experimental Gerontology","page":"112584","source":"ScienceDirect","title":"Employ machine learning to identify NAD+ metabolism-related diagnostic markers for ischemic stroke and develop a diagnostic model","volume":"196","author":[{"family":"Sun","given":"Yameng"},{"family":"Ding","given":"Shenghao"},{"family":"Shen","given":"Fei"},{"family":"Yang","given":"Xiaolan"},{"family":"Sun","given":"Wenhua"},{"family":"Wan","given":"Jieqing"}],"issued":{"date-parts":[["2024",10,15]]}}}],"schema":"https://github.com/citation-style-language/schema/raw/master/csl-citation.json"} </w:instrText>
      </w:r>
      <w:r w:rsidR="00E66665" w:rsidRPr="00A831E7">
        <w:fldChar w:fldCharType="separate"/>
      </w:r>
      <w:r w:rsidR="00B22777" w:rsidRPr="00A831E7">
        <w:t>[75], [76], [78]</w:t>
      </w:r>
      <w:r w:rsidR="00E66665" w:rsidRPr="00A831E7">
        <w:fldChar w:fldCharType="end"/>
      </w:r>
      <w:r w:rsidRPr="00A831E7">
        <w:t>.</w:t>
      </w:r>
    </w:p>
    <w:p w14:paraId="296C8597" w14:textId="77777777" w:rsidR="002B7A5E" w:rsidRPr="00A831E7" w:rsidRDefault="002B7A5E" w:rsidP="0057069D">
      <w:pPr>
        <w:spacing w:line="360" w:lineRule="auto"/>
        <w:ind w:firstLine="720"/>
        <w:jc w:val="both"/>
      </w:pPr>
    </w:p>
    <w:p w14:paraId="65D791D6" w14:textId="688FF7D2" w:rsidR="00B45777" w:rsidRPr="00A831E7" w:rsidRDefault="0091505C" w:rsidP="0057069D">
      <w:pPr>
        <w:pStyle w:val="af5"/>
        <w:spacing w:line="360" w:lineRule="auto"/>
        <w:jc w:val="center"/>
        <w:rPr>
          <w:rFonts w:eastAsia="Calibri"/>
          <w:b/>
          <w:bCs/>
          <w:i w:val="0"/>
          <w:iCs w:val="0"/>
          <w:color w:val="auto"/>
          <w:sz w:val="20"/>
          <w:szCs w:val="20"/>
        </w:rPr>
      </w:pPr>
      <w:bookmarkStart w:id="122" w:name="_Toc199787751"/>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16</w:t>
      </w:r>
      <w:r w:rsidRPr="00A831E7">
        <w:rPr>
          <w:b/>
          <w:bCs/>
          <w:color w:val="auto"/>
          <w:sz w:val="20"/>
          <w:szCs w:val="20"/>
        </w:rPr>
        <w:fldChar w:fldCharType="end"/>
      </w:r>
      <w:r w:rsidRPr="00A831E7">
        <w:rPr>
          <w:b/>
          <w:bCs/>
          <w:color w:val="auto"/>
          <w:sz w:val="20"/>
          <w:szCs w:val="20"/>
        </w:rPr>
        <w:t>: Διαγνωστική Επίδοση Βιοδεικτών με χρήση ML</w:t>
      </w:r>
      <w:bookmarkEnd w:id="122"/>
    </w:p>
    <w:tbl>
      <w:tblPr>
        <w:tblStyle w:val="af0"/>
        <w:tblW w:w="8370" w:type="dxa"/>
        <w:tblInd w:w="-15" w:type="dxa"/>
        <w:tblLayout w:type="fixed"/>
        <w:tblLook w:val="04A0" w:firstRow="1" w:lastRow="0" w:firstColumn="1" w:lastColumn="0" w:noHBand="0" w:noVBand="1"/>
      </w:tblPr>
      <w:tblGrid>
        <w:gridCol w:w="1170"/>
        <w:gridCol w:w="1620"/>
        <w:gridCol w:w="990"/>
        <w:gridCol w:w="900"/>
        <w:gridCol w:w="900"/>
        <w:gridCol w:w="630"/>
        <w:gridCol w:w="720"/>
        <w:gridCol w:w="720"/>
        <w:gridCol w:w="720"/>
      </w:tblGrid>
      <w:tr w:rsidR="001B1A85" w:rsidRPr="00A831E7" w14:paraId="531A386E" w14:textId="77777777" w:rsidTr="0057069D">
        <w:trPr>
          <w:trHeight w:val="636"/>
          <w:tblHeader/>
        </w:trPr>
        <w:tc>
          <w:tcPr>
            <w:tcW w:w="1170" w:type="dxa"/>
            <w:tcBorders>
              <w:top w:val="single" w:sz="12" w:space="0" w:color="auto"/>
              <w:left w:val="single" w:sz="12" w:space="0" w:color="auto"/>
              <w:bottom w:val="single" w:sz="12" w:space="0" w:color="000000"/>
            </w:tcBorders>
            <w:shd w:val="clear" w:color="auto" w:fill="D9D9D9" w:themeFill="background1" w:themeFillShade="D9"/>
          </w:tcPr>
          <w:p w14:paraId="27CA49A9" w14:textId="77777777" w:rsidR="001B1A85" w:rsidRPr="00A831E7" w:rsidRDefault="001B1A85" w:rsidP="00470A5C">
            <w:pPr>
              <w:jc w:val="center"/>
              <w:rPr>
                <w:b/>
                <w:bCs/>
                <w:i/>
                <w:iCs/>
                <w:sz w:val="20"/>
                <w:szCs w:val="20"/>
              </w:rPr>
            </w:pPr>
            <w:bookmarkStart w:id="123" w:name="_Hlk190106785"/>
            <w:r w:rsidRPr="00A831E7">
              <w:rPr>
                <w:b/>
                <w:bCs/>
                <w:i/>
                <w:iCs/>
                <w:sz w:val="20"/>
                <w:szCs w:val="20"/>
              </w:rPr>
              <w:t>Biomarker</w:t>
            </w:r>
          </w:p>
        </w:tc>
        <w:tc>
          <w:tcPr>
            <w:tcW w:w="1620" w:type="dxa"/>
            <w:tcBorders>
              <w:top w:val="single" w:sz="12" w:space="0" w:color="auto"/>
              <w:bottom w:val="single" w:sz="12" w:space="0" w:color="000000"/>
            </w:tcBorders>
            <w:shd w:val="clear" w:color="auto" w:fill="D9D9D9" w:themeFill="background1" w:themeFillShade="D9"/>
          </w:tcPr>
          <w:p w14:paraId="16789876" w14:textId="77777777" w:rsidR="001B1A85" w:rsidRPr="00A831E7" w:rsidRDefault="001B1A85" w:rsidP="00470A5C">
            <w:pPr>
              <w:jc w:val="center"/>
              <w:rPr>
                <w:b/>
                <w:bCs/>
                <w:i/>
                <w:iCs/>
                <w:sz w:val="20"/>
                <w:szCs w:val="20"/>
              </w:rPr>
            </w:pPr>
            <w:r w:rsidRPr="00A831E7">
              <w:rPr>
                <w:b/>
                <w:bCs/>
                <w:i/>
                <w:iCs/>
                <w:sz w:val="20"/>
                <w:szCs w:val="20"/>
              </w:rPr>
              <w:t>Biomarker function/source</w:t>
            </w:r>
          </w:p>
        </w:tc>
        <w:tc>
          <w:tcPr>
            <w:tcW w:w="990" w:type="dxa"/>
            <w:tcBorders>
              <w:top w:val="single" w:sz="12" w:space="0" w:color="auto"/>
              <w:bottom w:val="single" w:sz="12" w:space="0" w:color="000000"/>
            </w:tcBorders>
            <w:shd w:val="clear" w:color="auto" w:fill="D9D9D9" w:themeFill="background1" w:themeFillShade="D9"/>
          </w:tcPr>
          <w:p w14:paraId="2B7DA5F5" w14:textId="77777777" w:rsidR="001B1A85" w:rsidRPr="00A831E7" w:rsidRDefault="001B1A85" w:rsidP="00470A5C">
            <w:pPr>
              <w:jc w:val="center"/>
              <w:rPr>
                <w:b/>
                <w:bCs/>
                <w:i/>
                <w:iCs/>
                <w:sz w:val="20"/>
                <w:szCs w:val="20"/>
              </w:rPr>
            </w:pPr>
            <w:r w:rsidRPr="00A831E7">
              <w:rPr>
                <w:b/>
                <w:bCs/>
                <w:i/>
                <w:iCs/>
                <w:sz w:val="20"/>
                <w:szCs w:val="20"/>
              </w:rPr>
              <w:t>Ts &amp;</w:t>
            </w:r>
            <w:r w:rsidRPr="00A831E7">
              <w:rPr>
                <w:b/>
                <w:bCs/>
                <w:i/>
                <w:iCs/>
                <w:sz w:val="20"/>
                <w:szCs w:val="20"/>
              </w:rPr>
              <w:br/>
              <w:t>source -</w:t>
            </w:r>
          </w:p>
          <w:p w14:paraId="0E547F99" w14:textId="77777777" w:rsidR="001B1A85" w:rsidRPr="00A831E7" w:rsidRDefault="001B1A85" w:rsidP="00470A5C">
            <w:pPr>
              <w:jc w:val="center"/>
              <w:rPr>
                <w:b/>
                <w:bCs/>
                <w:i/>
                <w:iCs/>
                <w:sz w:val="20"/>
                <w:szCs w:val="20"/>
              </w:rPr>
            </w:pPr>
            <w:r w:rsidRPr="00A831E7">
              <w:rPr>
                <w:b/>
                <w:bCs/>
                <w:i/>
                <w:iCs/>
                <w:sz w:val="20"/>
                <w:szCs w:val="20"/>
              </w:rPr>
              <w:t>methods</w:t>
            </w:r>
          </w:p>
        </w:tc>
        <w:tc>
          <w:tcPr>
            <w:tcW w:w="900" w:type="dxa"/>
            <w:tcBorders>
              <w:top w:val="single" w:sz="12" w:space="0" w:color="auto"/>
              <w:bottom w:val="single" w:sz="12" w:space="0" w:color="000000"/>
            </w:tcBorders>
            <w:shd w:val="clear" w:color="auto" w:fill="D9D9D9" w:themeFill="background1" w:themeFillShade="D9"/>
          </w:tcPr>
          <w:p w14:paraId="5AAFD105" w14:textId="77777777" w:rsidR="001B1A85" w:rsidRPr="00A831E7" w:rsidRDefault="001B1A85" w:rsidP="00470A5C">
            <w:pPr>
              <w:jc w:val="center"/>
              <w:rPr>
                <w:b/>
                <w:bCs/>
                <w:i/>
                <w:iCs/>
                <w:sz w:val="20"/>
                <w:szCs w:val="20"/>
              </w:rPr>
            </w:pPr>
            <w:r w:rsidRPr="00A831E7">
              <w:rPr>
                <w:b/>
                <w:bCs/>
                <w:i/>
                <w:iCs/>
                <w:sz w:val="20"/>
                <w:szCs w:val="20"/>
              </w:rPr>
              <w:t>ML</w:t>
            </w:r>
          </w:p>
        </w:tc>
        <w:tc>
          <w:tcPr>
            <w:tcW w:w="900" w:type="dxa"/>
            <w:tcBorders>
              <w:top w:val="single" w:sz="12" w:space="0" w:color="auto"/>
              <w:bottom w:val="single" w:sz="12" w:space="0" w:color="000000"/>
            </w:tcBorders>
            <w:shd w:val="clear" w:color="auto" w:fill="D9D9D9" w:themeFill="background1" w:themeFillShade="D9"/>
          </w:tcPr>
          <w:p w14:paraId="25F28EC0" w14:textId="2ADF6817" w:rsidR="001B1A85" w:rsidRPr="00A831E7" w:rsidRDefault="001B1A85" w:rsidP="00470A5C">
            <w:pPr>
              <w:jc w:val="center"/>
              <w:rPr>
                <w:b/>
                <w:bCs/>
                <w:i/>
                <w:iCs/>
                <w:sz w:val="20"/>
                <w:szCs w:val="20"/>
              </w:rPr>
            </w:pPr>
            <w:r w:rsidRPr="00A831E7">
              <w:rPr>
                <w:b/>
                <w:bCs/>
                <w:i/>
                <w:iCs/>
                <w:sz w:val="20"/>
                <w:szCs w:val="20"/>
              </w:rPr>
              <w:t>Stroke</w:t>
            </w:r>
            <w:r w:rsidRPr="00A831E7">
              <w:rPr>
                <w:b/>
                <w:bCs/>
                <w:i/>
                <w:iCs/>
                <w:sz w:val="20"/>
                <w:szCs w:val="20"/>
              </w:rPr>
              <w:br/>
              <w:t>types</w:t>
            </w:r>
          </w:p>
        </w:tc>
        <w:tc>
          <w:tcPr>
            <w:tcW w:w="630" w:type="dxa"/>
            <w:tcBorders>
              <w:top w:val="single" w:sz="12" w:space="0" w:color="auto"/>
              <w:bottom w:val="single" w:sz="12" w:space="0" w:color="000000"/>
            </w:tcBorders>
            <w:shd w:val="clear" w:color="auto" w:fill="D9D9D9" w:themeFill="background1" w:themeFillShade="D9"/>
          </w:tcPr>
          <w:p w14:paraId="655B1EBC" w14:textId="77777777" w:rsidR="001B1A85" w:rsidRPr="00A831E7" w:rsidRDefault="001B1A85" w:rsidP="00470A5C">
            <w:pPr>
              <w:jc w:val="center"/>
              <w:rPr>
                <w:b/>
                <w:bCs/>
                <w:i/>
                <w:iCs/>
                <w:sz w:val="20"/>
                <w:szCs w:val="20"/>
              </w:rPr>
            </w:pPr>
            <w:r w:rsidRPr="00A831E7">
              <w:rPr>
                <w:b/>
                <w:bCs/>
                <w:i/>
                <w:iCs/>
                <w:sz w:val="20"/>
                <w:szCs w:val="20"/>
              </w:rPr>
              <w:t>AUC</w:t>
            </w:r>
          </w:p>
        </w:tc>
        <w:tc>
          <w:tcPr>
            <w:tcW w:w="720" w:type="dxa"/>
            <w:tcBorders>
              <w:top w:val="single" w:sz="12" w:space="0" w:color="auto"/>
              <w:bottom w:val="single" w:sz="12" w:space="0" w:color="000000"/>
            </w:tcBorders>
            <w:shd w:val="clear" w:color="auto" w:fill="D9D9D9" w:themeFill="background1" w:themeFillShade="D9"/>
          </w:tcPr>
          <w:p w14:paraId="73B6FAF8" w14:textId="77777777" w:rsidR="001B1A85" w:rsidRPr="00A831E7" w:rsidRDefault="001B1A85" w:rsidP="00470A5C">
            <w:pPr>
              <w:jc w:val="center"/>
              <w:rPr>
                <w:b/>
                <w:bCs/>
                <w:i/>
                <w:iCs/>
                <w:sz w:val="20"/>
                <w:szCs w:val="20"/>
              </w:rPr>
            </w:pPr>
            <w:r w:rsidRPr="00A831E7">
              <w:rPr>
                <w:b/>
                <w:bCs/>
                <w:i/>
                <w:iCs/>
                <w:sz w:val="20"/>
                <w:szCs w:val="20"/>
              </w:rPr>
              <w:t>Sensitivity</w:t>
            </w:r>
          </w:p>
        </w:tc>
        <w:tc>
          <w:tcPr>
            <w:tcW w:w="720" w:type="dxa"/>
            <w:tcBorders>
              <w:top w:val="single" w:sz="12" w:space="0" w:color="auto"/>
              <w:bottom w:val="single" w:sz="12" w:space="0" w:color="000000"/>
            </w:tcBorders>
            <w:shd w:val="clear" w:color="auto" w:fill="D9D9D9" w:themeFill="background1" w:themeFillShade="D9"/>
          </w:tcPr>
          <w:p w14:paraId="4DC6F2C8" w14:textId="77777777" w:rsidR="001B1A85" w:rsidRPr="00A831E7" w:rsidRDefault="001B1A85" w:rsidP="00470A5C">
            <w:pPr>
              <w:jc w:val="center"/>
              <w:rPr>
                <w:b/>
                <w:bCs/>
                <w:i/>
                <w:iCs/>
                <w:sz w:val="20"/>
                <w:szCs w:val="20"/>
              </w:rPr>
            </w:pPr>
            <w:r w:rsidRPr="00A831E7">
              <w:rPr>
                <w:b/>
                <w:bCs/>
                <w:i/>
                <w:iCs/>
                <w:sz w:val="20"/>
                <w:szCs w:val="20"/>
              </w:rPr>
              <w:t>Specificity</w:t>
            </w:r>
          </w:p>
        </w:tc>
        <w:tc>
          <w:tcPr>
            <w:tcW w:w="720" w:type="dxa"/>
            <w:tcBorders>
              <w:top w:val="single" w:sz="12" w:space="0" w:color="auto"/>
              <w:bottom w:val="single" w:sz="12" w:space="0" w:color="000000"/>
              <w:right w:val="single" w:sz="12" w:space="0" w:color="000000"/>
            </w:tcBorders>
            <w:shd w:val="clear" w:color="auto" w:fill="D9D9D9" w:themeFill="background1" w:themeFillShade="D9"/>
          </w:tcPr>
          <w:p w14:paraId="645CB1B4" w14:textId="77777777" w:rsidR="001B1A85" w:rsidRPr="00A831E7" w:rsidRDefault="001B1A85" w:rsidP="00470A5C">
            <w:pPr>
              <w:jc w:val="center"/>
              <w:rPr>
                <w:b/>
                <w:bCs/>
                <w:i/>
                <w:iCs/>
                <w:sz w:val="20"/>
                <w:szCs w:val="20"/>
              </w:rPr>
            </w:pPr>
            <w:r w:rsidRPr="00A831E7">
              <w:rPr>
                <w:b/>
                <w:bCs/>
                <w:i/>
                <w:iCs/>
                <w:sz w:val="20"/>
                <w:szCs w:val="20"/>
              </w:rPr>
              <w:t>Ref.</w:t>
            </w:r>
          </w:p>
        </w:tc>
      </w:tr>
      <w:tr w:rsidR="003A213A" w:rsidRPr="00A831E7" w14:paraId="3B5962EB" w14:textId="77777777" w:rsidTr="003A213A">
        <w:trPr>
          <w:trHeight w:val="483"/>
        </w:trPr>
        <w:tc>
          <w:tcPr>
            <w:tcW w:w="1170" w:type="dxa"/>
            <w:vMerge w:val="restart"/>
            <w:tcBorders>
              <w:top w:val="single" w:sz="12" w:space="0" w:color="000000"/>
              <w:left w:val="single" w:sz="12" w:space="0" w:color="auto"/>
            </w:tcBorders>
          </w:tcPr>
          <w:p w14:paraId="2FF3BF56" w14:textId="77777777" w:rsidR="001B1A85" w:rsidRPr="00730D74" w:rsidRDefault="001B1A85" w:rsidP="00470A5C">
            <w:pPr>
              <w:rPr>
                <w:sz w:val="18"/>
                <w:szCs w:val="18"/>
                <w:lang w:val="en-US"/>
              </w:rPr>
            </w:pPr>
            <w:r w:rsidRPr="00730D74">
              <w:rPr>
                <w:sz w:val="18"/>
                <w:szCs w:val="18"/>
                <w:lang w:val="en-US"/>
              </w:rPr>
              <w:t>RNA panel</w:t>
            </w:r>
          </w:p>
          <w:p w14:paraId="350004E2" w14:textId="77777777" w:rsidR="001B1A85" w:rsidRPr="00730D74" w:rsidRDefault="001B1A85" w:rsidP="00470A5C">
            <w:pPr>
              <w:rPr>
                <w:sz w:val="18"/>
                <w:szCs w:val="18"/>
                <w:lang w:val="en-US"/>
              </w:rPr>
            </w:pPr>
            <w:r w:rsidRPr="00730D74">
              <w:rPr>
                <w:sz w:val="18"/>
                <w:szCs w:val="18"/>
                <w:lang w:val="en-US"/>
              </w:rPr>
              <w:t>[CKAP4,BCL6,TLR8]</w:t>
            </w:r>
          </w:p>
        </w:tc>
        <w:tc>
          <w:tcPr>
            <w:tcW w:w="1620" w:type="dxa"/>
            <w:vMerge w:val="restart"/>
            <w:tcBorders>
              <w:top w:val="single" w:sz="12" w:space="0" w:color="000000"/>
            </w:tcBorders>
          </w:tcPr>
          <w:p w14:paraId="71F925F1" w14:textId="6CD71458" w:rsidR="001F3E4A" w:rsidRPr="00730D74" w:rsidRDefault="001B1A85" w:rsidP="00470A5C">
            <w:pPr>
              <w:jc w:val="center"/>
              <w:rPr>
                <w:sz w:val="18"/>
                <w:szCs w:val="18"/>
                <w:lang w:val="en-US"/>
              </w:rPr>
            </w:pPr>
            <w:r w:rsidRPr="00730D74">
              <w:rPr>
                <w:sz w:val="18"/>
                <w:szCs w:val="18"/>
                <w:lang w:val="en-US"/>
              </w:rPr>
              <w:t>Blood derived Immuno-cell markers.(RNA isolated from peripheral blood).</w:t>
            </w:r>
          </w:p>
          <w:p w14:paraId="726E4670" w14:textId="77777777" w:rsidR="00336BD8" w:rsidRDefault="00336BD8" w:rsidP="007C6455">
            <w:pPr>
              <w:jc w:val="center"/>
              <w:rPr>
                <w:i/>
                <w:iCs/>
                <w:sz w:val="16"/>
                <w:szCs w:val="16"/>
              </w:rPr>
            </w:pPr>
          </w:p>
          <w:p w14:paraId="58DD49A6" w14:textId="77777777" w:rsidR="00336BD8" w:rsidRDefault="00336BD8" w:rsidP="007C6455">
            <w:pPr>
              <w:jc w:val="center"/>
              <w:rPr>
                <w:i/>
                <w:iCs/>
                <w:sz w:val="16"/>
                <w:szCs w:val="16"/>
              </w:rPr>
            </w:pPr>
          </w:p>
          <w:p w14:paraId="44F3AF32" w14:textId="77777777" w:rsidR="00336BD8" w:rsidRDefault="007C6455" w:rsidP="00336BD8">
            <w:pPr>
              <w:jc w:val="center"/>
              <w:rPr>
                <w:i/>
                <w:iCs/>
                <w:sz w:val="16"/>
                <w:szCs w:val="16"/>
              </w:rPr>
            </w:pPr>
            <w:r w:rsidRPr="007C6455">
              <w:rPr>
                <w:i/>
                <w:iCs/>
                <w:sz w:val="16"/>
                <w:szCs w:val="16"/>
                <w:lang w:val="en-US"/>
              </w:rPr>
              <w:t>ICH=64, IS=59, HTN=60, NC=50</w:t>
            </w:r>
            <w:r>
              <w:rPr>
                <w:i/>
                <w:iCs/>
                <w:sz w:val="16"/>
                <w:szCs w:val="16"/>
                <w:lang w:val="en-US"/>
              </w:rPr>
              <w:t>.</w:t>
            </w:r>
          </w:p>
          <w:p w14:paraId="5CC8263F" w14:textId="105EAD12" w:rsidR="001B1A85" w:rsidRPr="00336BD8" w:rsidRDefault="00336BD8" w:rsidP="00336BD8">
            <w:pPr>
              <w:jc w:val="center"/>
              <w:rPr>
                <w:i/>
                <w:iCs/>
                <w:sz w:val="16"/>
                <w:szCs w:val="16"/>
              </w:rPr>
            </w:pPr>
            <w:r>
              <w:rPr>
                <w:i/>
                <w:iCs/>
                <w:sz w:val="16"/>
                <w:szCs w:val="16"/>
              </w:rPr>
              <w:t>Με τιμές πίνακα από:</w:t>
            </w:r>
            <w:r w:rsidR="001B1A85" w:rsidRPr="00730D74">
              <w:rPr>
                <w:sz w:val="18"/>
                <w:szCs w:val="18"/>
                <w:lang w:val="en-US"/>
              </w:rPr>
              <w:t xml:space="preserve"> </w:t>
            </w:r>
            <w:r w:rsidR="007C6455" w:rsidRPr="007C6455">
              <w:rPr>
                <w:sz w:val="16"/>
                <w:szCs w:val="16"/>
                <w:lang w:val="en-US"/>
              </w:rPr>
              <w:t>Training/Validation/Test sets</w:t>
            </w:r>
            <w:r w:rsidR="007C6455">
              <w:rPr>
                <w:sz w:val="16"/>
                <w:szCs w:val="16"/>
                <w:lang w:val="en-US"/>
              </w:rPr>
              <w:t xml:space="preserve"> </w:t>
            </w:r>
            <w:r w:rsidR="007C6455" w:rsidRPr="007C6455">
              <w:rPr>
                <w:b/>
                <w:bCs/>
                <w:sz w:val="16"/>
                <w:szCs w:val="16"/>
                <w:lang w:val="en-US"/>
              </w:rPr>
              <w:t>avg</w:t>
            </w:r>
          </w:p>
        </w:tc>
        <w:tc>
          <w:tcPr>
            <w:tcW w:w="990" w:type="dxa"/>
            <w:vMerge w:val="restart"/>
            <w:tcBorders>
              <w:top w:val="single" w:sz="12" w:space="0" w:color="000000"/>
            </w:tcBorders>
          </w:tcPr>
          <w:p w14:paraId="0570180E" w14:textId="77777777" w:rsidR="001B1A85" w:rsidRPr="00730D74" w:rsidRDefault="001B1A85" w:rsidP="00470A5C">
            <w:pPr>
              <w:jc w:val="center"/>
              <w:rPr>
                <w:sz w:val="16"/>
                <w:szCs w:val="16"/>
                <w:lang w:val="en-US"/>
              </w:rPr>
            </w:pPr>
            <w:r w:rsidRPr="00730D74">
              <w:rPr>
                <w:sz w:val="16"/>
                <w:szCs w:val="16"/>
                <w:lang w:val="en-US"/>
              </w:rPr>
              <w:t>&lt;48h</w:t>
            </w:r>
          </w:p>
          <w:p w14:paraId="38578A68" w14:textId="7D4DEFD2" w:rsidR="001B1A85" w:rsidRPr="00336BD8" w:rsidRDefault="001B1A85" w:rsidP="00470A5C">
            <w:pPr>
              <w:jc w:val="center"/>
              <w:rPr>
                <w:sz w:val="18"/>
                <w:szCs w:val="18"/>
                <w:lang w:val="en-US"/>
              </w:rPr>
            </w:pPr>
            <w:r w:rsidRPr="00336BD8">
              <w:rPr>
                <w:sz w:val="18"/>
                <w:szCs w:val="18"/>
                <w:lang w:val="en-US"/>
              </w:rPr>
              <w:t>whole blood</w:t>
            </w:r>
          </w:p>
          <w:p w14:paraId="05A18B48" w14:textId="18C26B1D" w:rsidR="00115381" w:rsidRDefault="001B1A85" w:rsidP="00115381">
            <w:pPr>
              <w:jc w:val="center"/>
              <w:rPr>
                <w:sz w:val="16"/>
                <w:szCs w:val="16"/>
              </w:rPr>
            </w:pPr>
            <w:r w:rsidRPr="00730D74">
              <w:rPr>
                <w:sz w:val="16"/>
                <w:szCs w:val="16"/>
                <w:lang w:val="en-US"/>
              </w:rPr>
              <w:br/>
              <w:t>WGCNA/</w:t>
            </w:r>
          </w:p>
          <w:p w14:paraId="02E74143" w14:textId="571E8A82" w:rsidR="00115381" w:rsidRPr="00115381" w:rsidRDefault="001B1A85" w:rsidP="00115381">
            <w:pPr>
              <w:jc w:val="center"/>
              <w:rPr>
                <w:sz w:val="16"/>
                <w:szCs w:val="16"/>
              </w:rPr>
            </w:pPr>
            <w:r w:rsidRPr="00730D74">
              <w:rPr>
                <w:sz w:val="16"/>
                <w:szCs w:val="16"/>
                <w:lang w:val="en-US"/>
              </w:rPr>
              <w:t>RT</w:t>
            </w:r>
            <w:r w:rsidR="00115381">
              <w:rPr>
                <w:sz w:val="16"/>
                <w:szCs w:val="16"/>
              </w:rPr>
              <w:t>-</w:t>
            </w:r>
            <w:r w:rsidRPr="00730D74">
              <w:rPr>
                <w:sz w:val="16"/>
                <w:szCs w:val="16"/>
                <w:lang w:val="en-US"/>
              </w:rPr>
              <w:t>PCR/</w:t>
            </w:r>
            <w:r w:rsidRPr="00730D74">
              <w:rPr>
                <w:sz w:val="16"/>
                <w:szCs w:val="16"/>
                <w:lang w:val="en-US"/>
              </w:rPr>
              <w:br/>
              <w:t>Immune</w:t>
            </w:r>
            <w:r w:rsidR="00115381">
              <w:rPr>
                <w:sz w:val="16"/>
                <w:szCs w:val="16"/>
              </w:rPr>
              <w:t>-</w:t>
            </w:r>
          </w:p>
          <w:p w14:paraId="375DEFDF" w14:textId="77777777" w:rsidR="00115381" w:rsidRDefault="001B1A85" w:rsidP="00115381">
            <w:pPr>
              <w:jc w:val="center"/>
              <w:rPr>
                <w:sz w:val="16"/>
                <w:szCs w:val="16"/>
              </w:rPr>
            </w:pPr>
            <w:r w:rsidRPr="00730D74">
              <w:rPr>
                <w:sz w:val="16"/>
                <w:szCs w:val="16"/>
                <w:lang w:val="en-US"/>
              </w:rPr>
              <w:t>CellAI/</w:t>
            </w:r>
          </w:p>
          <w:p w14:paraId="004E356A" w14:textId="7AA14AE0" w:rsidR="001B1A85" w:rsidRPr="00115381" w:rsidRDefault="001B1A85" w:rsidP="00115381">
            <w:pPr>
              <w:jc w:val="center"/>
              <w:rPr>
                <w:sz w:val="16"/>
                <w:szCs w:val="16"/>
              </w:rPr>
            </w:pPr>
            <w:r w:rsidRPr="00730D74">
              <w:rPr>
                <w:sz w:val="16"/>
                <w:szCs w:val="16"/>
                <w:lang w:val="en-US"/>
              </w:rPr>
              <w:t>Western</w:t>
            </w:r>
            <w:r w:rsidR="00115381">
              <w:rPr>
                <w:sz w:val="16"/>
                <w:szCs w:val="16"/>
              </w:rPr>
              <w:t xml:space="preserve"> </w:t>
            </w:r>
            <w:r w:rsidRPr="00730D74">
              <w:rPr>
                <w:sz w:val="16"/>
                <w:szCs w:val="16"/>
                <w:lang w:val="en-US"/>
              </w:rPr>
              <w:t>Blot</w:t>
            </w:r>
          </w:p>
        </w:tc>
        <w:tc>
          <w:tcPr>
            <w:tcW w:w="900" w:type="dxa"/>
            <w:vMerge w:val="restart"/>
            <w:tcBorders>
              <w:top w:val="single" w:sz="12" w:space="0" w:color="000000"/>
            </w:tcBorders>
          </w:tcPr>
          <w:p w14:paraId="5363C23A" w14:textId="77777777" w:rsidR="001B1A85" w:rsidRPr="00A831E7" w:rsidRDefault="001B1A85" w:rsidP="00470A5C">
            <w:pPr>
              <w:jc w:val="center"/>
              <w:rPr>
                <w:sz w:val="18"/>
                <w:szCs w:val="18"/>
              </w:rPr>
            </w:pPr>
            <w:r w:rsidRPr="00A831E7">
              <w:rPr>
                <w:sz w:val="18"/>
                <w:szCs w:val="18"/>
              </w:rPr>
              <w:t>GNB</w:t>
            </w:r>
          </w:p>
        </w:tc>
        <w:tc>
          <w:tcPr>
            <w:tcW w:w="900" w:type="dxa"/>
            <w:tcBorders>
              <w:top w:val="single" w:sz="12" w:space="0" w:color="000000"/>
              <w:bottom w:val="single" w:sz="4" w:space="0" w:color="auto"/>
            </w:tcBorders>
          </w:tcPr>
          <w:p w14:paraId="351F170B" w14:textId="77777777" w:rsidR="001B1A85" w:rsidRPr="00A831E7" w:rsidRDefault="001B1A85" w:rsidP="00470A5C">
            <w:pPr>
              <w:jc w:val="center"/>
              <w:rPr>
                <w:sz w:val="18"/>
                <w:szCs w:val="18"/>
              </w:rPr>
            </w:pPr>
            <w:r w:rsidRPr="00A831E7">
              <w:rPr>
                <w:sz w:val="18"/>
                <w:szCs w:val="18"/>
              </w:rPr>
              <w:t>ICH-HTN</w:t>
            </w:r>
          </w:p>
        </w:tc>
        <w:tc>
          <w:tcPr>
            <w:tcW w:w="630" w:type="dxa"/>
            <w:tcBorders>
              <w:top w:val="single" w:sz="12" w:space="0" w:color="000000"/>
              <w:bottom w:val="single" w:sz="4" w:space="0" w:color="auto"/>
            </w:tcBorders>
          </w:tcPr>
          <w:p w14:paraId="04C3DF69" w14:textId="12B780CB" w:rsidR="001B1A85" w:rsidRPr="00A831E7" w:rsidRDefault="001B1A85" w:rsidP="00470A5C">
            <w:pPr>
              <w:jc w:val="center"/>
              <w:rPr>
                <w:sz w:val="18"/>
                <w:szCs w:val="18"/>
              </w:rPr>
            </w:pPr>
            <w:r w:rsidRPr="00A831E7">
              <w:rPr>
                <w:sz w:val="18"/>
                <w:szCs w:val="18"/>
              </w:rPr>
              <w:t>0.93</w:t>
            </w:r>
            <w:r w:rsidR="00DC473F" w:rsidRPr="00A831E7">
              <w:rPr>
                <w:sz w:val="18"/>
                <w:szCs w:val="18"/>
              </w:rPr>
              <w:t>0</w:t>
            </w:r>
          </w:p>
        </w:tc>
        <w:tc>
          <w:tcPr>
            <w:tcW w:w="720" w:type="dxa"/>
            <w:tcBorders>
              <w:top w:val="single" w:sz="12" w:space="0" w:color="000000"/>
              <w:bottom w:val="single" w:sz="4" w:space="0" w:color="auto"/>
            </w:tcBorders>
          </w:tcPr>
          <w:p w14:paraId="695E6D86" w14:textId="7586ADC4" w:rsidR="001B1A85" w:rsidRPr="00A831E7" w:rsidRDefault="001B1A85" w:rsidP="00470A5C">
            <w:pPr>
              <w:jc w:val="center"/>
              <w:rPr>
                <w:sz w:val="18"/>
                <w:szCs w:val="18"/>
              </w:rPr>
            </w:pPr>
            <w:r w:rsidRPr="00A831E7">
              <w:rPr>
                <w:sz w:val="18"/>
                <w:szCs w:val="18"/>
              </w:rPr>
              <w:t>0.81</w:t>
            </w:r>
            <w:r w:rsidR="00DC473F" w:rsidRPr="00A831E7">
              <w:rPr>
                <w:sz w:val="18"/>
                <w:szCs w:val="18"/>
              </w:rPr>
              <w:t>3</w:t>
            </w:r>
          </w:p>
        </w:tc>
        <w:tc>
          <w:tcPr>
            <w:tcW w:w="720" w:type="dxa"/>
            <w:tcBorders>
              <w:top w:val="single" w:sz="12" w:space="0" w:color="000000"/>
              <w:bottom w:val="single" w:sz="4" w:space="0" w:color="auto"/>
            </w:tcBorders>
          </w:tcPr>
          <w:p w14:paraId="669C983A" w14:textId="45391154" w:rsidR="001B1A85" w:rsidRPr="00A831E7" w:rsidRDefault="001B1A85" w:rsidP="00470A5C">
            <w:pPr>
              <w:jc w:val="center"/>
              <w:rPr>
                <w:sz w:val="18"/>
                <w:szCs w:val="18"/>
              </w:rPr>
            </w:pPr>
            <w:r w:rsidRPr="00A831E7">
              <w:rPr>
                <w:sz w:val="18"/>
                <w:szCs w:val="18"/>
              </w:rPr>
              <w:t>1.00</w:t>
            </w:r>
            <w:r w:rsidR="00DC473F" w:rsidRPr="00A831E7">
              <w:rPr>
                <w:sz w:val="18"/>
                <w:szCs w:val="18"/>
              </w:rPr>
              <w:t>0</w:t>
            </w:r>
          </w:p>
        </w:tc>
        <w:tc>
          <w:tcPr>
            <w:tcW w:w="720" w:type="dxa"/>
            <w:vMerge w:val="restart"/>
            <w:tcBorders>
              <w:top w:val="single" w:sz="12" w:space="0" w:color="000000"/>
              <w:right w:val="single" w:sz="12" w:space="0" w:color="000000"/>
            </w:tcBorders>
          </w:tcPr>
          <w:p w14:paraId="2088CE27" w14:textId="10E86E03" w:rsidR="001B1A85" w:rsidRPr="00A831E7" w:rsidRDefault="00A9201D" w:rsidP="00470A5C">
            <w:pPr>
              <w:rPr>
                <w:sz w:val="18"/>
                <w:szCs w:val="18"/>
              </w:rPr>
            </w:pPr>
            <w:r w:rsidRPr="00A831E7">
              <w:rPr>
                <w:sz w:val="18"/>
                <w:szCs w:val="18"/>
              </w:rPr>
              <w:fldChar w:fldCharType="begin"/>
            </w:r>
            <w:r w:rsidR="00B22777" w:rsidRPr="00A831E7">
              <w:rPr>
                <w:sz w:val="18"/>
                <w:szCs w:val="18"/>
              </w:rPr>
              <w:instrText xml:space="preserve"> ADDIN ZOTERO_ITEM CSL_CITATION {"citationID":"MJkSmI1w","properties":{"formattedCitation":"[75]","plainCitation":"[75]","noteIndex":0},"citationItems":[{"id":298,"uris":["http://zotero.org/users/local/mfHf28QG/items/5V7SWQNA"],"itemData":{"id":298,"type":"article-journal","abstract":"Intracerebral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schema":"https://github.com/citation-style-language/schema/raw/master/csl-citation.json"} </w:instrText>
            </w:r>
            <w:r w:rsidRPr="00A831E7">
              <w:rPr>
                <w:sz w:val="18"/>
                <w:szCs w:val="18"/>
              </w:rPr>
              <w:fldChar w:fldCharType="separate"/>
            </w:r>
            <w:r w:rsidR="00B22777" w:rsidRPr="00A831E7">
              <w:rPr>
                <w:sz w:val="18"/>
              </w:rPr>
              <w:t>[75]</w:t>
            </w:r>
            <w:r w:rsidRPr="00A831E7">
              <w:rPr>
                <w:sz w:val="18"/>
                <w:szCs w:val="18"/>
              </w:rPr>
              <w:fldChar w:fldCharType="end"/>
            </w:r>
          </w:p>
        </w:tc>
      </w:tr>
      <w:tr w:rsidR="003A213A" w:rsidRPr="00A831E7" w14:paraId="31D64CF2" w14:textId="77777777" w:rsidTr="003A213A">
        <w:trPr>
          <w:trHeight w:val="530"/>
        </w:trPr>
        <w:tc>
          <w:tcPr>
            <w:tcW w:w="1170" w:type="dxa"/>
            <w:vMerge/>
            <w:tcBorders>
              <w:left w:val="single" w:sz="12" w:space="0" w:color="auto"/>
            </w:tcBorders>
          </w:tcPr>
          <w:p w14:paraId="6F34A66A" w14:textId="77777777" w:rsidR="001B1A85" w:rsidRPr="00A831E7" w:rsidRDefault="001B1A85" w:rsidP="00470A5C">
            <w:pPr>
              <w:rPr>
                <w:sz w:val="18"/>
                <w:szCs w:val="18"/>
              </w:rPr>
            </w:pPr>
          </w:p>
        </w:tc>
        <w:tc>
          <w:tcPr>
            <w:tcW w:w="1620" w:type="dxa"/>
            <w:vMerge/>
          </w:tcPr>
          <w:p w14:paraId="51E11091" w14:textId="77777777" w:rsidR="001B1A85" w:rsidRPr="00A831E7" w:rsidRDefault="001B1A85" w:rsidP="00470A5C">
            <w:pPr>
              <w:jc w:val="center"/>
              <w:rPr>
                <w:sz w:val="18"/>
                <w:szCs w:val="18"/>
              </w:rPr>
            </w:pPr>
          </w:p>
        </w:tc>
        <w:tc>
          <w:tcPr>
            <w:tcW w:w="990" w:type="dxa"/>
            <w:vMerge/>
          </w:tcPr>
          <w:p w14:paraId="42455F6B" w14:textId="77777777" w:rsidR="001B1A85" w:rsidRPr="00A831E7" w:rsidRDefault="001B1A85" w:rsidP="00470A5C">
            <w:pPr>
              <w:jc w:val="center"/>
              <w:rPr>
                <w:sz w:val="18"/>
                <w:szCs w:val="18"/>
              </w:rPr>
            </w:pPr>
          </w:p>
        </w:tc>
        <w:tc>
          <w:tcPr>
            <w:tcW w:w="900" w:type="dxa"/>
            <w:vMerge/>
          </w:tcPr>
          <w:p w14:paraId="7A6A766A" w14:textId="77777777" w:rsidR="001B1A85" w:rsidRPr="00A831E7" w:rsidRDefault="001B1A85" w:rsidP="00470A5C">
            <w:pPr>
              <w:jc w:val="center"/>
              <w:rPr>
                <w:sz w:val="18"/>
                <w:szCs w:val="18"/>
              </w:rPr>
            </w:pPr>
          </w:p>
        </w:tc>
        <w:tc>
          <w:tcPr>
            <w:tcW w:w="900" w:type="dxa"/>
            <w:tcBorders>
              <w:top w:val="single" w:sz="4" w:space="0" w:color="auto"/>
              <w:bottom w:val="single" w:sz="4" w:space="0" w:color="auto"/>
            </w:tcBorders>
          </w:tcPr>
          <w:p w14:paraId="614DCBF3" w14:textId="77777777" w:rsidR="001B1A85" w:rsidRPr="00A831E7" w:rsidRDefault="001B1A85" w:rsidP="00470A5C">
            <w:pPr>
              <w:jc w:val="center"/>
              <w:rPr>
                <w:sz w:val="18"/>
                <w:szCs w:val="18"/>
              </w:rPr>
            </w:pPr>
            <w:r w:rsidRPr="00A831E7">
              <w:rPr>
                <w:sz w:val="18"/>
                <w:szCs w:val="18"/>
              </w:rPr>
              <w:t>ICH-NC</w:t>
            </w:r>
          </w:p>
        </w:tc>
        <w:tc>
          <w:tcPr>
            <w:tcW w:w="630" w:type="dxa"/>
            <w:tcBorders>
              <w:top w:val="single" w:sz="4" w:space="0" w:color="auto"/>
              <w:bottom w:val="single" w:sz="4" w:space="0" w:color="auto"/>
            </w:tcBorders>
          </w:tcPr>
          <w:p w14:paraId="00960478" w14:textId="24D4A07F" w:rsidR="001B1A85" w:rsidRPr="00A831E7" w:rsidRDefault="001B1A85" w:rsidP="00470A5C">
            <w:pPr>
              <w:jc w:val="center"/>
              <w:rPr>
                <w:sz w:val="18"/>
                <w:szCs w:val="18"/>
              </w:rPr>
            </w:pPr>
            <w:r w:rsidRPr="00A831E7">
              <w:rPr>
                <w:sz w:val="18"/>
                <w:szCs w:val="18"/>
              </w:rPr>
              <w:t>0.95</w:t>
            </w:r>
            <w:r w:rsidR="00DC473F" w:rsidRPr="00A831E7">
              <w:rPr>
                <w:sz w:val="18"/>
                <w:szCs w:val="18"/>
              </w:rPr>
              <w:t>0</w:t>
            </w:r>
          </w:p>
        </w:tc>
        <w:tc>
          <w:tcPr>
            <w:tcW w:w="720" w:type="dxa"/>
            <w:tcBorders>
              <w:top w:val="single" w:sz="4" w:space="0" w:color="auto"/>
              <w:bottom w:val="single" w:sz="4" w:space="0" w:color="auto"/>
            </w:tcBorders>
          </w:tcPr>
          <w:p w14:paraId="1636253F" w14:textId="4AC53329" w:rsidR="001B1A85" w:rsidRPr="00A831E7" w:rsidRDefault="001B1A85" w:rsidP="00470A5C">
            <w:pPr>
              <w:jc w:val="center"/>
              <w:rPr>
                <w:sz w:val="18"/>
                <w:szCs w:val="18"/>
              </w:rPr>
            </w:pPr>
            <w:r w:rsidRPr="00A831E7">
              <w:rPr>
                <w:sz w:val="18"/>
                <w:szCs w:val="18"/>
              </w:rPr>
              <w:t>0.84</w:t>
            </w:r>
            <w:r w:rsidR="00DC473F" w:rsidRPr="00A831E7">
              <w:rPr>
                <w:sz w:val="18"/>
                <w:szCs w:val="18"/>
              </w:rPr>
              <w:t>4</w:t>
            </w:r>
          </w:p>
        </w:tc>
        <w:tc>
          <w:tcPr>
            <w:tcW w:w="720" w:type="dxa"/>
            <w:tcBorders>
              <w:top w:val="single" w:sz="4" w:space="0" w:color="auto"/>
              <w:bottom w:val="single" w:sz="4" w:space="0" w:color="auto"/>
            </w:tcBorders>
          </w:tcPr>
          <w:p w14:paraId="363F9776" w14:textId="1BAC8A0F" w:rsidR="001B1A85" w:rsidRPr="00A831E7" w:rsidRDefault="001B1A85" w:rsidP="00470A5C">
            <w:pPr>
              <w:jc w:val="center"/>
              <w:rPr>
                <w:sz w:val="18"/>
                <w:szCs w:val="18"/>
              </w:rPr>
            </w:pPr>
            <w:r w:rsidRPr="00A831E7">
              <w:rPr>
                <w:sz w:val="18"/>
                <w:szCs w:val="18"/>
              </w:rPr>
              <w:t>0.96</w:t>
            </w:r>
            <w:r w:rsidR="00DC473F" w:rsidRPr="00A831E7">
              <w:rPr>
                <w:sz w:val="18"/>
                <w:szCs w:val="18"/>
              </w:rPr>
              <w:t>0</w:t>
            </w:r>
          </w:p>
        </w:tc>
        <w:tc>
          <w:tcPr>
            <w:tcW w:w="720" w:type="dxa"/>
            <w:vMerge/>
            <w:tcBorders>
              <w:right w:val="single" w:sz="12" w:space="0" w:color="000000"/>
            </w:tcBorders>
          </w:tcPr>
          <w:p w14:paraId="40A26A56" w14:textId="77777777" w:rsidR="001B1A85" w:rsidRPr="00A831E7" w:rsidRDefault="001B1A85" w:rsidP="00470A5C">
            <w:pPr>
              <w:rPr>
                <w:sz w:val="18"/>
                <w:szCs w:val="18"/>
              </w:rPr>
            </w:pPr>
          </w:p>
        </w:tc>
      </w:tr>
      <w:tr w:rsidR="003A213A" w:rsidRPr="00A831E7" w14:paraId="76F76B95" w14:textId="77777777" w:rsidTr="003A213A">
        <w:tc>
          <w:tcPr>
            <w:tcW w:w="1170" w:type="dxa"/>
            <w:vMerge/>
            <w:tcBorders>
              <w:left w:val="single" w:sz="12" w:space="0" w:color="auto"/>
              <w:bottom w:val="single" w:sz="12" w:space="0" w:color="auto"/>
            </w:tcBorders>
          </w:tcPr>
          <w:p w14:paraId="0552A261" w14:textId="77777777" w:rsidR="001B1A85" w:rsidRPr="00A831E7" w:rsidRDefault="001B1A85" w:rsidP="00470A5C">
            <w:pPr>
              <w:rPr>
                <w:sz w:val="18"/>
                <w:szCs w:val="18"/>
              </w:rPr>
            </w:pPr>
          </w:p>
        </w:tc>
        <w:tc>
          <w:tcPr>
            <w:tcW w:w="1620" w:type="dxa"/>
            <w:vMerge/>
            <w:tcBorders>
              <w:bottom w:val="single" w:sz="12" w:space="0" w:color="auto"/>
            </w:tcBorders>
          </w:tcPr>
          <w:p w14:paraId="4E2C1B22" w14:textId="77777777" w:rsidR="001B1A85" w:rsidRPr="00A831E7" w:rsidRDefault="001B1A85" w:rsidP="00470A5C">
            <w:pPr>
              <w:jc w:val="center"/>
              <w:rPr>
                <w:sz w:val="18"/>
                <w:szCs w:val="18"/>
              </w:rPr>
            </w:pPr>
          </w:p>
        </w:tc>
        <w:tc>
          <w:tcPr>
            <w:tcW w:w="990" w:type="dxa"/>
            <w:vMerge/>
            <w:tcBorders>
              <w:bottom w:val="single" w:sz="12" w:space="0" w:color="auto"/>
            </w:tcBorders>
          </w:tcPr>
          <w:p w14:paraId="0D19D487" w14:textId="77777777" w:rsidR="001B1A85" w:rsidRPr="00A831E7" w:rsidRDefault="001B1A85" w:rsidP="00470A5C">
            <w:pPr>
              <w:jc w:val="center"/>
              <w:rPr>
                <w:sz w:val="18"/>
                <w:szCs w:val="18"/>
              </w:rPr>
            </w:pPr>
          </w:p>
        </w:tc>
        <w:tc>
          <w:tcPr>
            <w:tcW w:w="900" w:type="dxa"/>
            <w:vMerge/>
            <w:tcBorders>
              <w:bottom w:val="single" w:sz="12" w:space="0" w:color="auto"/>
            </w:tcBorders>
          </w:tcPr>
          <w:p w14:paraId="32FAE51C" w14:textId="77777777" w:rsidR="001B1A85" w:rsidRPr="00A831E7" w:rsidRDefault="001B1A85" w:rsidP="00470A5C">
            <w:pPr>
              <w:jc w:val="center"/>
              <w:rPr>
                <w:sz w:val="18"/>
                <w:szCs w:val="18"/>
              </w:rPr>
            </w:pPr>
          </w:p>
        </w:tc>
        <w:tc>
          <w:tcPr>
            <w:tcW w:w="900" w:type="dxa"/>
            <w:tcBorders>
              <w:top w:val="single" w:sz="4" w:space="0" w:color="auto"/>
              <w:bottom w:val="single" w:sz="12" w:space="0" w:color="auto"/>
            </w:tcBorders>
          </w:tcPr>
          <w:p w14:paraId="5E342123" w14:textId="77777777" w:rsidR="001B1A85" w:rsidRPr="00A831E7" w:rsidRDefault="001B1A85" w:rsidP="00470A5C">
            <w:pPr>
              <w:jc w:val="center"/>
              <w:rPr>
                <w:sz w:val="18"/>
                <w:szCs w:val="18"/>
              </w:rPr>
            </w:pPr>
            <w:r w:rsidRPr="00A831E7">
              <w:rPr>
                <w:sz w:val="18"/>
                <w:szCs w:val="18"/>
              </w:rPr>
              <w:t>ICH-IS</w:t>
            </w:r>
          </w:p>
        </w:tc>
        <w:tc>
          <w:tcPr>
            <w:tcW w:w="630" w:type="dxa"/>
            <w:tcBorders>
              <w:top w:val="single" w:sz="4" w:space="0" w:color="auto"/>
              <w:bottom w:val="single" w:sz="12" w:space="0" w:color="auto"/>
            </w:tcBorders>
          </w:tcPr>
          <w:p w14:paraId="10E81DE0" w14:textId="0C1DFD2F" w:rsidR="001B1A85" w:rsidRPr="00A831E7" w:rsidRDefault="001B1A85" w:rsidP="00470A5C">
            <w:pPr>
              <w:jc w:val="center"/>
              <w:rPr>
                <w:sz w:val="18"/>
                <w:szCs w:val="18"/>
              </w:rPr>
            </w:pPr>
            <w:r w:rsidRPr="00A831E7">
              <w:rPr>
                <w:sz w:val="18"/>
                <w:szCs w:val="18"/>
              </w:rPr>
              <w:t>0.82</w:t>
            </w:r>
            <w:r w:rsidR="00DC473F" w:rsidRPr="00A831E7">
              <w:rPr>
                <w:sz w:val="18"/>
                <w:szCs w:val="18"/>
              </w:rPr>
              <w:t>0</w:t>
            </w:r>
          </w:p>
        </w:tc>
        <w:tc>
          <w:tcPr>
            <w:tcW w:w="720" w:type="dxa"/>
            <w:tcBorders>
              <w:top w:val="single" w:sz="4" w:space="0" w:color="auto"/>
              <w:bottom w:val="single" w:sz="12" w:space="0" w:color="auto"/>
            </w:tcBorders>
          </w:tcPr>
          <w:p w14:paraId="33CECBE7" w14:textId="0A488896" w:rsidR="001B1A85" w:rsidRPr="00A831E7" w:rsidRDefault="001B1A85" w:rsidP="00470A5C">
            <w:pPr>
              <w:jc w:val="center"/>
              <w:rPr>
                <w:sz w:val="18"/>
                <w:szCs w:val="18"/>
              </w:rPr>
            </w:pPr>
            <w:r w:rsidRPr="00A831E7">
              <w:rPr>
                <w:sz w:val="18"/>
                <w:szCs w:val="18"/>
              </w:rPr>
              <w:t>0.75</w:t>
            </w:r>
            <w:r w:rsidR="00DC473F" w:rsidRPr="00A831E7">
              <w:rPr>
                <w:sz w:val="18"/>
                <w:szCs w:val="18"/>
              </w:rPr>
              <w:t>0</w:t>
            </w:r>
          </w:p>
        </w:tc>
        <w:tc>
          <w:tcPr>
            <w:tcW w:w="720" w:type="dxa"/>
            <w:tcBorders>
              <w:top w:val="single" w:sz="4" w:space="0" w:color="auto"/>
              <w:bottom w:val="single" w:sz="12" w:space="0" w:color="auto"/>
            </w:tcBorders>
          </w:tcPr>
          <w:p w14:paraId="1F71393B" w14:textId="317BD4E8" w:rsidR="001B1A85" w:rsidRPr="00A831E7" w:rsidRDefault="001B1A85" w:rsidP="00470A5C">
            <w:pPr>
              <w:jc w:val="center"/>
              <w:rPr>
                <w:sz w:val="18"/>
                <w:szCs w:val="18"/>
              </w:rPr>
            </w:pPr>
            <w:r w:rsidRPr="00A831E7">
              <w:rPr>
                <w:sz w:val="18"/>
                <w:szCs w:val="18"/>
              </w:rPr>
              <w:t>0.</w:t>
            </w:r>
            <w:r w:rsidR="00DC473F" w:rsidRPr="00A831E7">
              <w:rPr>
                <w:sz w:val="18"/>
                <w:szCs w:val="18"/>
              </w:rPr>
              <w:t>797</w:t>
            </w:r>
          </w:p>
        </w:tc>
        <w:tc>
          <w:tcPr>
            <w:tcW w:w="720" w:type="dxa"/>
            <w:vMerge/>
            <w:tcBorders>
              <w:bottom w:val="single" w:sz="12" w:space="0" w:color="auto"/>
              <w:right w:val="single" w:sz="12" w:space="0" w:color="000000"/>
            </w:tcBorders>
          </w:tcPr>
          <w:p w14:paraId="55AD5DE1" w14:textId="77777777" w:rsidR="001B1A85" w:rsidRPr="00A831E7" w:rsidRDefault="001B1A85" w:rsidP="00470A5C">
            <w:pPr>
              <w:rPr>
                <w:sz w:val="18"/>
                <w:szCs w:val="18"/>
              </w:rPr>
            </w:pPr>
          </w:p>
        </w:tc>
      </w:tr>
      <w:tr w:rsidR="003A213A" w:rsidRPr="00A831E7" w14:paraId="00D55D91" w14:textId="77777777" w:rsidTr="003A213A">
        <w:trPr>
          <w:trHeight w:val="330"/>
        </w:trPr>
        <w:tc>
          <w:tcPr>
            <w:tcW w:w="1170" w:type="dxa"/>
            <w:vMerge w:val="restart"/>
            <w:tcBorders>
              <w:top w:val="single" w:sz="12" w:space="0" w:color="auto"/>
              <w:left w:val="single" w:sz="12" w:space="0" w:color="auto"/>
            </w:tcBorders>
          </w:tcPr>
          <w:p w14:paraId="73314DD6" w14:textId="77777777" w:rsidR="001B1A85" w:rsidRPr="00730D74" w:rsidRDefault="001B1A85" w:rsidP="00470A5C">
            <w:pPr>
              <w:rPr>
                <w:sz w:val="18"/>
                <w:szCs w:val="18"/>
                <w:lang w:val="en-US"/>
              </w:rPr>
            </w:pPr>
            <w:r w:rsidRPr="00730D74">
              <w:rPr>
                <w:sz w:val="18"/>
                <w:szCs w:val="18"/>
                <w:lang w:val="en-US"/>
              </w:rPr>
              <w:t>17 probes from peptide micro-arrays</w:t>
            </w:r>
          </w:p>
          <w:p w14:paraId="0CE73415" w14:textId="4DDBF30E" w:rsidR="00BC3BD1" w:rsidRPr="00730D74" w:rsidRDefault="00BC3BD1" w:rsidP="00470A5C">
            <w:pPr>
              <w:rPr>
                <w:i/>
                <w:iCs/>
                <w:sz w:val="18"/>
                <w:szCs w:val="18"/>
                <w:lang w:val="en-US"/>
              </w:rPr>
            </w:pPr>
            <w:hyperlink w:anchor="_Παράρτημα" w:history="1">
              <w:r w:rsidRPr="00730D74">
                <w:rPr>
                  <w:rStyle w:val="-"/>
                  <w:i/>
                  <w:iCs/>
                  <w:sz w:val="18"/>
                  <w:szCs w:val="18"/>
                  <w:lang w:val="en-US"/>
                </w:rPr>
                <w:t>(</w:t>
              </w:r>
              <w:r w:rsidRPr="00A831E7">
                <w:rPr>
                  <w:rStyle w:val="-"/>
                  <w:i/>
                  <w:iCs/>
                  <w:sz w:val="18"/>
                  <w:szCs w:val="18"/>
                </w:rPr>
                <w:t>Παράρτημα</w:t>
              </w:r>
              <w:r w:rsidRPr="00730D74">
                <w:rPr>
                  <w:rStyle w:val="-"/>
                  <w:i/>
                  <w:iCs/>
                  <w:sz w:val="18"/>
                  <w:szCs w:val="18"/>
                  <w:lang w:val="en-US"/>
                </w:rPr>
                <w:t>:</w:t>
              </w:r>
              <w:r w:rsidRPr="00A831E7">
                <w:rPr>
                  <w:rStyle w:val="-"/>
                  <w:i/>
                  <w:iCs/>
                  <w:sz w:val="18"/>
                  <w:szCs w:val="18"/>
                </w:rPr>
                <w:t>Εικόνα</w:t>
              </w:r>
              <w:r w:rsidRPr="00730D74">
                <w:rPr>
                  <w:rStyle w:val="-"/>
                  <w:i/>
                  <w:iCs/>
                  <w:sz w:val="18"/>
                  <w:szCs w:val="18"/>
                  <w:lang w:val="en-US"/>
                </w:rPr>
                <w:t xml:space="preserve"> 1)</w:t>
              </w:r>
            </w:hyperlink>
          </w:p>
        </w:tc>
        <w:tc>
          <w:tcPr>
            <w:tcW w:w="1620" w:type="dxa"/>
            <w:vMerge w:val="restart"/>
            <w:tcBorders>
              <w:top w:val="single" w:sz="12" w:space="0" w:color="auto"/>
            </w:tcBorders>
          </w:tcPr>
          <w:p w14:paraId="04F6358D" w14:textId="77777777" w:rsidR="00387775" w:rsidRDefault="0062230B" w:rsidP="00A9201D">
            <w:pPr>
              <w:jc w:val="center"/>
              <w:rPr>
                <w:sz w:val="18"/>
                <w:szCs w:val="18"/>
                <w:lang w:val="en-US"/>
              </w:rPr>
            </w:pPr>
            <w:r w:rsidRPr="00730D74">
              <w:rPr>
                <w:sz w:val="18"/>
                <w:szCs w:val="18"/>
                <w:lang w:val="en-US"/>
              </w:rPr>
              <w:t>C</w:t>
            </w:r>
            <w:r w:rsidR="001B1A85" w:rsidRPr="00730D74">
              <w:rPr>
                <w:sz w:val="18"/>
                <w:szCs w:val="18"/>
                <w:lang w:val="en-US"/>
              </w:rPr>
              <w:t xml:space="preserve">irculating antibodies </w:t>
            </w:r>
            <w:r w:rsidRPr="00730D74">
              <w:rPr>
                <w:sz w:val="18"/>
                <w:szCs w:val="18"/>
                <w:lang w:val="en-US"/>
              </w:rPr>
              <w:t>in</w:t>
            </w:r>
            <w:r w:rsidR="001B1A85" w:rsidRPr="00730D74">
              <w:rPr>
                <w:sz w:val="18"/>
                <w:szCs w:val="18"/>
                <w:lang w:val="en-US"/>
              </w:rPr>
              <w:t xml:space="preserve"> peptide microarrays</w:t>
            </w:r>
          </w:p>
          <w:p w14:paraId="4F11F1C9" w14:textId="4EBB5D46" w:rsidR="001B1A85" w:rsidRPr="00364C8D" w:rsidRDefault="001B1A85" w:rsidP="00A9201D">
            <w:pPr>
              <w:jc w:val="center"/>
              <w:rPr>
                <w:sz w:val="14"/>
                <w:szCs w:val="14"/>
                <w:lang w:val="en-US"/>
              </w:rPr>
            </w:pPr>
            <w:r w:rsidRPr="00730D74">
              <w:rPr>
                <w:sz w:val="18"/>
                <w:szCs w:val="18"/>
                <w:lang w:val="en-US"/>
              </w:rPr>
              <w:br/>
            </w:r>
            <w:r w:rsidRPr="00364C8D">
              <w:rPr>
                <w:sz w:val="14"/>
                <w:szCs w:val="14"/>
                <w:lang w:val="en-US"/>
              </w:rPr>
              <w:t>[limited same-set cross-validation]</w:t>
            </w:r>
          </w:p>
          <w:p w14:paraId="6C6F9E63" w14:textId="7E9CCB25" w:rsidR="00624E64" w:rsidRPr="00387775" w:rsidRDefault="00624E64" w:rsidP="00A9201D">
            <w:pPr>
              <w:jc w:val="center"/>
              <w:rPr>
                <w:i/>
                <w:iCs/>
                <w:sz w:val="18"/>
                <w:szCs w:val="18"/>
                <w:lang w:val="en-US"/>
              </w:rPr>
            </w:pPr>
            <w:r w:rsidRPr="00364C8D">
              <w:rPr>
                <w:i/>
                <w:iCs/>
                <w:sz w:val="14"/>
                <w:szCs w:val="14"/>
                <w:lang w:val="en-US"/>
              </w:rPr>
              <w:t>SM=20, IS=19, HS=17</w:t>
            </w:r>
          </w:p>
        </w:tc>
        <w:tc>
          <w:tcPr>
            <w:tcW w:w="990" w:type="dxa"/>
            <w:vMerge w:val="restart"/>
            <w:tcBorders>
              <w:top w:val="single" w:sz="12" w:space="0" w:color="auto"/>
            </w:tcBorders>
          </w:tcPr>
          <w:p w14:paraId="78D3CD90" w14:textId="77777777" w:rsidR="00336BD8" w:rsidRDefault="001B1A85" w:rsidP="00336BD8">
            <w:pPr>
              <w:jc w:val="center"/>
              <w:rPr>
                <w:sz w:val="18"/>
                <w:szCs w:val="18"/>
                <w:lang w:val="en-US"/>
              </w:rPr>
            </w:pPr>
            <w:r w:rsidRPr="00730D74">
              <w:rPr>
                <w:sz w:val="18"/>
                <w:szCs w:val="18"/>
                <w:lang w:val="en-US"/>
              </w:rPr>
              <w:t>&lt;12h</w:t>
            </w:r>
            <w:r w:rsidRPr="00730D74">
              <w:rPr>
                <w:sz w:val="18"/>
                <w:szCs w:val="18"/>
                <w:lang w:val="en-US"/>
              </w:rPr>
              <w:br/>
              <w:t>whole blood</w:t>
            </w:r>
          </w:p>
          <w:p w14:paraId="48B1EE40" w14:textId="77777777" w:rsidR="00336BD8" w:rsidRDefault="00336BD8" w:rsidP="00336BD8">
            <w:pPr>
              <w:jc w:val="center"/>
              <w:rPr>
                <w:sz w:val="18"/>
                <w:szCs w:val="18"/>
                <w:lang w:val="en-US"/>
              </w:rPr>
            </w:pPr>
          </w:p>
          <w:p w14:paraId="111C302F" w14:textId="70821022" w:rsidR="001B1A85" w:rsidRPr="00730D74" w:rsidRDefault="001B1A85" w:rsidP="00336BD8">
            <w:pPr>
              <w:jc w:val="center"/>
              <w:rPr>
                <w:sz w:val="18"/>
                <w:szCs w:val="18"/>
                <w:lang w:val="en-US"/>
              </w:rPr>
            </w:pPr>
            <w:r w:rsidRPr="00730D74">
              <w:rPr>
                <w:sz w:val="18"/>
                <w:szCs w:val="18"/>
                <w:lang w:val="en-US"/>
              </w:rPr>
              <w:t xml:space="preserve"> </w:t>
            </w:r>
            <w:r w:rsidRPr="00730D74">
              <w:rPr>
                <w:sz w:val="16"/>
                <w:szCs w:val="16"/>
                <w:lang w:val="en-US"/>
              </w:rPr>
              <w:t>peptide array/R</w:t>
            </w:r>
          </w:p>
        </w:tc>
        <w:tc>
          <w:tcPr>
            <w:tcW w:w="900" w:type="dxa"/>
            <w:vMerge w:val="restart"/>
            <w:tcBorders>
              <w:top w:val="single" w:sz="12" w:space="0" w:color="auto"/>
            </w:tcBorders>
          </w:tcPr>
          <w:p w14:paraId="01712410" w14:textId="0C843907" w:rsidR="001B1A85" w:rsidRPr="008F5904" w:rsidRDefault="001B1A85" w:rsidP="00470A5C">
            <w:pPr>
              <w:jc w:val="center"/>
              <w:rPr>
                <w:sz w:val="18"/>
                <w:lang w:val="en-US"/>
              </w:rPr>
            </w:pPr>
            <w:r w:rsidRPr="00A831E7">
              <w:rPr>
                <w:sz w:val="18"/>
                <w:szCs w:val="18"/>
              </w:rPr>
              <w:t>RF</w:t>
            </w:r>
          </w:p>
        </w:tc>
        <w:tc>
          <w:tcPr>
            <w:tcW w:w="900" w:type="dxa"/>
            <w:tcBorders>
              <w:top w:val="single" w:sz="12" w:space="0" w:color="auto"/>
              <w:bottom w:val="single" w:sz="4" w:space="0" w:color="auto"/>
            </w:tcBorders>
          </w:tcPr>
          <w:p w14:paraId="6C813AFF" w14:textId="77777777" w:rsidR="001B1A85" w:rsidRPr="00A831E7" w:rsidRDefault="001B1A85" w:rsidP="00470A5C">
            <w:pPr>
              <w:jc w:val="center"/>
              <w:rPr>
                <w:sz w:val="18"/>
                <w:szCs w:val="18"/>
              </w:rPr>
            </w:pPr>
            <w:r w:rsidRPr="00A831E7">
              <w:rPr>
                <w:sz w:val="18"/>
                <w:szCs w:val="18"/>
              </w:rPr>
              <w:t>Stroke-SMs</w:t>
            </w:r>
          </w:p>
        </w:tc>
        <w:tc>
          <w:tcPr>
            <w:tcW w:w="630" w:type="dxa"/>
            <w:tcBorders>
              <w:top w:val="single" w:sz="12" w:space="0" w:color="auto"/>
              <w:bottom w:val="single" w:sz="4" w:space="0" w:color="auto"/>
            </w:tcBorders>
          </w:tcPr>
          <w:p w14:paraId="34C149E4" w14:textId="057F90D5" w:rsidR="001B1A85" w:rsidRPr="00A831E7" w:rsidRDefault="001B1A85" w:rsidP="00470A5C">
            <w:pPr>
              <w:jc w:val="center"/>
              <w:rPr>
                <w:sz w:val="18"/>
                <w:szCs w:val="18"/>
              </w:rPr>
            </w:pPr>
            <w:r w:rsidRPr="00A831E7">
              <w:rPr>
                <w:sz w:val="18"/>
                <w:szCs w:val="18"/>
              </w:rPr>
              <w:t>0.</w:t>
            </w:r>
            <w:r w:rsidR="00E34A72" w:rsidRPr="00A831E7">
              <w:rPr>
                <w:sz w:val="18"/>
                <w:szCs w:val="18"/>
              </w:rPr>
              <w:t>940</w:t>
            </w:r>
          </w:p>
        </w:tc>
        <w:tc>
          <w:tcPr>
            <w:tcW w:w="720" w:type="dxa"/>
            <w:tcBorders>
              <w:top w:val="single" w:sz="12" w:space="0" w:color="auto"/>
              <w:bottom w:val="single" w:sz="4" w:space="0" w:color="auto"/>
            </w:tcBorders>
          </w:tcPr>
          <w:p w14:paraId="763C7B94" w14:textId="24FF5EB2" w:rsidR="001B1A85" w:rsidRPr="00A831E7" w:rsidRDefault="001B1A85" w:rsidP="00470A5C">
            <w:pPr>
              <w:jc w:val="center"/>
              <w:rPr>
                <w:sz w:val="18"/>
                <w:szCs w:val="18"/>
              </w:rPr>
            </w:pPr>
            <w:r w:rsidRPr="00A831E7">
              <w:rPr>
                <w:sz w:val="18"/>
                <w:szCs w:val="18"/>
              </w:rPr>
              <w:t>0.9</w:t>
            </w:r>
            <w:r w:rsidR="00E34A72" w:rsidRPr="00A831E7">
              <w:rPr>
                <w:sz w:val="18"/>
                <w:szCs w:val="18"/>
              </w:rPr>
              <w:t>17</w:t>
            </w:r>
          </w:p>
        </w:tc>
        <w:tc>
          <w:tcPr>
            <w:tcW w:w="720" w:type="dxa"/>
            <w:tcBorders>
              <w:top w:val="single" w:sz="12" w:space="0" w:color="auto"/>
              <w:bottom w:val="single" w:sz="4" w:space="0" w:color="auto"/>
            </w:tcBorders>
          </w:tcPr>
          <w:p w14:paraId="095DCF1C" w14:textId="24059706" w:rsidR="001B1A85" w:rsidRPr="00A831E7" w:rsidRDefault="001B1A85" w:rsidP="00470A5C">
            <w:pPr>
              <w:jc w:val="center"/>
              <w:rPr>
                <w:sz w:val="18"/>
                <w:szCs w:val="18"/>
              </w:rPr>
            </w:pPr>
            <w:r w:rsidRPr="00A831E7">
              <w:rPr>
                <w:sz w:val="18"/>
                <w:szCs w:val="18"/>
              </w:rPr>
              <w:t>0.90</w:t>
            </w:r>
            <w:r w:rsidR="00E34A72" w:rsidRPr="00A831E7">
              <w:rPr>
                <w:sz w:val="18"/>
                <w:szCs w:val="18"/>
              </w:rPr>
              <w:t>0</w:t>
            </w:r>
          </w:p>
        </w:tc>
        <w:tc>
          <w:tcPr>
            <w:tcW w:w="720" w:type="dxa"/>
            <w:vMerge w:val="restart"/>
            <w:tcBorders>
              <w:top w:val="single" w:sz="12" w:space="0" w:color="auto"/>
              <w:right w:val="single" w:sz="12" w:space="0" w:color="000000"/>
            </w:tcBorders>
          </w:tcPr>
          <w:p w14:paraId="6EDF1FD7" w14:textId="6F785A51" w:rsidR="001B1A85" w:rsidRPr="00A831E7" w:rsidRDefault="00A9201D" w:rsidP="00470A5C">
            <w:pPr>
              <w:rPr>
                <w:sz w:val="18"/>
                <w:szCs w:val="18"/>
              </w:rPr>
            </w:pPr>
            <w:r w:rsidRPr="00A831E7">
              <w:rPr>
                <w:sz w:val="18"/>
                <w:szCs w:val="18"/>
              </w:rPr>
              <w:fldChar w:fldCharType="begin"/>
            </w:r>
            <w:r w:rsidR="00B22777" w:rsidRPr="00A831E7">
              <w:rPr>
                <w:sz w:val="18"/>
                <w:szCs w:val="18"/>
              </w:rPr>
              <w:instrText xml:space="preserve"> ADDIN ZOTERO_ITEM CSL_CITATION {"citationID":"7uxPpxb1","properties":{"formattedCitation":"[74]","plainCitation":"[74]","noteIndex":0},"citationItems":[{"id":122,"uris":["http://zotero.org/users/local/mfHf28QG/items/6MA7QMM2"],"itemData":{"id":122,"type":"article-journal","abstract":"Accurate stroke recognition during triage can streamline care and afford patients earlier access to life-saving interventions. However, the tools currently available to clinicians for prehospital and early in-hospital identification of stroke are ...","container-title":"Neurotherapeutics","DOI":"10.1007/s13311-019-00720-9","issue":"3","language":"en","note":"PMID: 30783962","page":"868","source":"pmc.ncbi.nlm.nih.gov","title":"High-Throughput Profiling of Circulating Antibody Signatures for Stroke Diagnosis Using Small Volumes of Whole Blood","volume":"16","author":[{"family":"O’Connell","given":"Grant C."},{"family":"Stafford","given":"Phillip"},{"family":"Walsh","given":"Kyle B."},{"family":"Adeoye","given":"Opeolu"},{"family":"Barr","given":"Taura L."}],"issued":{"date-parts":[["2019",2,19]]}}}],"schema":"https://github.com/citation-style-language/schema/raw/master/csl-citation.json"} </w:instrText>
            </w:r>
            <w:r w:rsidRPr="00A831E7">
              <w:rPr>
                <w:sz w:val="18"/>
                <w:szCs w:val="18"/>
              </w:rPr>
              <w:fldChar w:fldCharType="separate"/>
            </w:r>
            <w:r w:rsidR="00B22777" w:rsidRPr="00A831E7">
              <w:rPr>
                <w:sz w:val="18"/>
              </w:rPr>
              <w:t>[74]</w:t>
            </w:r>
            <w:r w:rsidRPr="00A831E7">
              <w:rPr>
                <w:sz w:val="18"/>
                <w:szCs w:val="18"/>
              </w:rPr>
              <w:fldChar w:fldCharType="end"/>
            </w:r>
          </w:p>
        </w:tc>
      </w:tr>
      <w:tr w:rsidR="003A213A" w:rsidRPr="00A831E7" w14:paraId="22F35AF1" w14:textId="77777777" w:rsidTr="003A213A">
        <w:trPr>
          <w:trHeight w:val="296"/>
        </w:trPr>
        <w:tc>
          <w:tcPr>
            <w:tcW w:w="1170" w:type="dxa"/>
            <w:vMerge/>
            <w:tcBorders>
              <w:left w:val="single" w:sz="12" w:space="0" w:color="auto"/>
            </w:tcBorders>
          </w:tcPr>
          <w:p w14:paraId="14732ADE" w14:textId="77777777" w:rsidR="001B1A85" w:rsidRPr="00A831E7" w:rsidRDefault="001B1A85" w:rsidP="00470A5C">
            <w:pPr>
              <w:rPr>
                <w:sz w:val="18"/>
                <w:szCs w:val="18"/>
              </w:rPr>
            </w:pPr>
          </w:p>
        </w:tc>
        <w:tc>
          <w:tcPr>
            <w:tcW w:w="1620" w:type="dxa"/>
            <w:vMerge/>
          </w:tcPr>
          <w:p w14:paraId="21403A0D" w14:textId="77777777" w:rsidR="001B1A85" w:rsidRPr="00A831E7" w:rsidRDefault="001B1A85" w:rsidP="00470A5C">
            <w:pPr>
              <w:jc w:val="center"/>
              <w:rPr>
                <w:sz w:val="18"/>
                <w:szCs w:val="18"/>
              </w:rPr>
            </w:pPr>
          </w:p>
        </w:tc>
        <w:tc>
          <w:tcPr>
            <w:tcW w:w="990" w:type="dxa"/>
            <w:vMerge/>
          </w:tcPr>
          <w:p w14:paraId="37FFDAEE" w14:textId="77777777" w:rsidR="001B1A85" w:rsidRPr="00A831E7" w:rsidRDefault="001B1A85" w:rsidP="00470A5C">
            <w:pPr>
              <w:jc w:val="center"/>
              <w:rPr>
                <w:sz w:val="18"/>
                <w:szCs w:val="18"/>
              </w:rPr>
            </w:pPr>
          </w:p>
        </w:tc>
        <w:tc>
          <w:tcPr>
            <w:tcW w:w="900" w:type="dxa"/>
            <w:vMerge/>
          </w:tcPr>
          <w:p w14:paraId="6D7EA241" w14:textId="77777777" w:rsidR="001B1A85" w:rsidRPr="00A831E7" w:rsidRDefault="001B1A85" w:rsidP="00470A5C">
            <w:pPr>
              <w:rPr>
                <w:sz w:val="18"/>
                <w:szCs w:val="18"/>
              </w:rPr>
            </w:pPr>
          </w:p>
        </w:tc>
        <w:tc>
          <w:tcPr>
            <w:tcW w:w="900" w:type="dxa"/>
            <w:tcBorders>
              <w:top w:val="single" w:sz="4" w:space="0" w:color="auto"/>
              <w:bottom w:val="single" w:sz="4" w:space="0" w:color="auto"/>
            </w:tcBorders>
          </w:tcPr>
          <w:p w14:paraId="2E238C34" w14:textId="77777777" w:rsidR="001B1A85" w:rsidRPr="00A831E7" w:rsidRDefault="001B1A85" w:rsidP="00470A5C">
            <w:pPr>
              <w:jc w:val="center"/>
              <w:rPr>
                <w:sz w:val="18"/>
                <w:szCs w:val="18"/>
              </w:rPr>
            </w:pPr>
            <w:r w:rsidRPr="00A831E7">
              <w:rPr>
                <w:sz w:val="18"/>
                <w:szCs w:val="18"/>
              </w:rPr>
              <w:t>ICH</w:t>
            </w:r>
          </w:p>
        </w:tc>
        <w:tc>
          <w:tcPr>
            <w:tcW w:w="630" w:type="dxa"/>
            <w:tcBorders>
              <w:top w:val="single" w:sz="4" w:space="0" w:color="auto"/>
              <w:bottom w:val="single" w:sz="4" w:space="0" w:color="auto"/>
            </w:tcBorders>
          </w:tcPr>
          <w:p w14:paraId="24C672A5" w14:textId="16938C8E" w:rsidR="001B1A85" w:rsidRPr="00A831E7" w:rsidRDefault="001B1A85" w:rsidP="00470A5C">
            <w:pPr>
              <w:jc w:val="center"/>
              <w:rPr>
                <w:sz w:val="18"/>
                <w:szCs w:val="18"/>
              </w:rPr>
            </w:pPr>
            <w:r w:rsidRPr="00A831E7">
              <w:rPr>
                <w:sz w:val="18"/>
                <w:szCs w:val="18"/>
              </w:rPr>
              <w:t>0.94</w:t>
            </w:r>
            <w:r w:rsidR="00E34A72" w:rsidRPr="00A831E7">
              <w:rPr>
                <w:sz w:val="18"/>
                <w:szCs w:val="18"/>
              </w:rPr>
              <w:t xml:space="preserve">0    </w:t>
            </w:r>
          </w:p>
        </w:tc>
        <w:tc>
          <w:tcPr>
            <w:tcW w:w="720" w:type="dxa"/>
            <w:tcBorders>
              <w:top w:val="single" w:sz="4" w:space="0" w:color="auto"/>
              <w:bottom w:val="single" w:sz="4" w:space="0" w:color="auto"/>
            </w:tcBorders>
          </w:tcPr>
          <w:p w14:paraId="6C28EFEB" w14:textId="09E3F215" w:rsidR="001B1A85" w:rsidRPr="00A831E7" w:rsidRDefault="001B1A85" w:rsidP="00470A5C">
            <w:pPr>
              <w:jc w:val="center"/>
              <w:rPr>
                <w:sz w:val="18"/>
                <w:szCs w:val="18"/>
              </w:rPr>
            </w:pPr>
            <w:r w:rsidRPr="00A831E7">
              <w:rPr>
                <w:sz w:val="18"/>
                <w:szCs w:val="18"/>
              </w:rPr>
              <w:t>0.88</w:t>
            </w:r>
            <w:r w:rsidR="00E34A72" w:rsidRPr="00A831E7">
              <w:rPr>
                <w:sz w:val="18"/>
                <w:szCs w:val="18"/>
              </w:rPr>
              <w:t>2</w:t>
            </w:r>
          </w:p>
        </w:tc>
        <w:tc>
          <w:tcPr>
            <w:tcW w:w="720" w:type="dxa"/>
            <w:tcBorders>
              <w:top w:val="single" w:sz="4" w:space="0" w:color="auto"/>
              <w:bottom w:val="single" w:sz="4" w:space="0" w:color="auto"/>
            </w:tcBorders>
          </w:tcPr>
          <w:p w14:paraId="7988EB40" w14:textId="354AE9CB" w:rsidR="001B1A85" w:rsidRPr="00A831E7" w:rsidRDefault="001B1A85" w:rsidP="00470A5C">
            <w:pPr>
              <w:jc w:val="center"/>
              <w:rPr>
                <w:sz w:val="18"/>
                <w:szCs w:val="18"/>
              </w:rPr>
            </w:pPr>
            <w:r w:rsidRPr="00A831E7">
              <w:rPr>
                <w:sz w:val="18"/>
                <w:szCs w:val="18"/>
              </w:rPr>
              <w:t>0.87</w:t>
            </w:r>
            <w:r w:rsidR="00E34A72" w:rsidRPr="00A831E7">
              <w:rPr>
                <w:sz w:val="18"/>
                <w:szCs w:val="18"/>
              </w:rPr>
              <w:t xml:space="preserve">1               </w:t>
            </w:r>
          </w:p>
        </w:tc>
        <w:tc>
          <w:tcPr>
            <w:tcW w:w="720" w:type="dxa"/>
            <w:vMerge/>
            <w:tcBorders>
              <w:right w:val="single" w:sz="12" w:space="0" w:color="000000"/>
            </w:tcBorders>
          </w:tcPr>
          <w:p w14:paraId="14B5F136" w14:textId="77777777" w:rsidR="001B1A85" w:rsidRPr="00A831E7" w:rsidRDefault="001B1A85" w:rsidP="00470A5C">
            <w:pPr>
              <w:rPr>
                <w:sz w:val="18"/>
                <w:szCs w:val="18"/>
              </w:rPr>
            </w:pPr>
          </w:p>
        </w:tc>
      </w:tr>
      <w:tr w:rsidR="003A213A" w:rsidRPr="00302ACF" w14:paraId="3D14D7FE" w14:textId="77777777" w:rsidTr="003A213A">
        <w:tc>
          <w:tcPr>
            <w:tcW w:w="1170" w:type="dxa"/>
            <w:vMerge/>
            <w:tcBorders>
              <w:left w:val="single" w:sz="12" w:space="0" w:color="auto"/>
              <w:bottom w:val="single" w:sz="12" w:space="0" w:color="auto"/>
            </w:tcBorders>
          </w:tcPr>
          <w:p w14:paraId="6CF49D79" w14:textId="77777777" w:rsidR="001B1A85" w:rsidRPr="00A831E7" w:rsidRDefault="001B1A85" w:rsidP="00470A5C">
            <w:pPr>
              <w:rPr>
                <w:sz w:val="18"/>
                <w:szCs w:val="18"/>
              </w:rPr>
            </w:pPr>
          </w:p>
        </w:tc>
        <w:tc>
          <w:tcPr>
            <w:tcW w:w="1620" w:type="dxa"/>
            <w:vMerge/>
            <w:tcBorders>
              <w:bottom w:val="single" w:sz="12" w:space="0" w:color="auto"/>
            </w:tcBorders>
          </w:tcPr>
          <w:p w14:paraId="7F4A278F" w14:textId="77777777" w:rsidR="001B1A85" w:rsidRPr="00A831E7" w:rsidRDefault="001B1A85" w:rsidP="00470A5C">
            <w:pPr>
              <w:jc w:val="center"/>
              <w:rPr>
                <w:sz w:val="18"/>
                <w:szCs w:val="18"/>
              </w:rPr>
            </w:pPr>
          </w:p>
        </w:tc>
        <w:tc>
          <w:tcPr>
            <w:tcW w:w="990" w:type="dxa"/>
            <w:vMerge/>
            <w:tcBorders>
              <w:bottom w:val="single" w:sz="12" w:space="0" w:color="auto"/>
            </w:tcBorders>
          </w:tcPr>
          <w:p w14:paraId="5ADC9BD9" w14:textId="77777777" w:rsidR="001B1A85" w:rsidRPr="00A831E7" w:rsidRDefault="001B1A85" w:rsidP="00470A5C">
            <w:pPr>
              <w:jc w:val="center"/>
              <w:rPr>
                <w:sz w:val="18"/>
                <w:szCs w:val="18"/>
              </w:rPr>
            </w:pPr>
          </w:p>
        </w:tc>
        <w:tc>
          <w:tcPr>
            <w:tcW w:w="900" w:type="dxa"/>
            <w:vMerge/>
            <w:tcBorders>
              <w:bottom w:val="single" w:sz="12" w:space="0" w:color="auto"/>
            </w:tcBorders>
          </w:tcPr>
          <w:p w14:paraId="5C53BA42" w14:textId="77777777" w:rsidR="001B1A85" w:rsidRPr="00A831E7" w:rsidRDefault="001B1A85" w:rsidP="00470A5C">
            <w:pPr>
              <w:rPr>
                <w:sz w:val="18"/>
                <w:szCs w:val="18"/>
              </w:rPr>
            </w:pPr>
          </w:p>
        </w:tc>
        <w:tc>
          <w:tcPr>
            <w:tcW w:w="900" w:type="dxa"/>
            <w:tcBorders>
              <w:top w:val="single" w:sz="4" w:space="0" w:color="auto"/>
              <w:bottom w:val="single" w:sz="12" w:space="0" w:color="auto"/>
            </w:tcBorders>
          </w:tcPr>
          <w:p w14:paraId="131D5B6F" w14:textId="77777777" w:rsidR="001B1A85" w:rsidRPr="00A831E7" w:rsidRDefault="001B1A85" w:rsidP="00470A5C">
            <w:pPr>
              <w:jc w:val="center"/>
              <w:rPr>
                <w:sz w:val="18"/>
                <w:szCs w:val="18"/>
              </w:rPr>
            </w:pPr>
            <w:r w:rsidRPr="00A831E7">
              <w:rPr>
                <w:sz w:val="18"/>
                <w:szCs w:val="18"/>
              </w:rPr>
              <w:t>ICH-IS</w:t>
            </w:r>
          </w:p>
        </w:tc>
        <w:tc>
          <w:tcPr>
            <w:tcW w:w="630" w:type="dxa"/>
            <w:tcBorders>
              <w:top w:val="single" w:sz="4" w:space="0" w:color="auto"/>
              <w:bottom w:val="single" w:sz="12" w:space="0" w:color="auto"/>
            </w:tcBorders>
          </w:tcPr>
          <w:p w14:paraId="6849628D" w14:textId="31F6A821" w:rsidR="001B1A85" w:rsidRPr="00A831E7" w:rsidRDefault="001B1A85" w:rsidP="00470A5C">
            <w:pPr>
              <w:jc w:val="center"/>
              <w:rPr>
                <w:sz w:val="18"/>
                <w:szCs w:val="18"/>
              </w:rPr>
            </w:pPr>
            <w:r w:rsidRPr="00A831E7">
              <w:rPr>
                <w:sz w:val="18"/>
                <w:szCs w:val="18"/>
              </w:rPr>
              <w:t>0.95</w:t>
            </w:r>
            <w:r w:rsidR="00E34A72" w:rsidRPr="00A831E7">
              <w:rPr>
                <w:sz w:val="18"/>
                <w:szCs w:val="18"/>
              </w:rPr>
              <w:t>0</w:t>
            </w:r>
          </w:p>
        </w:tc>
        <w:tc>
          <w:tcPr>
            <w:tcW w:w="720" w:type="dxa"/>
            <w:tcBorders>
              <w:top w:val="single" w:sz="4" w:space="0" w:color="auto"/>
              <w:bottom w:val="single" w:sz="12" w:space="0" w:color="auto"/>
            </w:tcBorders>
          </w:tcPr>
          <w:p w14:paraId="6256A206" w14:textId="3583DCC2" w:rsidR="001B1A85" w:rsidRPr="00A831E7" w:rsidRDefault="001B1A85" w:rsidP="00470A5C">
            <w:pPr>
              <w:jc w:val="center"/>
              <w:rPr>
                <w:sz w:val="18"/>
                <w:szCs w:val="18"/>
              </w:rPr>
            </w:pPr>
            <w:r w:rsidRPr="00A831E7">
              <w:rPr>
                <w:sz w:val="18"/>
                <w:szCs w:val="18"/>
              </w:rPr>
              <w:t>0.93</w:t>
            </w:r>
            <w:r w:rsidR="00E34A72" w:rsidRPr="00A831E7">
              <w:rPr>
                <w:sz w:val="18"/>
                <w:szCs w:val="18"/>
              </w:rPr>
              <w:t>3</w:t>
            </w:r>
          </w:p>
        </w:tc>
        <w:tc>
          <w:tcPr>
            <w:tcW w:w="720" w:type="dxa"/>
            <w:tcBorders>
              <w:top w:val="single" w:sz="4" w:space="0" w:color="auto"/>
              <w:bottom w:val="single" w:sz="12" w:space="0" w:color="auto"/>
            </w:tcBorders>
          </w:tcPr>
          <w:p w14:paraId="3092A21D" w14:textId="1EB8C8A8" w:rsidR="001B1A85" w:rsidRPr="00A831E7" w:rsidRDefault="001B1A85" w:rsidP="00470A5C">
            <w:pPr>
              <w:jc w:val="center"/>
              <w:rPr>
                <w:sz w:val="18"/>
                <w:szCs w:val="18"/>
              </w:rPr>
            </w:pPr>
            <w:r w:rsidRPr="00A831E7">
              <w:rPr>
                <w:sz w:val="18"/>
                <w:szCs w:val="18"/>
              </w:rPr>
              <w:t>0.90</w:t>
            </w:r>
            <w:r w:rsidR="00E34A72" w:rsidRPr="00A831E7">
              <w:rPr>
                <w:sz w:val="18"/>
                <w:szCs w:val="18"/>
              </w:rPr>
              <w:t>0</w:t>
            </w:r>
          </w:p>
        </w:tc>
        <w:tc>
          <w:tcPr>
            <w:tcW w:w="720" w:type="dxa"/>
            <w:vMerge/>
            <w:tcBorders>
              <w:bottom w:val="single" w:sz="12" w:space="0" w:color="auto"/>
              <w:right w:val="single" w:sz="12" w:space="0" w:color="000000"/>
            </w:tcBorders>
          </w:tcPr>
          <w:p w14:paraId="0461F586" w14:textId="77777777" w:rsidR="001B1A85" w:rsidRPr="00A831E7" w:rsidRDefault="001B1A85" w:rsidP="00470A5C">
            <w:pPr>
              <w:rPr>
                <w:sz w:val="18"/>
                <w:szCs w:val="18"/>
              </w:rPr>
            </w:pPr>
          </w:p>
        </w:tc>
      </w:tr>
      <w:tr w:rsidR="003A213A" w:rsidRPr="00A831E7" w14:paraId="468B2A7A" w14:textId="77777777" w:rsidTr="003A213A">
        <w:tc>
          <w:tcPr>
            <w:tcW w:w="1170" w:type="dxa"/>
            <w:vMerge w:val="restart"/>
            <w:tcBorders>
              <w:top w:val="single" w:sz="12" w:space="0" w:color="auto"/>
              <w:left w:val="single" w:sz="12" w:space="0" w:color="auto"/>
            </w:tcBorders>
          </w:tcPr>
          <w:p w14:paraId="63AEFB98" w14:textId="77777777" w:rsidR="001B1A85" w:rsidRPr="00730D74" w:rsidRDefault="001B1A85" w:rsidP="00470A5C">
            <w:pPr>
              <w:rPr>
                <w:sz w:val="18"/>
                <w:szCs w:val="18"/>
                <w:lang w:val="en-US"/>
              </w:rPr>
            </w:pPr>
            <w:r w:rsidRPr="00730D74">
              <w:rPr>
                <w:sz w:val="18"/>
                <w:szCs w:val="18"/>
                <w:lang w:val="en-US"/>
              </w:rPr>
              <w:t>hsa-miR*-148a + has-miR-342-3p</w:t>
            </w:r>
          </w:p>
        </w:tc>
        <w:tc>
          <w:tcPr>
            <w:tcW w:w="1620" w:type="dxa"/>
            <w:vMerge w:val="restart"/>
            <w:tcBorders>
              <w:top w:val="single" w:sz="12" w:space="0" w:color="auto"/>
            </w:tcBorders>
          </w:tcPr>
          <w:p w14:paraId="4AF6EBA2" w14:textId="77777777" w:rsidR="001B1A85" w:rsidRPr="00730D74" w:rsidRDefault="001B1A85" w:rsidP="00470A5C">
            <w:pPr>
              <w:jc w:val="center"/>
              <w:rPr>
                <w:sz w:val="18"/>
                <w:szCs w:val="18"/>
                <w:lang w:val="en-US"/>
              </w:rPr>
            </w:pPr>
            <w:r w:rsidRPr="00730D74">
              <w:rPr>
                <w:sz w:val="18"/>
                <w:szCs w:val="18"/>
                <w:lang w:val="en-US"/>
              </w:rPr>
              <w:t>Grouped Circulating microRNAs</w:t>
            </w:r>
          </w:p>
          <w:p w14:paraId="7DBA7187" w14:textId="77777777" w:rsidR="001B1A85" w:rsidRPr="00730D74" w:rsidRDefault="001B1A85" w:rsidP="00470A5C">
            <w:pPr>
              <w:jc w:val="center"/>
              <w:rPr>
                <w:sz w:val="18"/>
                <w:szCs w:val="18"/>
                <w:lang w:val="en-US"/>
              </w:rPr>
            </w:pPr>
          </w:p>
          <w:p w14:paraId="0CBDBF4E" w14:textId="3553A4B7" w:rsidR="001B1A85" w:rsidRDefault="001B1A85" w:rsidP="00470A5C">
            <w:pPr>
              <w:jc w:val="center"/>
              <w:rPr>
                <w:sz w:val="18"/>
                <w:szCs w:val="18"/>
                <w:lang w:val="en-US"/>
              </w:rPr>
            </w:pPr>
            <w:r w:rsidRPr="00730D74">
              <w:rPr>
                <w:sz w:val="18"/>
                <w:szCs w:val="18"/>
                <w:lang w:val="en-US"/>
              </w:rPr>
              <w:t>[10-fold cross-validation</w:t>
            </w:r>
            <w:r w:rsidR="00302ACF">
              <w:rPr>
                <w:sz w:val="18"/>
                <w:szCs w:val="18"/>
                <w:lang w:val="en-US"/>
              </w:rPr>
              <w:t xml:space="preserve"> at training set</w:t>
            </w:r>
            <w:r w:rsidRPr="00730D74">
              <w:rPr>
                <w:sz w:val="18"/>
                <w:szCs w:val="18"/>
                <w:lang w:val="en-US"/>
              </w:rPr>
              <w:t>]</w:t>
            </w:r>
          </w:p>
          <w:p w14:paraId="6A79CE16" w14:textId="77777777" w:rsidR="00302ACF" w:rsidRDefault="00302ACF" w:rsidP="00470A5C">
            <w:pPr>
              <w:jc w:val="center"/>
              <w:rPr>
                <w:sz w:val="18"/>
                <w:szCs w:val="18"/>
              </w:rPr>
            </w:pPr>
          </w:p>
          <w:p w14:paraId="0EFE587F" w14:textId="77777777" w:rsidR="00336BD8" w:rsidRPr="00336BD8" w:rsidRDefault="00336BD8" w:rsidP="00336BD8">
            <w:pPr>
              <w:rPr>
                <w:sz w:val="18"/>
                <w:szCs w:val="18"/>
              </w:rPr>
            </w:pPr>
          </w:p>
          <w:p w14:paraId="74A2336A" w14:textId="0BA6677A" w:rsidR="00302ACF" w:rsidRPr="00387775" w:rsidRDefault="00302ACF" w:rsidP="00470A5C">
            <w:pPr>
              <w:jc w:val="center"/>
              <w:rPr>
                <w:i/>
                <w:iCs/>
                <w:sz w:val="18"/>
                <w:szCs w:val="18"/>
                <w:lang w:val="en-US"/>
              </w:rPr>
            </w:pPr>
            <w:r w:rsidRPr="00387775">
              <w:rPr>
                <w:i/>
                <w:iCs/>
                <w:sz w:val="18"/>
                <w:szCs w:val="18"/>
                <w:lang w:val="en-US"/>
              </w:rPr>
              <w:t>IS=50, NC=50</w:t>
            </w:r>
          </w:p>
        </w:tc>
        <w:tc>
          <w:tcPr>
            <w:tcW w:w="990" w:type="dxa"/>
            <w:vMerge w:val="restart"/>
            <w:tcBorders>
              <w:top w:val="single" w:sz="12" w:space="0" w:color="auto"/>
            </w:tcBorders>
          </w:tcPr>
          <w:p w14:paraId="0D9B4E97" w14:textId="77777777" w:rsidR="001B1A85" w:rsidRPr="00730D74" w:rsidRDefault="001B1A85" w:rsidP="00470A5C">
            <w:pPr>
              <w:jc w:val="center"/>
              <w:rPr>
                <w:sz w:val="18"/>
                <w:szCs w:val="18"/>
                <w:lang w:val="en-US"/>
              </w:rPr>
            </w:pPr>
            <w:r w:rsidRPr="00730D74">
              <w:rPr>
                <w:sz w:val="18"/>
                <w:szCs w:val="18"/>
                <w:lang w:val="en-US"/>
              </w:rPr>
              <w:t>&lt;72h</w:t>
            </w:r>
          </w:p>
          <w:p w14:paraId="2519CCE8" w14:textId="77777777" w:rsidR="00336BD8" w:rsidRDefault="001B1A85" w:rsidP="00470A5C">
            <w:pPr>
              <w:jc w:val="center"/>
              <w:rPr>
                <w:sz w:val="18"/>
                <w:szCs w:val="18"/>
                <w:lang w:val="en-US"/>
              </w:rPr>
            </w:pPr>
            <w:r w:rsidRPr="00730D74">
              <w:rPr>
                <w:sz w:val="18"/>
                <w:szCs w:val="18"/>
                <w:lang w:val="en-US"/>
              </w:rPr>
              <w:t>whole blood</w:t>
            </w:r>
          </w:p>
          <w:p w14:paraId="1A22ABAF" w14:textId="50E610A8" w:rsidR="001B1A85" w:rsidRPr="00730D74" w:rsidRDefault="001B1A85" w:rsidP="00470A5C">
            <w:pPr>
              <w:jc w:val="center"/>
              <w:rPr>
                <w:sz w:val="18"/>
                <w:szCs w:val="18"/>
                <w:lang w:val="en-US"/>
              </w:rPr>
            </w:pPr>
            <w:r w:rsidRPr="00730D74">
              <w:rPr>
                <w:sz w:val="18"/>
                <w:szCs w:val="18"/>
                <w:lang w:val="en-US"/>
              </w:rPr>
              <w:br/>
              <w:t>TRI-zol regeant/</w:t>
            </w:r>
            <w:r w:rsidRPr="00730D74">
              <w:rPr>
                <w:sz w:val="18"/>
                <w:szCs w:val="18"/>
                <w:lang w:val="en-US"/>
              </w:rPr>
              <w:br/>
              <w:t>Mir-x/</w:t>
            </w:r>
            <w:r w:rsidRPr="00730D74">
              <w:rPr>
                <w:sz w:val="18"/>
                <w:szCs w:val="18"/>
                <w:lang w:val="en-US"/>
              </w:rPr>
              <w:br/>
              <w:t>QRT-PCR</w:t>
            </w:r>
          </w:p>
        </w:tc>
        <w:tc>
          <w:tcPr>
            <w:tcW w:w="900" w:type="dxa"/>
            <w:tcBorders>
              <w:top w:val="single" w:sz="12" w:space="0" w:color="auto"/>
            </w:tcBorders>
          </w:tcPr>
          <w:p w14:paraId="3F210E39" w14:textId="77777777" w:rsidR="001B1A85" w:rsidRPr="00A831E7" w:rsidRDefault="001B1A85" w:rsidP="00470A5C">
            <w:pPr>
              <w:rPr>
                <w:sz w:val="18"/>
                <w:szCs w:val="18"/>
              </w:rPr>
            </w:pPr>
            <w:r w:rsidRPr="00A831E7">
              <w:rPr>
                <w:sz w:val="18"/>
                <w:szCs w:val="18"/>
              </w:rPr>
              <w:t>ANN</w:t>
            </w:r>
          </w:p>
        </w:tc>
        <w:tc>
          <w:tcPr>
            <w:tcW w:w="900" w:type="dxa"/>
            <w:tcBorders>
              <w:top w:val="single" w:sz="12" w:space="0" w:color="auto"/>
            </w:tcBorders>
          </w:tcPr>
          <w:p w14:paraId="722B7CA4" w14:textId="77777777" w:rsidR="001B1A85" w:rsidRPr="00A831E7" w:rsidRDefault="001B1A85" w:rsidP="00470A5C">
            <w:pPr>
              <w:jc w:val="center"/>
              <w:rPr>
                <w:sz w:val="18"/>
                <w:szCs w:val="18"/>
              </w:rPr>
            </w:pPr>
            <w:r w:rsidRPr="00A831E7">
              <w:rPr>
                <w:sz w:val="18"/>
                <w:szCs w:val="18"/>
              </w:rPr>
              <w:t>IS-NC</w:t>
            </w:r>
          </w:p>
        </w:tc>
        <w:tc>
          <w:tcPr>
            <w:tcW w:w="630" w:type="dxa"/>
            <w:tcBorders>
              <w:top w:val="single" w:sz="12" w:space="0" w:color="auto"/>
            </w:tcBorders>
          </w:tcPr>
          <w:p w14:paraId="09599AEA" w14:textId="43B314EB" w:rsidR="001B1A85" w:rsidRPr="00A831E7" w:rsidRDefault="001B1A85" w:rsidP="00470A5C">
            <w:pPr>
              <w:jc w:val="center"/>
              <w:rPr>
                <w:sz w:val="18"/>
                <w:szCs w:val="18"/>
              </w:rPr>
            </w:pPr>
            <w:r w:rsidRPr="00A831E7">
              <w:rPr>
                <w:sz w:val="18"/>
                <w:szCs w:val="18"/>
              </w:rPr>
              <w:t>0.87</w:t>
            </w:r>
            <w:r w:rsidR="00190D24" w:rsidRPr="00A831E7">
              <w:rPr>
                <w:sz w:val="18"/>
                <w:szCs w:val="18"/>
              </w:rPr>
              <w:t>1</w:t>
            </w:r>
          </w:p>
        </w:tc>
        <w:tc>
          <w:tcPr>
            <w:tcW w:w="720" w:type="dxa"/>
            <w:tcBorders>
              <w:top w:val="single" w:sz="12" w:space="0" w:color="auto"/>
            </w:tcBorders>
          </w:tcPr>
          <w:p w14:paraId="4D98B5E2" w14:textId="332EF535" w:rsidR="001B1A85" w:rsidRPr="00A831E7" w:rsidRDefault="001B1A85" w:rsidP="00470A5C">
            <w:pPr>
              <w:jc w:val="center"/>
              <w:rPr>
                <w:sz w:val="18"/>
                <w:szCs w:val="18"/>
              </w:rPr>
            </w:pPr>
            <w:r w:rsidRPr="00A831E7">
              <w:rPr>
                <w:sz w:val="18"/>
                <w:szCs w:val="18"/>
              </w:rPr>
              <w:t>0.7</w:t>
            </w:r>
            <w:r w:rsidR="00190D24" w:rsidRPr="00A831E7">
              <w:rPr>
                <w:sz w:val="18"/>
                <w:szCs w:val="18"/>
              </w:rPr>
              <w:t>86</w:t>
            </w:r>
          </w:p>
        </w:tc>
        <w:tc>
          <w:tcPr>
            <w:tcW w:w="720" w:type="dxa"/>
            <w:tcBorders>
              <w:top w:val="single" w:sz="12" w:space="0" w:color="auto"/>
            </w:tcBorders>
          </w:tcPr>
          <w:p w14:paraId="768685C0" w14:textId="76FE5D5A" w:rsidR="001B1A85" w:rsidRPr="00A831E7" w:rsidRDefault="001B1A85" w:rsidP="00470A5C">
            <w:pPr>
              <w:jc w:val="center"/>
              <w:rPr>
                <w:sz w:val="18"/>
                <w:szCs w:val="18"/>
              </w:rPr>
            </w:pPr>
            <w:r w:rsidRPr="00A831E7">
              <w:rPr>
                <w:sz w:val="18"/>
                <w:szCs w:val="18"/>
              </w:rPr>
              <w:t>0.75</w:t>
            </w:r>
            <w:r w:rsidR="00190D24" w:rsidRPr="00A831E7">
              <w:rPr>
                <w:sz w:val="18"/>
                <w:szCs w:val="18"/>
              </w:rPr>
              <w:t>0</w:t>
            </w:r>
          </w:p>
        </w:tc>
        <w:tc>
          <w:tcPr>
            <w:tcW w:w="720" w:type="dxa"/>
            <w:vMerge w:val="restart"/>
            <w:tcBorders>
              <w:top w:val="single" w:sz="12" w:space="0" w:color="auto"/>
              <w:right w:val="single" w:sz="12" w:space="0" w:color="000000"/>
            </w:tcBorders>
          </w:tcPr>
          <w:p w14:paraId="21C6111C" w14:textId="262B09B2" w:rsidR="001B1A85" w:rsidRPr="00A831E7" w:rsidRDefault="00A9201D" w:rsidP="00470A5C">
            <w:pPr>
              <w:rPr>
                <w:sz w:val="18"/>
                <w:szCs w:val="18"/>
              </w:rPr>
            </w:pPr>
            <w:r w:rsidRPr="00A831E7">
              <w:rPr>
                <w:sz w:val="18"/>
                <w:szCs w:val="18"/>
              </w:rPr>
              <w:fldChar w:fldCharType="begin"/>
            </w:r>
            <w:r w:rsidRPr="00A831E7">
              <w:rPr>
                <w:sz w:val="18"/>
                <w:szCs w:val="18"/>
              </w:rPr>
              <w:instrText xml:space="preserve"> ADDIN ZOTERO_ITEM CSL_CITATION {"citationID":"DsTIUuNQ","properties":{"formattedCitation":"[21]","plainCitation":"[21]","noteIndex":0},"citationItems":[{"id":294,"uris":["http://zotero.org/users/local/mfHf28QG/items/YA2XYRNF"],"itemData":{"id":294,"type":"article-journal","abstract":"OBJECTIVES: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schema":"https://github.com/citation-style-language/schema/raw/master/csl-citation.json"} </w:instrText>
            </w:r>
            <w:r w:rsidRPr="00A831E7">
              <w:rPr>
                <w:sz w:val="18"/>
                <w:szCs w:val="18"/>
              </w:rPr>
              <w:fldChar w:fldCharType="separate"/>
            </w:r>
            <w:r w:rsidRPr="00A831E7">
              <w:rPr>
                <w:sz w:val="18"/>
              </w:rPr>
              <w:t>[21]</w:t>
            </w:r>
            <w:r w:rsidRPr="00A831E7">
              <w:rPr>
                <w:sz w:val="18"/>
                <w:szCs w:val="18"/>
              </w:rPr>
              <w:fldChar w:fldCharType="end"/>
            </w:r>
          </w:p>
        </w:tc>
      </w:tr>
      <w:tr w:rsidR="003A213A" w:rsidRPr="00A831E7" w14:paraId="3CBA12E0" w14:textId="77777777" w:rsidTr="003A213A">
        <w:tc>
          <w:tcPr>
            <w:tcW w:w="1170" w:type="dxa"/>
            <w:vMerge/>
            <w:tcBorders>
              <w:left w:val="single" w:sz="12" w:space="0" w:color="auto"/>
            </w:tcBorders>
          </w:tcPr>
          <w:p w14:paraId="63E952D9" w14:textId="77777777" w:rsidR="001B1A85" w:rsidRPr="00A831E7" w:rsidRDefault="001B1A85" w:rsidP="00470A5C">
            <w:pPr>
              <w:rPr>
                <w:sz w:val="18"/>
                <w:szCs w:val="18"/>
              </w:rPr>
            </w:pPr>
          </w:p>
        </w:tc>
        <w:tc>
          <w:tcPr>
            <w:tcW w:w="1620" w:type="dxa"/>
            <w:vMerge/>
          </w:tcPr>
          <w:p w14:paraId="091C4872" w14:textId="77777777" w:rsidR="001B1A85" w:rsidRPr="00A831E7" w:rsidRDefault="001B1A85" w:rsidP="00470A5C">
            <w:pPr>
              <w:jc w:val="center"/>
              <w:rPr>
                <w:sz w:val="18"/>
                <w:szCs w:val="18"/>
              </w:rPr>
            </w:pPr>
          </w:p>
        </w:tc>
        <w:tc>
          <w:tcPr>
            <w:tcW w:w="990" w:type="dxa"/>
            <w:vMerge/>
          </w:tcPr>
          <w:p w14:paraId="1D13E953" w14:textId="77777777" w:rsidR="001B1A85" w:rsidRPr="00A831E7" w:rsidRDefault="001B1A85" w:rsidP="00470A5C">
            <w:pPr>
              <w:jc w:val="center"/>
              <w:rPr>
                <w:sz w:val="18"/>
                <w:szCs w:val="18"/>
              </w:rPr>
            </w:pPr>
          </w:p>
        </w:tc>
        <w:tc>
          <w:tcPr>
            <w:tcW w:w="900" w:type="dxa"/>
          </w:tcPr>
          <w:p w14:paraId="1FEAD990" w14:textId="77777777" w:rsidR="001B1A85" w:rsidRPr="00A831E7" w:rsidRDefault="001B1A85" w:rsidP="00470A5C">
            <w:pPr>
              <w:rPr>
                <w:sz w:val="18"/>
                <w:szCs w:val="18"/>
              </w:rPr>
            </w:pPr>
            <w:r w:rsidRPr="00A831E7">
              <w:rPr>
                <w:sz w:val="18"/>
                <w:szCs w:val="18"/>
              </w:rPr>
              <w:t>RF</w:t>
            </w:r>
          </w:p>
        </w:tc>
        <w:tc>
          <w:tcPr>
            <w:tcW w:w="900" w:type="dxa"/>
          </w:tcPr>
          <w:p w14:paraId="0FA93CF0" w14:textId="77777777" w:rsidR="001B1A85" w:rsidRPr="00A831E7" w:rsidRDefault="001B1A85" w:rsidP="00470A5C">
            <w:pPr>
              <w:jc w:val="center"/>
              <w:rPr>
                <w:sz w:val="18"/>
                <w:szCs w:val="18"/>
              </w:rPr>
            </w:pPr>
            <w:r w:rsidRPr="00A831E7">
              <w:rPr>
                <w:sz w:val="18"/>
                <w:szCs w:val="18"/>
              </w:rPr>
              <w:t>»</w:t>
            </w:r>
          </w:p>
        </w:tc>
        <w:tc>
          <w:tcPr>
            <w:tcW w:w="630" w:type="dxa"/>
          </w:tcPr>
          <w:p w14:paraId="6A936B92" w14:textId="7784D7DC" w:rsidR="001B1A85" w:rsidRPr="00A831E7" w:rsidRDefault="001B1A85" w:rsidP="00470A5C">
            <w:pPr>
              <w:jc w:val="center"/>
              <w:rPr>
                <w:sz w:val="18"/>
                <w:szCs w:val="18"/>
              </w:rPr>
            </w:pPr>
            <w:r w:rsidRPr="00A831E7">
              <w:rPr>
                <w:sz w:val="18"/>
                <w:szCs w:val="18"/>
              </w:rPr>
              <w:t>0.7</w:t>
            </w:r>
            <w:r w:rsidR="00190D24" w:rsidRPr="00A831E7">
              <w:rPr>
                <w:sz w:val="18"/>
                <w:szCs w:val="18"/>
              </w:rPr>
              <w:t>68</w:t>
            </w:r>
          </w:p>
        </w:tc>
        <w:tc>
          <w:tcPr>
            <w:tcW w:w="720" w:type="dxa"/>
          </w:tcPr>
          <w:p w14:paraId="3492BC92" w14:textId="3E5A044A" w:rsidR="001B1A85" w:rsidRPr="00A831E7" w:rsidRDefault="001B1A85" w:rsidP="00470A5C">
            <w:pPr>
              <w:jc w:val="center"/>
              <w:rPr>
                <w:sz w:val="18"/>
                <w:szCs w:val="18"/>
              </w:rPr>
            </w:pPr>
            <w:r w:rsidRPr="00A831E7">
              <w:rPr>
                <w:sz w:val="18"/>
                <w:szCs w:val="18"/>
              </w:rPr>
              <w:t>0.82</w:t>
            </w:r>
            <w:r w:rsidR="00190D24" w:rsidRPr="00A831E7">
              <w:rPr>
                <w:sz w:val="18"/>
                <w:szCs w:val="18"/>
              </w:rPr>
              <w:t>3</w:t>
            </w:r>
          </w:p>
        </w:tc>
        <w:tc>
          <w:tcPr>
            <w:tcW w:w="720" w:type="dxa"/>
          </w:tcPr>
          <w:p w14:paraId="7C590287" w14:textId="1E635DFB" w:rsidR="001B1A85" w:rsidRPr="00A831E7" w:rsidRDefault="001B1A85" w:rsidP="00470A5C">
            <w:pPr>
              <w:jc w:val="center"/>
              <w:rPr>
                <w:sz w:val="18"/>
                <w:szCs w:val="18"/>
              </w:rPr>
            </w:pPr>
            <w:r w:rsidRPr="00A831E7">
              <w:rPr>
                <w:sz w:val="18"/>
                <w:szCs w:val="18"/>
              </w:rPr>
              <w:t>0.70</w:t>
            </w:r>
            <w:r w:rsidR="00190D24" w:rsidRPr="00A831E7">
              <w:rPr>
                <w:sz w:val="18"/>
                <w:szCs w:val="18"/>
              </w:rPr>
              <w:t>6</w:t>
            </w:r>
          </w:p>
        </w:tc>
        <w:tc>
          <w:tcPr>
            <w:tcW w:w="720" w:type="dxa"/>
            <w:vMerge/>
            <w:tcBorders>
              <w:right w:val="single" w:sz="12" w:space="0" w:color="000000"/>
            </w:tcBorders>
          </w:tcPr>
          <w:p w14:paraId="7DC2FEE8" w14:textId="77777777" w:rsidR="001B1A85" w:rsidRPr="00A831E7" w:rsidRDefault="001B1A85" w:rsidP="00470A5C">
            <w:pPr>
              <w:rPr>
                <w:sz w:val="18"/>
                <w:szCs w:val="18"/>
              </w:rPr>
            </w:pPr>
          </w:p>
        </w:tc>
      </w:tr>
      <w:tr w:rsidR="003A213A" w:rsidRPr="00A831E7" w14:paraId="04D808DD" w14:textId="77777777" w:rsidTr="003A213A">
        <w:trPr>
          <w:trHeight w:val="63"/>
        </w:trPr>
        <w:tc>
          <w:tcPr>
            <w:tcW w:w="1170" w:type="dxa"/>
            <w:vMerge/>
            <w:tcBorders>
              <w:left w:val="single" w:sz="12" w:space="0" w:color="auto"/>
            </w:tcBorders>
          </w:tcPr>
          <w:p w14:paraId="4972FA4F" w14:textId="77777777" w:rsidR="001B1A85" w:rsidRPr="00A831E7" w:rsidRDefault="001B1A85" w:rsidP="00470A5C">
            <w:pPr>
              <w:rPr>
                <w:sz w:val="18"/>
                <w:szCs w:val="18"/>
              </w:rPr>
            </w:pPr>
          </w:p>
        </w:tc>
        <w:tc>
          <w:tcPr>
            <w:tcW w:w="1620" w:type="dxa"/>
            <w:vMerge/>
          </w:tcPr>
          <w:p w14:paraId="5AF987DB" w14:textId="77777777" w:rsidR="001B1A85" w:rsidRPr="00A831E7" w:rsidRDefault="001B1A85" w:rsidP="00470A5C">
            <w:pPr>
              <w:jc w:val="center"/>
              <w:rPr>
                <w:sz w:val="18"/>
                <w:szCs w:val="18"/>
              </w:rPr>
            </w:pPr>
          </w:p>
        </w:tc>
        <w:tc>
          <w:tcPr>
            <w:tcW w:w="990" w:type="dxa"/>
            <w:vMerge/>
          </w:tcPr>
          <w:p w14:paraId="31DDD0A0" w14:textId="77777777" w:rsidR="001B1A85" w:rsidRPr="00A831E7" w:rsidRDefault="001B1A85" w:rsidP="00470A5C">
            <w:pPr>
              <w:jc w:val="center"/>
              <w:rPr>
                <w:sz w:val="18"/>
                <w:szCs w:val="18"/>
              </w:rPr>
            </w:pPr>
          </w:p>
        </w:tc>
        <w:tc>
          <w:tcPr>
            <w:tcW w:w="900" w:type="dxa"/>
            <w:tcBorders>
              <w:bottom w:val="single" w:sz="4" w:space="0" w:color="auto"/>
            </w:tcBorders>
          </w:tcPr>
          <w:p w14:paraId="25994B77" w14:textId="77777777" w:rsidR="001B1A85" w:rsidRPr="00A831E7" w:rsidRDefault="001B1A85" w:rsidP="00470A5C">
            <w:pPr>
              <w:rPr>
                <w:sz w:val="18"/>
                <w:szCs w:val="18"/>
              </w:rPr>
            </w:pPr>
            <w:r w:rsidRPr="00A831E7">
              <w:rPr>
                <w:sz w:val="18"/>
                <w:szCs w:val="18"/>
              </w:rPr>
              <w:t>XGBoost</w:t>
            </w:r>
          </w:p>
        </w:tc>
        <w:tc>
          <w:tcPr>
            <w:tcW w:w="900" w:type="dxa"/>
            <w:tcBorders>
              <w:bottom w:val="single" w:sz="4" w:space="0" w:color="auto"/>
            </w:tcBorders>
          </w:tcPr>
          <w:p w14:paraId="04F0D6B2" w14:textId="77777777" w:rsidR="001B1A85" w:rsidRPr="00A831E7" w:rsidRDefault="001B1A85" w:rsidP="00470A5C">
            <w:pPr>
              <w:jc w:val="center"/>
              <w:rPr>
                <w:sz w:val="18"/>
                <w:szCs w:val="18"/>
              </w:rPr>
            </w:pPr>
            <w:r w:rsidRPr="00A831E7">
              <w:rPr>
                <w:sz w:val="18"/>
                <w:szCs w:val="18"/>
              </w:rPr>
              <w:t>»</w:t>
            </w:r>
          </w:p>
        </w:tc>
        <w:tc>
          <w:tcPr>
            <w:tcW w:w="630" w:type="dxa"/>
            <w:tcBorders>
              <w:bottom w:val="single" w:sz="4" w:space="0" w:color="auto"/>
            </w:tcBorders>
          </w:tcPr>
          <w:p w14:paraId="26692290" w14:textId="2D644DE8" w:rsidR="001B1A85" w:rsidRPr="00A831E7" w:rsidRDefault="001B1A85" w:rsidP="00470A5C">
            <w:pPr>
              <w:jc w:val="center"/>
              <w:rPr>
                <w:sz w:val="18"/>
                <w:szCs w:val="18"/>
              </w:rPr>
            </w:pPr>
            <w:r w:rsidRPr="00A831E7">
              <w:rPr>
                <w:sz w:val="18"/>
                <w:szCs w:val="18"/>
              </w:rPr>
              <w:t>0.86</w:t>
            </w:r>
            <w:r w:rsidR="00190D24" w:rsidRPr="00A831E7">
              <w:rPr>
                <w:sz w:val="18"/>
                <w:szCs w:val="18"/>
              </w:rPr>
              <w:t>5</w:t>
            </w:r>
          </w:p>
        </w:tc>
        <w:tc>
          <w:tcPr>
            <w:tcW w:w="720" w:type="dxa"/>
            <w:tcBorders>
              <w:bottom w:val="single" w:sz="4" w:space="0" w:color="auto"/>
            </w:tcBorders>
          </w:tcPr>
          <w:p w14:paraId="2A5FB51F" w14:textId="7C0D7F24" w:rsidR="001B1A85" w:rsidRPr="00A831E7" w:rsidRDefault="001B1A85" w:rsidP="00470A5C">
            <w:pPr>
              <w:jc w:val="center"/>
              <w:rPr>
                <w:sz w:val="18"/>
                <w:szCs w:val="18"/>
              </w:rPr>
            </w:pPr>
            <w:r w:rsidRPr="00A831E7">
              <w:rPr>
                <w:sz w:val="18"/>
                <w:szCs w:val="18"/>
              </w:rPr>
              <w:t>0.70</w:t>
            </w:r>
            <w:r w:rsidR="00190D24" w:rsidRPr="00A831E7">
              <w:rPr>
                <w:sz w:val="18"/>
                <w:szCs w:val="18"/>
              </w:rPr>
              <w:t>6</w:t>
            </w:r>
          </w:p>
        </w:tc>
        <w:tc>
          <w:tcPr>
            <w:tcW w:w="720" w:type="dxa"/>
            <w:tcBorders>
              <w:bottom w:val="single" w:sz="4" w:space="0" w:color="auto"/>
            </w:tcBorders>
          </w:tcPr>
          <w:p w14:paraId="34B432B1" w14:textId="2CD37B52" w:rsidR="001B1A85" w:rsidRPr="00A831E7" w:rsidRDefault="001B1A85" w:rsidP="00470A5C">
            <w:pPr>
              <w:jc w:val="center"/>
              <w:rPr>
                <w:sz w:val="18"/>
                <w:szCs w:val="18"/>
              </w:rPr>
            </w:pPr>
            <w:r w:rsidRPr="00A831E7">
              <w:rPr>
                <w:sz w:val="18"/>
                <w:szCs w:val="18"/>
              </w:rPr>
              <w:t>0.88</w:t>
            </w:r>
            <w:r w:rsidR="00190D24" w:rsidRPr="00A831E7">
              <w:rPr>
                <w:sz w:val="18"/>
                <w:szCs w:val="18"/>
              </w:rPr>
              <w:t>2</w:t>
            </w:r>
          </w:p>
        </w:tc>
        <w:tc>
          <w:tcPr>
            <w:tcW w:w="720" w:type="dxa"/>
            <w:vMerge/>
            <w:tcBorders>
              <w:right w:val="single" w:sz="12" w:space="0" w:color="000000"/>
            </w:tcBorders>
          </w:tcPr>
          <w:p w14:paraId="00096E45" w14:textId="77777777" w:rsidR="001B1A85" w:rsidRPr="00A831E7" w:rsidRDefault="001B1A85" w:rsidP="00470A5C">
            <w:pPr>
              <w:rPr>
                <w:sz w:val="18"/>
                <w:szCs w:val="18"/>
              </w:rPr>
            </w:pPr>
          </w:p>
        </w:tc>
      </w:tr>
      <w:tr w:rsidR="003A213A" w:rsidRPr="00A831E7" w14:paraId="00F966E1" w14:textId="77777777" w:rsidTr="00DC473F">
        <w:trPr>
          <w:trHeight w:val="308"/>
        </w:trPr>
        <w:tc>
          <w:tcPr>
            <w:tcW w:w="1170" w:type="dxa"/>
            <w:vMerge/>
            <w:tcBorders>
              <w:left w:val="single" w:sz="12" w:space="0" w:color="auto"/>
              <w:bottom w:val="single" w:sz="8" w:space="0" w:color="auto"/>
            </w:tcBorders>
          </w:tcPr>
          <w:p w14:paraId="6ED8B7D0" w14:textId="77777777" w:rsidR="001B1A85" w:rsidRPr="00A831E7" w:rsidRDefault="001B1A85" w:rsidP="00470A5C">
            <w:pPr>
              <w:rPr>
                <w:sz w:val="18"/>
                <w:szCs w:val="18"/>
              </w:rPr>
            </w:pPr>
          </w:p>
        </w:tc>
        <w:tc>
          <w:tcPr>
            <w:tcW w:w="1620" w:type="dxa"/>
            <w:vMerge/>
          </w:tcPr>
          <w:p w14:paraId="0B109089" w14:textId="77777777" w:rsidR="001B1A85" w:rsidRPr="00A831E7" w:rsidRDefault="001B1A85" w:rsidP="00470A5C">
            <w:pPr>
              <w:jc w:val="center"/>
              <w:rPr>
                <w:sz w:val="18"/>
                <w:szCs w:val="18"/>
              </w:rPr>
            </w:pPr>
          </w:p>
        </w:tc>
        <w:tc>
          <w:tcPr>
            <w:tcW w:w="990" w:type="dxa"/>
            <w:vMerge/>
          </w:tcPr>
          <w:p w14:paraId="15857D50" w14:textId="77777777" w:rsidR="001B1A85" w:rsidRPr="00A831E7" w:rsidRDefault="001B1A85" w:rsidP="00470A5C">
            <w:pPr>
              <w:jc w:val="center"/>
              <w:rPr>
                <w:sz w:val="18"/>
                <w:szCs w:val="18"/>
              </w:rPr>
            </w:pPr>
          </w:p>
        </w:tc>
        <w:tc>
          <w:tcPr>
            <w:tcW w:w="900" w:type="dxa"/>
            <w:tcBorders>
              <w:bottom w:val="single" w:sz="8" w:space="0" w:color="auto"/>
            </w:tcBorders>
          </w:tcPr>
          <w:p w14:paraId="3D25199D" w14:textId="77777777" w:rsidR="001B1A85" w:rsidRPr="00A831E7" w:rsidRDefault="001B1A85" w:rsidP="00470A5C">
            <w:pPr>
              <w:rPr>
                <w:sz w:val="18"/>
                <w:szCs w:val="18"/>
              </w:rPr>
            </w:pPr>
            <w:r w:rsidRPr="00A831E7">
              <w:rPr>
                <w:sz w:val="18"/>
                <w:szCs w:val="18"/>
              </w:rPr>
              <w:t>SVM</w:t>
            </w:r>
          </w:p>
        </w:tc>
        <w:tc>
          <w:tcPr>
            <w:tcW w:w="900" w:type="dxa"/>
            <w:tcBorders>
              <w:bottom w:val="single" w:sz="8" w:space="0" w:color="auto"/>
            </w:tcBorders>
          </w:tcPr>
          <w:p w14:paraId="535474AD" w14:textId="77777777" w:rsidR="001B1A85" w:rsidRPr="00A831E7" w:rsidRDefault="001B1A85" w:rsidP="00470A5C">
            <w:pPr>
              <w:jc w:val="center"/>
              <w:rPr>
                <w:sz w:val="18"/>
                <w:szCs w:val="18"/>
              </w:rPr>
            </w:pPr>
            <w:r w:rsidRPr="00A831E7">
              <w:rPr>
                <w:sz w:val="18"/>
                <w:szCs w:val="18"/>
              </w:rPr>
              <w:t>»</w:t>
            </w:r>
          </w:p>
        </w:tc>
        <w:tc>
          <w:tcPr>
            <w:tcW w:w="630" w:type="dxa"/>
            <w:tcBorders>
              <w:bottom w:val="single" w:sz="8" w:space="0" w:color="auto"/>
            </w:tcBorders>
          </w:tcPr>
          <w:p w14:paraId="6A0CE61D" w14:textId="389E1D0E" w:rsidR="001B1A85" w:rsidRPr="00A831E7" w:rsidRDefault="001B1A85" w:rsidP="00470A5C">
            <w:pPr>
              <w:jc w:val="center"/>
              <w:rPr>
                <w:sz w:val="18"/>
                <w:szCs w:val="18"/>
              </w:rPr>
            </w:pPr>
            <w:r w:rsidRPr="00A831E7">
              <w:rPr>
                <w:sz w:val="18"/>
                <w:szCs w:val="18"/>
              </w:rPr>
              <w:t>0.91</w:t>
            </w:r>
            <w:r w:rsidR="00190D24" w:rsidRPr="00A831E7">
              <w:rPr>
                <w:sz w:val="18"/>
                <w:szCs w:val="18"/>
              </w:rPr>
              <w:t>0</w:t>
            </w:r>
          </w:p>
        </w:tc>
        <w:tc>
          <w:tcPr>
            <w:tcW w:w="720" w:type="dxa"/>
            <w:tcBorders>
              <w:bottom w:val="single" w:sz="8" w:space="0" w:color="auto"/>
            </w:tcBorders>
          </w:tcPr>
          <w:p w14:paraId="0BE4DB80" w14:textId="12DE1433" w:rsidR="001B1A85" w:rsidRPr="00A831E7" w:rsidRDefault="001B1A85" w:rsidP="00470A5C">
            <w:pPr>
              <w:jc w:val="center"/>
              <w:rPr>
                <w:sz w:val="18"/>
                <w:szCs w:val="18"/>
              </w:rPr>
            </w:pPr>
            <w:r w:rsidRPr="00A831E7">
              <w:rPr>
                <w:sz w:val="18"/>
                <w:szCs w:val="18"/>
              </w:rPr>
              <w:t>0.7</w:t>
            </w:r>
            <w:r w:rsidR="00190D24" w:rsidRPr="00A831E7">
              <w:rPr>
                <w:sz w:val="18"/>
                <w:szCs w:val="18"/>
              </w:rPr>
              <w:t>89</w:t>
            </w:r>
          </w:p>
        </w:tc>
        <w:tc>
          <w:tcPr>
            <w:tcW w:w="720" w:type="dxa"/>
            <w:tcBorders>
              <w:bottom w:val="single" w:sz="8" w:space="0" w:color="auto"/>
            </w:tcBorders>
          </w:tcPr>
          <w:p w14:paraId="65C585BB" w14:textId="3386B1C0" w:rsidR="001B1A85" w:rsidRPr="00A831E7" w:rsidRDefault="001B1A85" w:rsidP="00470A5C">
            <w:pPr>
              <w:jc w:val="center"/>
              <w:rPr>
                <w:sz w:val="18"/>
                <w:szCs w:val="18"/>
              </w:rPr>
            </w:pPr>
            <w:r w:rsidRPr="00A831E7">
              <w:rPr>
                <w:sz w:val="18"/>
                <w:szCs w:val="18"/>
              </w:rPr>
              <w:t>0.8</w:t>
            </w:r>
            <w:r w:rsidR="00190D24" w:rsidRPr="00A831E7">
              <w:rPr>
                <w:sz w:val="18"/>
                <w:szCs w:val="18"/>
              </w:rPr>
              <w:t>67</w:t>
            </w:r>
          </w:p>
        </w:tc>
        <w:tc>
          <w:tcPr>
            <w:tcW w:w="720" w:type="dxa"/>
            <w:vMerge/>
            <w:tcBorders>
              <w:right w:val="single" w:sz="12" w:space="0" w:color="000000"/>
            </w:tcBorders>
          </w:tcPr>
          <w:p w14:paraId="65A834AB" w14:textId="77777777" w:rsidR="001B1A85" w:rsidRPr="00A831E7" w:rsidRDefault="001B1A85" w:rsidP="00470A5C">
            <w:pPr>
              <w:rPr>
                <w:sz w:val="18"/>
                <w:szCs w:val="18"/>
              </w:rPr>
            </w:pPr>
          </w:p>
        </w:tc>
      </w:tr>
      <w:tr w:rsidR="003A213A" w:rsidRPr="00A831E7" w14:paraId="69BE2683" w14:textId="77777777" w:rsidTr="003A213A">
        <w:trPr>
          <w:trHeight w:val="63"/>
        </w:trPr>
        <w:tc>
          <w:tcPr>
            <w:tcW w:w="1170" w:type="dxa"/>
            <w:vMerge w:val="restart"/>
            <w:tcBorders>
              <w:top w:val="single" w:sz="8" w:space="0" w:color="auto"/>
              <w:left w:val="single" w:sz="12" w:space="0" w:color="auto"/>
            </w:tcBorders>
          </w:tcPr>
          <w:p w14:paraId="7AEC88A5" w14:textId="77777777" w:rsidR="001B1A85" w:rsidRPr="00730D74" w:rsidRDefault="001B1A85" w:rsidP="00470A5C">
            <w:pPr>
              <w:rPr>
                <w:sz w:val="18"/>
                <w:szCs w:val="18"/>
                <w:lang w:val="en-US"/>
              </w:rPr>
            </w:pPr>
            <w:r w:rsidRPr="00730D74">
              <w:rPr>
                <w:sz w:val="18"/>
                <w:szCs w:val="18"/>
                <w:lang w:val="en-US"/>
              </w:rPr>
              <w:t>hsa-miR-148a + has-miR-342-3p + has-miR-19a</w:t>
            </w:r>
          </w:p>
        </w:tc>
        <w:tc>
          <w:tcPr>
            <w:tcW w:w="1620" w:type="dxa"/>
            <w:vMerge/>
          </w:tcPr>
          <w:p w14:paraId="5F432A03" w14:textId="77777777" w:rsidR="001B1A85" w:rsidRPr="00730D74" w:rsidRDefault="001B1A85" w:rsidP="00470A5C">
            <w:pPr>
              <w:jc w:val="center"/>
              <w:rPr>
                <w:sz w:val="18"/>
                <w:szCs w:val="18"/>
                <w:lang w:val="en-US"/>
              </w:rPr>
            </w:pPr>
          </w:p>
        </w:tc>
        <w:tc>
          <w:tcPr>
            <w:tcW w:w="990" w:type="dxa"/>
            <w:vMerge/>
          </w:tcPr>
          <w:p w14:paraId="2EAF9513" w14:textId="77777777" w:rsidR="001B1A85" w:rsidRPr="00730D74" w:rsidRDefault="001B1A85" w:rsidP="00470A5C">
            <w:pPr>
              <w:jc w:val="center"/>
              <w:rPr>
                <w:sz w:val="18"/>
                <w:szCs w:val="18"/>
                <w:lang w:val="en-US"/>
              </w:rPr>
            </w:pPr>
          </w:p>
        </w:tc>
        <w:tc>
          <w:tcPr>
            <w:tcW w:w="900" w:type="dxa"/>
            <w:tcBorders>
              <w:top w:val="single" w:sz="8" w:space="0" w:color="auto"/>
            </w:tcBorders>
          </w:tcPr>
          <w:p w14:paraId="20F6C788" w14:textId="77777777" w:rsidR="001B1A85" w:rsidRPr="00A831E7" w:rsidRDefault="001B1A85" w:rsidP="00470A5C">
            <w:pPr>
              <w:rPr>
                <w:sz w:val="18"/>
                <w:szCs w:val="18"/>
              </w:rPr>
            </w:pPr>
            <w:r w:rsidRPr="00A831E7">
              <w:rPr>
                <w:sz w:val="18"/>
                <w:szCs w:val="18"/>
              </w:rPr>
              <w:t>ANN</w:t>
            </w:r>
          </w:p>
        </w:tc>
        <w:tc>
          <w:tcPr>
            <w:tcW w:w="900" w:type="dxa"/>
            <w:tcBorders>
              <w:top w:val="single" w:sz="8" w:space="0" w:color="auto"/>
            </w:tcBorders>
          </w:tcPr>
          <w:p w14:paraId="365166C7" w14:textId="77777777" w:rsidR="001B1A85" w:rsidRPr="00A831E7" w:rsidRDefault="001B1A85" w:rsidP="00470A5C">
            <w:pPr>
              <w:jc w:val="center"/>
              <w:rPr>
                <w:sz w:val="18"/>
                <w:szCs w:val="18"/>
              </w:rPr>
            </w:pPr>
            <w:r w:rsidRPr="00A831E7">
              <w:rPr>
                <w:sz w:val="18"/>
                <w:szCs w:val="18"/>
              </w:rPr>
              <w:t>»</w:t>
            </w:r>
          </w:p>
        </w:tc>
        <w:tc>
          <w:tcPr>
            <w:tcW w:w="630" w:type="dxa"/>
            <w:tcBorders>
              <w:top w:val="single" w:sz="8" w:space="0" w:color="auto"/>
            </w:tcBorders>
          </w:tcPr>
          <w:p w14:paraId="6BE0A6E0" w14:textId="559B0779" w:rsidR="001B1A85" w:rsidRPr="00A831E7" w:rsidRDefault="001B1A85" w:rsidP="00470A5C">
            <w:pPr>
              <w:jc w:val="center"/>
              <w:rPr>
                <w:sz w:val="18"/>
                <w:szCs w:val="18"/>
              </w:rPr>
            </w:pPr>
            <w:r w:rsidRPr="00A831E7">
              <w:rPr>
                <w:sz w:val="18"/>
                <w:szCs w:val="18"/>
              </w:rPr>
              <w:t>0.9</w:t>
            </w:r>
            <w:r w:rsidR="00190D24" w:rsidRPr="00A831E7">
              <w:rPr>
                <w:sz w:val="18"/>
                <w:szCs w:val="18"/>
              </w:rPr>
              <w:t>48</w:t>
            </w:r>
          </w:p>
        </w:tc>
        <w:tc>
          <w:tcPr>
            <w:tcW w:w="720" w:type="dxa"/>
            <w:tcBorders>
              <w:top w:val="single" w:sz="8" w:space="0" w:color="auto"/>
            </w:tcBorders>
          </w:tcPr>
          <w:p w14:paraId="246EBD43" w14:textId="377A8A65" w:rsidR="001B1A85" w:rsidRPr="00A831E7" w:rsidRDefault="001B1A85" w:rsidP="00470A5C">
            <w:pPr>
              <w:jc w:val="center"/>
              <w:rPr>
                <w:sz w:val="18"/>
                <w:szCs w:val="18"/>
              </w:rPr>
            </w:pPr>
            <w:r w:rsidRPr="00A831E7">
              <w:rPr>
                <w:sz w:val="18"/>
                <w:szCs w:val="18"/>
              </w:rPr>
              <w:t>0.8</w:t>
            </w:r>
            <w:r w:rsidR="00190D24" w:rsidRPr="00A831E7">
              <w:rPr>
                <w:sz w:val="18"/>
                <w:szCs w:val="18"/>
              </w:rPr>
              <w:t>3</w:t>
            </w:r>
            <w:r w:rsidRPr="00A831E7">
              <w:rPr>
                <w:sz w:val="18"/>
                <w:szCs w:val="18"/>
              </w:rPr>
              <w:t>3</w:t>
            </w:r>
          </w:p>
        </w:tc>
        <w:tc>
          <w:tcPr>
            <w:tcW w:w="720" w:type="dxa"/>
            <w:tcBorders>
              <w:top w:val="single" w:sz="8" w:space="0" w:color="auto"/>
            </w:tcBorders>
          </w:tcPr>
          <w:p w14:paraId="475F7DBE" w14:textId="6D544764" w:rsidR="001B1A85" w:rsidRPr="00A831E7" w:rsidRDefault="001B1A85" w:rsidP="00470A5C">
            <w:pPr>
              <w:jc w:val="center"/>
              <w:rPr>
                <w:sz w:val="18"/>
                <w:szCs w:val="18"/>
              </w:rPr>
            </w:pPr>
            <w:r w:rsidRPr="00A831E7">
              <w:rPr>
                <w:sz w:val="18"/>
                <w:szCs w:val="18"/>
              </w:rPr>
              <w:t>0.9</w:t>
            </w:r>
            <w:r w:rsidR="00190D24" w:rsidRPr="00A831E7">
              <w:rPr>
                <w:sz w:val="18"/>
                <w:szCs w:val="18"/>
              </w:rPr>
              <w:t>38</w:t>
            </w:r>
          </w:p>
        </w:tc>
        <w:tc>
          <w:tcPr>
            <w:tcW w:w="720" w:type="dxa"/>
            <w:vMerge/>
            <w:tcBorders>
              <w:right w:val="single" w:sz="12" w:space="0" w:color="000000"/>
            </w:tcBorders>
          </w:tcPr>
          <w:p w14:paraId="3567CA06" w14:textId="77777777" w:rsidR="001B1A85" w:rsidRPr="00A831E7" w:rsidRDefault="001B1A85" w:rsidP="00470A5C">
            <w:pPr>
              <w:rPr>
                <w:sz w:val="18"/>
                <w:szCs w:val="18"/>
              </w:rPr>
            </w:pPr>
          </w:p>
        </w:tc>
      </w:tr>
      <w:tr w:rsidR="003A213A" w:rsidRPr="00A831E7" w14:paraId="6297870E" w14:textId="77777777" w:rsidTr="003A213A">
        <w:trPr>
          <w:trHeight w:val="63"/>
        </w:trPr>
        <w:tc>
          <w:tcPr>
            <w:tcW w:w="1170" w:type="dxa"/>
            <w:vMerge/>
            <w:tcBorders>
              <w:left w:val="single" w:sz="12" w:space="0" w:color="auto"/>
            </w:tcBorders>
          </w:tcPr>
          <w:p w14:paraId="3ED863BB" w14:textId="77777777" w:rsidR="001B1A85" w:rsidRPr="00A831E7" w:rsidRDefault="001B1A85" w:rsidP="00470A5C">
            <w:pPr>
              <w:rPr>
                <w:sz w:val="18"/>
                <w:szCs w:val="18"/>
              </w:rPr>
            </w:pPr>
          </w:p>
        </w:tc>
        <w:tc>
          <w:tcPr>
            <w:tcW w:w="1620" w:type="dxa"/>
            <w:vMerge/>
          </w:tcPr>
          <w:p w14:paraId="0E76C53E" w14:textId="77777777" w:rsidR="001B1A85" w:rsidRPr="00A831E7" w:rsidRDefault="001B1A85" w:rsidP="00470A5C">
            <w:pPr>
              <w:jc w:val="center"/>
              <w:rPr>
                <w:sz w:val="18"/>
                <w:szCs w:val="18"/>
              </w:rPr>
            </w:pPr>
          </w:p>
        </w:tc>
        <w:tc>
          <w:tcPr>
            <w:tcW w:w="990" w:type="dxa"/>
            <w:vMerge/>
          </w:tcPr>
          <w:p w14:paraId="7D7999DC" w14:textId="77777777" w:rsidR="001B1A85" w:rsidRPr="00A831E7" w:rsidRDefault="001B1A85" w:rsidP="00470A5C">
            <w:pPr>
              <w:jc w:val="center"/>
              <w:rPr>
                <w:sz w:val="18"/>
                <w:szCs w:val="18"/>
              </w:rPr>
            </w:pPr>
          </w:p>
        </w:tc>
        <w:tc>
          <w:tcPr>
            <w:tcW w:w="900" w:type="dxa"/>
          </w:tcPr>
          <w:p w14:paraId="3D1091EC" w14:textId="77777777" w:rsidR="001B1A85" w:rsidRPr="00A831E7" w:rsidRDefault="001B1A85" w:rsidP="00470A5C">
            <w:pPr>
              <w:rPr>
                <w:sz w:val="18"/>
                <w:szCs w:val="18"/>
              </w:rPr>
            </w:pPr>
            <w:r w:rsidRPr="00A831E7">
              <w:rPr>
                <w:sz w:val="18"/>
                <w:szCs w:val="18"/>
              </w:rPr>
              <w:t>RF</w:t>
            </w:r>
          </w:p>
        </w:tc>
        <w:tc>
          <w:tcPr>
            <w:tcW w:w="900" w:type="dxa"/>
          </w:tcPr>
          <w:p w14:paraId="3FBACE18" w14:textId="77777777" w:rsidR="001B1A85" w:rsidRPr="00A831E7" w:rsidRDefault="001B1A85" w:rsidP="00470A5C">
            <w:pPr>
              <w:jc w:val="center"/>
              <w:rPr>
                <w:sz w:val="18"/>
                <w:szCs w:val="18"/>
              </w:rPr>
            </w:pPr>
            <w:r w:rsidRPr="00A831E7">
              <w:rPr>
                <w:sz w:val="18"/>
                <w:szCs w:val="18"/>
              </w:rPr>
              <w:t>»</w:t>
            </w:r>
          </w:p>
        </w:tc>
        <w:tc>
          <w:tcPr>
            <w:tcW w:w="630" w:type="dxa"/>
          </w:tcPr>
          <w:p w14:paraId="7C8153DE" w14:textId="65192A84" w:rsidR="001B1A85" w:rsidRPr="00A831E7" w:rsidRDefault="001B1A85" w:rsidP="00470A5C">
            <w:pPr>
              <w:jc w:val="center"/>
              <w:rPr>
                <w:sz w:val="18"/>
                <w:szCs w:val="18"/>
              </w:rPr>
            </w:pPr>
            <w:r w:rsidRPr="00A831E7">
              <w:rPr>
                <w:sz w:val="18"/>
                <w:szCs w:val="18"/>
              </w:rPr>
              <w:t>0.85</w:t>
            </w:r>
            <w:r w:rsidR="00190D24" w:rsidRPr="00A831E7">
              <w:rPr>
                <w:sz w:val="18"/>
                <w:szCs w:val="18"/>
              </w:rPr>
              <w:t>4</w:t>
            </w:r>
          </w:p>
        </w:tc>
        <w:tc>
          <w:tcPr>
            <w:tcW w:w="720" w:type="dxa"/>
          </w:tcPr>
          <w:p w14:paraId="087B7419" w14:textId="1180FCF9" w:rsidR="001B1A85" w:rsidRPr="00A831E7" w:rsidRDefault="001B1A85" w:rsidP="00470A5C">
            <w:pPr>
              <w:jc w:val="center"/>
              <w:rPr>
                <w:sz w:val="18"/>
                <w:szCs w:val="18"/>
              </w:rPr>
            </w:pPr>
            <w:r w:rsidRPr="00A831E7">
              <w:rPr>
                <w:sz w:val="18"/>
                <w:szCs w:val="18"/>
              </w:rPr>
              <w:t>0.88</w:t>
            </w:r>
            <w:r w:rsidR="00190D24" w:rsidRPr="00A831E7">
              <w:rPr>
                <w:sz w:val="18"/>
                <w:szCs w:val="18"/>
              </w:rPr>
              <w:t>2</w:t>
            </w:r>
          </w:p>
        </w:tc>
        <w:tc>
          <w:tcPr>
            <w:tcW w:w="720" w:type="dxa"/>
          </w:tcPr>
          <w:p w14:paraId="03218DB8" w14:textId="1C7588F8" w:rsidR="001B1A85" w:rsidRPr="00A831E7" w:rsidRDefault="001B1A85" w:rsidP="00470A5C">
            <w:pPr>
              <w:jc w:val="center"/>
              <w:rPr>
                <w:sz w:val="18"/>
                <w:szCs w:val="18"/>
              </w:rPr>
            </w:pPr>
            <w:r w:rsidRPr="00A831E7">
              <w:rPr>
                <w:sz w:val="18"/>
                <w:szCs w:val="18"/>
              </w:rPr>
              <w:t>0.82</w:t>
            </w:r>
            <w:r w:rsidR="00190D24" w:rsidRPr="00A831E7">
              <w:rPr>
                <w:sz w:val="18"/>
                <w:szCs w:val="18"/>
              </w:rPr>
              <w:t>3</w:t>
            </w:r>
          </w:p>
        </w:tc>
        <w:tc>
          <w:tcPr>
            <w:tcW w:w="720" w:type="dxa"/>
            <w:vMerge/>
            <w:tcBorders>
              <w:right w:val="single" w:sz="12" w:space="0" w:color="000000"/>
            </w:tcBorders>
          </w:tcPr>
          <w:p w14:paraId="39468CE2" w14:textId="77777777" w:rsidR="001B1A85" w:rsidRPr="00A831E7" w:rsidRDefault="001B1A85" w:rsidP="00470A5C">
            <w:pPr>
              <w:rPr>
                <w:sz w:val="18"/>
                <w:szCs w:val="18"/>
              </w:rPr>
            </w:pPr>
          </w:p>
        </w:tc>
      </w:tr>
      <w:tr w:rsidR="003A213A" w:rsidRPr="00A831E7" w14:paraId="4BD9C772" w14:textId="77777777" w:rsidTr="003A213A">
        <w:trPr>
          <w:trHeight w:val="63"/>
        </w:trPr>
        <w:tc>
          <w:tcPr>
            <w:tcW w:w="1170" w:type="dxa"/>
            <w:vMerge/>
            <w:tcBorders>
              <w:left w:val="single" w:sz="12" w:space="0" w:color="auto"/>
            </w:tcBorders>
          </w:tcPr>
          <w:p w14:paraId="6A250378" w14:textId="77777777" w:rsidR="001B1A85" w:rsidRPr="00A831E7" w:rsidRDefault="001B1A85" w:rsidP="00470A5C">
            <w:pPr>
              <w:rPr>
                <w:sz w:val="18"/>
                <w:szCs w:val="18"/>
              </w:rPr>
            </w:pPr>
          </w:p>
        </w:tc>
        <w:tc>
          <w:tcPr>
            <w:tcW w:w="1620" w:type="dxa"/>
            <w:vMerge/>
          </w:tcPr>
          <w:p w14:paraId="2902F533" w14:textId="77777777" w:rsidR="001B1A85" w:rsidRPr="00A831E7" w:rsidRDefault="001B1A85" w:rsidP="00470A5C">
            <w:pPr>
              <w:jc w:val="center"/>
              <w:rPr>
                <w:sz w:val="18"/>
                <w:szCs w:val="18"/>
              </w:rPr>
            </w:pPr>
          </w:p>
        </w:tc>
        <w:tc>
          <w:tcPr>
            <w:tcW w:w="990" w:type="dxa"/>
            <w:vMerge/>
          </w:tcPr>
          <w:p w14:paraId="718580DD" w14:textId="77777777" w:rsidR="001B1A85" w:rsidRPr="00A831E7" w:rsidRDefault="001B1A85" w:rsidP="00470A5C">
            <w:pPr>
              <w:jc w:val="center"/>
              <w:rPr>
                <w:sz w:val="18"/>
                <w:szCs w:val="18"/>
              </w:rPr>
            </w:pPr>
          </w:p>
        </w:tc>
        <w:tc>
          <w:tcPr>
            <w:tcW w:w="900" w:type="dxa"/>
            <w:tcBorders>
              <w:bottom w:val="single" w:sz="4" w:space="0" w:color="auto"/>
            </w:tcBorders>
          </w:tcPr>
          <w:p w14:paraId="29AD883C" w14:textId="77777777" w:rsidR="001B1A85" w:rsidRPr="00A831E7" w:rsidRDefault="001B1A85" w:rsidP="00470A5C">
            <w:pPr>
              <w:rPr>
                <w:sz w:val="18"/>
                <w:szCs w:val="18"/>
              </w:rPr>
            </w:pPr>
            <w:r w:rsidRPr="00A831E7">
              <w:rPr>
                <w:sz w:val="18"/>
                <w:szCs w:val="18"/>
              </w:rPr>
              <w:t>XGBoost</w:t>
            </w:r>
          </w:p>
        </w:tc>
        <w:tc>
          <w:tcPr>
            <w:tcW w:w="900" w:type="dxa"/>
            <w:tcBorders>
              <w:bottom w:val="single" w:sz="4" w:space="0" w:color="auto"/>
            </w:tcBorders>
          </w:tcPr>
          <w:p w14:paraId="015039A5" w14:textId="77777777" w:rsidR="001B1A85" w:rsidRPr="00A831E7" w:rsidRDefault="001B1A85" w:rsidP="00470A5C">
            <w:pPr>
              <w:jc w:val="center"/>
              <w:rPr>
                <w:sz w:val="18"/>
                <w:szCs w:val="18"/>
              </w:rPr>
            </w:pPr>
            <w:r w:rsidRPr="00A831E7">
              <w:rPr>
                <w:sz w:val="18"/>
                <w:szCs w:val="18"/>
              </w:rPr>
              <w:t>»</w:t>
            </w:r>
          </w:p>
        </w:tc>
        <w:tc>
          <w:tcPr>
            <w:tcW w:w="630" w:type="dxa"/>
            <w:tcBorders>
              <w:bottom w:val="single" w:sz="4" w:space="0" w:color="auto"/>
            </w:tcBorders>
          </w:tcPr>
          <w:p w14:paraId="7DC02C3B" w14:textId="3E5C7796" w:rsidR="001B1A85" w:rsidRPr="00A831E7" w:rsidRDefault="001B1A85" w:rsidP="00470A5C">
            <w:pPr>
              <w:jc w:val="center"/>
              <w:rPr>
                <w:sz w:val="18"/>
                <w:szCs w:val="18"/>
              </w:rPr>
            </w:pPr>
            <w:r w:rsidRPr="00A831E7">
              <w:rPr>
                <w:sz w:val="18"/>
                <w:szCs w:val="18"/>
              </w:rPr>
              <w:t>0.8</w:t>
            </w:r>
            <w:r w:rsidR="00190D24" w:rsidRPr="00A831E7">
              <w:rPr>
                <w:sz w:val="18"/>
                <w:szCs w:val="18"/>
              </w:rPr>
              <w:t>77</w:t>
            </w:r>
          </w:p>
        </w:tc>
        <w:tc>
          <w:tcPr>
            <w:tcW w:w="720" w:type="dxa"/>
            <w:tcBorders>
              <w:bottom w:val="single" w:sz="4" w:space="0" w:color="auto"/>
            </w:tcBorders>
          </w:tcPr>
          <w:p w14:paraId="506DC39A" w14:textId="7C64825E" w:rsidR="001B1A85" w:rsidRPr="00A831E7" w:rsidRDefault="001B1A85" w:rsidP="00470A5C">
            <w:pPr>
              <w:jc w:val="center"/>
              <w:rPr>
                <w:sz w:val="18"/>
                <w:szCs w:val="18"/>
              </w:rPr>
            </w:pPr>
            <w:r w:rsidRPr="00A831E7">
              <w:rPr>
                <w:sz w:val="18"/>
                <w:szCs w:val="18"/>
              </w:rPr>
              <w:t>0.82</w:t>
            </w:r>
            <w:r w:rsidR="00190D24" w:rsidRPr="00A831E7">
              <w:rPr>
                <w:sz w:val="18"/>
                <w:szCs w:val="18"/>
              </w:rPr>
              <w:t>3</w:t>
            </w:r>
          </w:p>
        </w:tc>
        <w:tc>
          <w:tcPr>
            <w:tcW w:w="720" w:type="dxa"/>
            <w:tcBorders>
              <w:bottom w:val="single" w:sz="4" w:space="0" w:color="auto"/>
            </w:tcBorders>
          </w:tcPr>
          <w:p w14:paraId="1DF5CD2E" w14:textId="482EBA5A" w:rsidR="001B1A85" w:rsidRPr="00A831E7" w:rsidRDefault="001B1A85" w:rsidP="00470A5C">
            <w:pPr>
              <w:jc w:val="center"/>
              <w:rPr>
                <w:sz w:val="18"/>
                <w:szCs w:val="18"/>
              </w:rPr>
            </w:pPr>
            <w:r w:rsidRPr="00A831E7">
              <w:rPr>
                <w:sz w:val="18"/>
                <w:szCs w:val="18"/>
              </w:rPr>
              <w:t>0.88</w:t>
            </w:r>
            <w:r w:rsidR="00190D24" w:rsidRPr="00A831E7">
              <w:rPr>
                <w:sz w:val="18"/>
                <w:szCs w:val="18"/>
              </w:rPr>
              <w:t>2</w:t>
            </w:r>
          </w:p>
        </w:tc>
        <w:tc>
          <w:tcPr>
            <w:tcW w:w="720" w:type="dxa"/>
            <w:vMerge/>
            <w:tcBorders>
              <w:right w:val="single" w:sz="12" w:space="0" w:color="000000"/>
            </w:tcBorders>
          </w:tcPr>
          <w:p w14:paraId="79CD1634" w14:textId="77777777" w:rsidR="001B1A85" w:rsidRPr="00A831E7" w:rsidRDefault="001B1A85" w:rsidP="00470A5C">
            <w:pPr>
              <w:rPr>
                <w:sz w:val="18"/>
                <w:szCs w:val="18"/>
              </w:rPr>
            </w:pPr>
          </w:p>
        </w:tc>
      </w:tr>
      <w:tr w:rsidR="003A213A" w:rsidRPr="00311959" w14:paraId="175739E9" w14:textId="77777777" w:rsidTr="003A213A">
        <w:trPr>
          <w:trHeight w:val="63"/>
        </w:trPr>
        <w:tc>
          <w:tcPr>
            <w:tcW w:w="1170" w:type="dxa"/>
            <w:vMerge/>
            <w:tcBorders>
              <w:left w:val="single" w:sz="12" w:space="0" w:color="auto"/>
              <w:bottom w:val="single" w:sz="8" w:space="0" w:color="auto"/>
            </w:tcBorders>
          </w:tcPr>
          <w:p w14:paraId="7CC5324F" w14:textId="77777777" w:rsidR="001B1A85" w:rsidRPr="00A831E7" w:rsidRDefault="001B1A85" w:rsidP="00470A5C">
            <w:pPr>
              <w:rPr>
                <w:sz w:val="18"/>
                <w:szCs w:val="18"/>
              </w:rPr>
            </w:pPr>
          </w:p>
        </w:tc>
        <w:tc>
          <w:tcPr>
            <w:tcW w:w="1620" w:type="dxa"/>
            <w:vMerge/>
          </w:tcPr>
          <w:p w14:paraId="3427EEFF" w14:textId="77777777" w:rsidR="001B1A85" w:rsidRPr="00A831E7" w:rsidRDefault="001B1A85" w:rsidP="00470A5C">
            <w:pPr>
              <w:jc w:val="center"/>
              <w:rPr>
                <w:sz w:val="18"/>
                <w:szCs w:val="18"/>
              </w:rPr>
            </w:pPr>
          </w:p>
        </w:tc>
        <w:tc>
          <w:tcPr>
            <w:tcW w:w="990" w:type="dxa"/>
            <w:vMerge/>
          </w:tcPr>
          <w:p w14:paraId="7B086E7F" w14:textId="77777777" w:rsidR="001B1A85" w:rsidRPr="00A831E7" w:rsidRDefault="001B1A85" w:rsidP="00470A5C">
            <w:pPr>
              <w:jc w:val="center"/>
              <w:rPr>
                <w:sz w:val="18"/>
                <w:szCs w:val="18"/>
              </w:rPr>
            </w:pPr>
          </w:p>
        </w:tc>
        <w:tc>
          <w:tcPr>
            <w:tcW w:w="900" w:type="dxa"/>
            <w:tcBorders>
              <w:bottom w:val="single" w:sz="8" w:space="0" w:color="auto"/>
            </w:tcBorders>
          </w:tcPr>
          <w:p w14:paraId="0D83F161" w14:textId="77777777" w:rsidR="001B1A85" w:rsidRPr="00A831E7" w:rsidRDefault="001B1A85" w:rsidP="00470A5C">
            <w:pPr>
              <w:rPr>
                <w:sz w:val="18"/>
                <w:szCs w:val="18"/>
              </w:rPr>
            </w:pPr>
            <w:r w:rsidRPr="00A831E7">
              <w:rPr>
                <w:sz w:val="18"/>
                <w:szCs w:val="18"/>
              </w:rPr>
              <w:t>SVM</w:t>
            </w:r>
          </w:p>
        </w:tc>
        <w:tc>
          <w:tcPr>
            <w:tcW w:w="900" w:type="dxa"/>
            <w:tcBorders>
              <w:bottom w:val="single" w:sz="8" w:space="0" w:color="auto"/>
            </w:tcBorders>
          </w:tcPr>
          <w:p w14:paraId="19CFD7CE" w14:textId="77777777" w:rsidR="001B1A85" w:rsidRPr="00A831E7" w:rsidRDefault="001B1A85" w:rsidP="00470A5C">
            <w:pPr>
              <w:jc w:val="center"/>
              <w:rPr>
                <w:sz w:val="18"/>
                <w:szCs w:val="18"/>
              </w:rPr>
            </w:pPr>
            <w:r w:rsidRPr="00A831E7">
              <w:rPr>
                <w:sz w:val="18"/>
                <w:szCs w:val="18"/>
              </w:rPr>
              <w:t>»</w:t>
            </w:r>
          </w:p>
        </w:tc>
        <w:tc>
          <w:tcPr>
            <w:tcW w:w="630" w:type="dxa"/>
            <w:tcBorders>
              <w:bottom w:val="single" w:sz="8" w:space="0" w:color="auto"/>
            </w:tcBorders>
          </w:tcPr>
          <w:p w14:paraId="5596AAD7" w14:textId="16500CD8" w:rsidR="001B1A85" w:rsidRPr="00A831E7" w:rsidRDefault="001B1A85" w:rsidP="00470A5C">
            <w:pPr>
              <w:jc w:val="center"/>
              <w:rPr>
                <w:sz w:val="18"/>
                <w:szCs w:val="18"/>
              </w:rPr>
            </w:pPr>
            <w:r w:rsidRPr="00A831E7">
              <w:rPr>
                <w:sz w:val="18"/>
                <w:szCs w:val="18"/>
              </w:rPr>
              <w:t>0.9</w:t>
            </w:r>
            <w:r w:rsidR="00190D24" w:rsidRPr="00A831E7">
              <w:rPr>
                <w:sz w:val="18"/>
                <w:szCs w:val="18"/>
              </w:rPr>
              <w:t>58</w:t>
            </w:r>
          </w:p>
        </w:tc>
        <w:tc>
          <w:tcPr>
            <w:tcW w:w="720" w:type="dxa"/>
            <w:tcBorders>
              <w:bottom w:val="single" w:sz="8" w:space="0" w:color="auto"/>
            </w:tcBorders>
          </w:tcPr>
          <w:p w14:paraId="1024CC01" w14:textId="23ABD8F4" w:rsidR="001B1A85" w:rsidRPr="00A831E7" w:rsidRDefault="001B1A85" w:rsidP="00470A5C">
            <w:pPr>
              <w:jc w:val="center"/>
              <w:rPr>
                <w:sz w:val="18"/>
                <w:szCs w:val="18"/>
              </w:rPr>
            </w:pPr>
            <w:r w:rsidRPr="00A831E7">
              <w:rPr>
                <w:sz w:val="18"/>
                <w:szCs w:val="18"/>
              </w:rPr>
              <w:t>0.9</w:t>
            </w:r>
            <w:r w:rsidR="00190D24" w:rsidRPr="00A831E7">
              <w:rPr>
                <w:sz w:val="18"/>
                <w:szCs w:val="18"/>
              </w:rPr>
              <w:t>37</w:t>
            </w:r>
          </w:p>
        </w:tc>
        <w:tc>
          <w:tcPr>
            <w:tcW w:w="720" w:type="dxa"/>
            <w:tcBorders>
              <w:bottom w:val="single" w:sz="8" w:space="0" w:color="auto"/>
            </w:tcBorders>
          </w:tcPr>
          <w:p w14:paraId="6EB30A4B" w14:textId="32640CB7" w:rsidR="001B1A85" w:rsidRPr="00A831E7" w:rsidRDefault="001B1A85" w:rsidP="00470A5C">
            <w:pPr>
              <w:jc w:val="center"/>
              <w:rPr>
                <w:sz w:val="18"/>
                <w:szCs w:val="18"/>
              </w:rPr>
            </w:pPr>
            <w:r w:rsidRPr="00A831E7">
              <w:rPr>
                <w:sz w:val="18"/>
                <w:szCs w:val="18"/>
              </w:rPr>
              <w:t>0.8</w:t>
            </w:r>
            <w:r w:rsidR="00190D24" w:rsidRPr="00A831E7">
              <w:rPr>
                <w:sz w:val="18"/>
                <w:szCs w:val="18"/>
              </w:rPr>
              <w:t>89</w:t>
            </w:r>
          </w:p>
        </w:tc>
        <w:tc>
          <w:tcPr>
            <w:tcW w:w="720" w:type="dxa"/>
            <w:vMerge/>
            <w:tcBorders>
              <w:right w:val="single" w:sz="12" w:space="0" w:color="000000"/>
            </w:tcBorders>
          </w:tcPr>
          <w:p w14:paraId="659EC778" w14:textId="77777777" w:rsidR="001B1A85" w:rsidRPr="00A831E7" w:rsidRDefault="001B1A85" w:rsidP="00470A5C">
            <w:pPr>
              <w:rPr>
                <w:sz w:val="18"/>
                <w:szCs w:val="18"/>
              </w:rPr>
            </w:pPr>
          </w:p>
        </w:tc>
      </w:tr>
      <w:tr w:rsidR="003A213A" w:rsidRPr="00A831E7" w14:paraId="51B5A3C0" w14:textId="77777777" w:rsidTr="003A213A">
        <w:trPr>
          <w:trHeight w:val="63"/>
        </w:trPr>
        <w:tc>
          <w:tcPr>
            <w:tcW w:w="1170" w:type="dxa"/>
            <w:vMerge w:val="restart"/>
            <w:tcBorders>
              <w:top w:val="single" w:sz="8" w:space="0" w:color="auto"/>
              <w:left w:val="single" w:sz="12" w:space="0" w:color="auto"/>
            </w:tcBorders>
          </w:tcPr>
          <w:p w14:paraId="08556807" w14:textId="77777777" w:rsidR="001B1A85" w:rsidRPr="00730D74" w:rsidRDefault="001B1A85" w:rsidP="00470A5C">
            <w:pPr>
              <w:rPr>
                <w:sz w:val="18"/>
                <w:szCs w:val="18"/>
                <w:lang w:val="en-US"/>
              </w:rPr>
            </w:pPr>
            <w:r w:rsidRPr="00730D74">
              <w:rPr>
                <w:sz w:val="18"/>
                <w:szCs w:val="18"/>
                <w:lang w:val="en-US"/>
              </w:rPr>
              <w:t>hsa-miR-148a + has-miR-342-3p + has-miR-19a + has-miR-320d</w:t>
            </w:r>
          </w:p>
        </w:tc>
        <w:tc>
          <w:tcPr>
            <w:tcW w:w="1620" w:type="dxa"/>
            <w:vMerge/>
          </w:tcPr>
          <w:p w14:paraId="4F8499DA" w14:textId="77777777" w:rsidR="001B1A85" w:rsidRPr="00730D74" w:rsidRDefault="001B1A85" w:rsidP="00470A5C">
            <w:pPr>
              <w:jc w:val="center"/>
              <w:rPr>
                <w:sz w:val="18"/>
                <w:szCs w:val="18"/>
                <w:lang w:val="en-US"/>
              </w:rPr>
            </w:pPr>
          </w:p>
        </w:tc>
        <w:tc>
          <w:tcPr>
            <w:tcW w:w="990" w:type="dxa"/>
            <w:vMerge/>
          </w:tcPr>
          <w:p w14:paraId="2D0F1AB6" w14:textId="77777777" w:rsidR="001B1A85" w:rsidRPr="00730D74" w:rsidRDefault="001B1A85" w:rsidP="00470A5C">
            <w:pPr>
              <w:jc w:val="center"/>
              <w:rPr>
                <w:sz w:val="18"/>
                <w:szCs w:val="18"/>
                <w:lang w:val="en-US"/>
              </w:rPr>
            </w:pPr>
          </w:p>
        </w:tc>
        <w:tc>
          <w:tcPr>
            <w:tcW w:w="900" w:type="dxa"/>
            <w:tcBorders>
              <w:top w:val="single" w:sz="8" w:space="0" w:color="auto"/>
            </w:tcBorders>
          </w:tcPr>
          <w:p w14:paraId="37807BC7" w14:textId="77777777" w:rsidR="001B1A85" w:rsidRPr="00A831E7" w:rsidRDefault="001B1A85" w:rsidP="00470A5C">
            <w:pPr>
              <w:rPr>
                <w:sz w:val="18"/>
                <w:szCs w:val="18"/>
              </w:rPr>
            </w:pPr>
            <w:r w:rsidRPr="00A831E7">
              <w:rPr>
                <w:sz w:val="18"/>
                <w:szCs w:val="18"/>
              </w:rPr>
              <w:t>ANN</w:t>
            </w:r>
          </w:p>
        </w:tc>
        <w:tc>
          <w:tcPr>
            <w:tcW w:w="900" w:type="dxa"/>
            <w:tcBorders>
              <w:top w:val="single" w:sz="8" w:space="0" w:color="auto"/>
            </w:tcBorders>
          </w:tcPr>
          <w:p w14:paraId="57195BF5" w14:textId="77777777" w:rsidR="001B1A85" w:rsidRPr="00A831E7" w:rsidRDefault="001B1A85" w:rsidP="00470A5C">
            <w:pPr>
              <w:jc w:val="center"/>
              <w:rPr>
                <w:sz w:val="18"/>
                <w:szCs w:val="18"/>
              </w:rPr>
            </w:pPr>
            <w:r w:rsidRPr="00A831E7">
              <w:rPr>
                <w:sz w:val="18"/>
                <w:szCs w:val="18"/>
              </w:rPr>
              <w:t>»</w:t>
            </w:r>
          </w:p>
        </w:tc>
        <w:tc>
          <w:tcPr>
            <w:tcW w:w="630" w:type="dxa"/>
            <w:tcBorders>
              <w:top w:val="single" w:sz="8" w:space="0" w:color="auto"/>
            </w:tcBorders>
          </w:tcPr>
          <w:p w14:paraId="02E9979B" w14:textId="1E9303ED" w:rsidR="001B1A85" w:rsidRPr="00A831E7" w:rsidRDefault="001B1A85" w:rsidP="00470A5C">
            <w:pPr>
              <w:jc w:val="center"/>
              <w:rPr>
                <w:sz w:val="18"/>
                <w:szCs w:val="18"/>
              </w:rPr>
            </w:pPr>
            <w:r w:rsidRPr="00A831E7">
              <w:rPr>
                <w:sz w:val="18"/>
                <w:szCs w:val="18"/>
              </w:rPr>
              <w:t>0.88</w:t>
            </w:r>
            <w:r w:rsidR="00190D24" w:rsidRPr="00A831E7">
              <w:rPr>
                <w:sz w:val="18"/>
                <w:szCs w:val="18"/>
              </w:rPr>
              <w:t>2</w:t>
            </w:r>
          </w:p>
        </w:tc>
        <w:tc>
          <w:tcPr>
            <w:tcW w:w="720" w:type="dxa"/>
            <w:tcBorders>
              <w:top w:val="single" w:sz="8" w:space="0" w:color="auto"/>
            </w:tcBorders>
          </w:tcPr>
          <w:p w14:paraId="5669C15E" w14:textId="622773D1" w:rsidR="001B1A85" w:rsidRPr="00A831E7" w:rsidRDefault="001B1A85" w:rsidP="00470A5C">
            <w:pPr>
              <w:jc w:val="center"/>
              <w:rPr>
                <w:sz w:val="18"/>
                <w:szCs w:val="18"/>
              </w:rPr>
            </w:pPr>
            <w:r w:rsidRPr="00A831E7">
              <w:rPr>
                <w:sz w:val="18"/>
                <w:szCs w:val="18"/>
              </w:rPr>
              <w:t>0.80</w:t>
            </w:r>
            <w:r w:rsidR="00190D24" w:rsidRPr="00A831E7">
              <w:rPr>
                <w:sz w:val="18"/>
                <w:szCs w:val="18"/>
              </w:rPr>
              <w:t>0</w:t>
            </w:r>
          </w:p>
        </w:tc>
        <w:tc>
          <w:tcPr>
            <w:tcW w:w="720" w:type="dxa"/>
            <w:tcBorders>
              <w:top w:val="single" w:sz="8" w:space="0" w:color="auto"/>
            </w:tcBorders>
          </w:tcPr>
          <w:p w14:paraId="322C0580" w14:textId="537C49C9" w:rsidR="001B1A85" w:rsidRPr="00A831E7" w:rsidRDefault="001B1A85" w:rsidP="00470A5C">
            <w:pPr>
              <w:jc w:val="center"/>
              <w:rPr>
                <w:sz w:val="18"/>
                <w:szCs w:val="18"/>
              </w:rPr>
            </w:pPr>
            <w:r w:rsidRPr="00A831E7">
              <w:rPr>
                <w:sz w:val="18"/>
                <w:szCs w:val="18"/>
              </w:rPr>
              <w:t>0.7</w:t>
            </w:r>
            <w:r w:rsidR="00190D24" w:rsidRPr="00A831E7">
              <w:rPr>
                <w:sz w:val="18"/>
                <w:szCs w:val="18"/>
              </w:rPr>
              <w:t>89</w:t>
            </w:r>
          </w:p>
        </w:tc>
        <w:tc>
          <w:tcPr>
            <w:tcW w:w="720" w:type="dxa"/>
            <w:vMerge/>
            <w:tcBorders>
              <w:right w:val="single" w:sz="12" w:space="0" w:color="000000"/>
            </w:tcBorders>
          </w:tcPr>
          <w:p w14:paraId="5DDBBB84" w14:textId="77777777" w:rsidR="001B1A85" w:rsidRPr="00A831E7" w:rsidRDefault="001B1A85" w:rsidP="00470A5C">
            <w:pPr>
              <w:rPr>
                <w:sz w:val="18"/>
                <w:szCs w:val="18"/>
              </w:rPr>
            </w:pPr>
          </w:p>
        </w:tc>
      </w:tr>
      <w:tr w:rsidR="003A213A" w:rsidRPr="00A831E7" w14:paraId="6BBA2089" w14:textId="77777777" w:rsidTr="003A213A">
        <w:trPr>
          <w:trHeight w:val="63"/>
        </w:trPr>
        <w:tc>
          <w:tcPr>
            <w:tcW w:w="1170" w:type="dxa"/>
            <w:vMerge/>
            <w:tcBorders>
              <w:left w:val="single" w:sz="12" w:space="0" w:color="auto"/>
            </w:tcBorders>
          </w:tcPr>
          <w:p w14:paraId="4057CCB3" w14:textId="77777777" w:rsidR="001B1A85" w:rsidRPr="00A831E7" w:rsidRDefault="001B1A85" w:rsidP="00470A5C">
            <w:pPr>
              <w:rPr>
                <w:sz w:val="18"/>
                <w:szCs w:val="18"/>
              </w:rPr>
            </w:pPr>
          </w:p>
        </w:tc>
        <w:tc>
          <w:tcPr>
            <w:tcW w:w="1620" w:type="dxa"/>
            <w:vMerge/>
          </w:tcPr>
          <w:p w14:paraId="0354C19A" w14:textId="77777777" w:rsidR="001B1A85" w:rsidRPr="00A831E7" w:rsidRDefault="001B1A85" w:rsidP="00470A5C">
            <w:pPr>
              <w:jc w:val="center"/>
              <w:rPr>
                <w:sz w:val="18"/>
                <w:szCs w:val="18"/>
              </w:rPr>
            </w:pPr>
          </w:p>
        </w:tc>
        <w:tc>
          <w:tcPr>
            <w:tcW w:w="990" w:type="dxa"/>
            <w:vMerge/>
          </w:tcPr>
          <w:p w14:paraId="6593EADD" w14:textId="77777777" w:rsidR="001B1A85" w:rsidRPr="00A831E7" w:rsidRDefault="001B1A85" w:rsidP="00470A5C">
            <w:pPr>
              <w:jc w:val="center"/>
              <w:rPr>
                <w:sz w:val="18"/>
                <w:szCs w:val="18"/>
              </w:rPr>
            </w:pPr>
          </w:p>
        </w:tc>
        <w:tc>
          <w:tcPr>
            <w:tcW w:w="900" w:type="dxa"/>
          </w:tcPr>
          <w:p w14:paraId="76A609C9" w14:textId="77777777" w:rsidR="001B1A85" w:rsidRPr="00A831E7" w:rsidRDefault="001B1A85" w:rsidP="00470A5C">
            <w:pPr>
              <w:rPr>
                <w:sz w:val="18"/>
                <w:szCs w:val="18"/>
              </w:rPr>
            </w:pPr>
            <w:r w:rsidRPr="00A831E7">
              <w:rPr>
                <w:sz w:val="18"/>
                <w:szCs w:val="18"/>
              </w:rPr>
              <w:t>RF</w:t>
            </w:r>
          </w:p>
        </w:tc>
        <w:tc>
          <w:tcPr>
            <w:tcW w:w="900" w:type="dxa"/>
          </w:tcPr>
          <w:p w14:paraId="5AD24B45" w14:textId="77777777" w:rsidR="001B1A85" w:rsidRPr="00A831E7" w:rsidRDefault="001B1A85" w:rsidP="00470A5C">
            <w:pPr>
              <w:jc w:val="center"/>
              <w:rPr>
                <w:sz w:val="18"/>
                <w:szCs w:val="18"/>
              </w:rPr>
            </w:pPr>
            <w:r w:rsidRPr="00A831E7">
              <w:rPr>
                <w:sz w:val="18"/>
                <w:szCs w:val="18"/>
              </w:rPr>
              <w:t>»</w:t>
            </w:r>
          </w:p>
        </w:tc>
        <w:tc>
          <w:tcPr>
            <w:tcW w:w="630" w:type="dxa"/>
          </w:tcPr>
          <w:p w14:paraId="509E7B98" w14:textId="602FA069" w:rsidR="001B1A85" w:rsidRPr="00A831E7" w:rsidRDefault="001B1A85" w:rsidP="00470A5C">
            <w:pPr>
              <w:jc w:val="center"/>
              <w:rPr>
                <w:sz w:val="18"/>
                <w:szCs w:val="18"/>
              </w:rPr>
            </w:pPr>
            <w:r w:rsidRPr="00A831E7">
              <w:rPr>
                <w:sz w:val="18"/>
                <w:szCs w:val="18"/>
              </w:rPr>
              <w:t>0.8</w:t>
            </w:r>
            <w:r w:rsidR="00190D24" w:rsidRPr="00A831E7">
              <w:rPr>
                <w:sz w:val="18"/>
                <w:szCs w:val="18"/>
              </w:rPr>
              <w:t>88</w:t>
            </w:r>
          </w:p>
        </w:tc>
        <w:tc>
          <w:tcPr>
            <w:tcW w:w="720" w:type="dxa"/>
          </w:tcPr>
          <w:p w14:paraId="6AF854C7" w14:textId="1E29BC94" w:rsidR="001B1A85" w:rsidRPr="00A831E7" w:rsidRDefault="001B1A85" w:rsidP="00470A5C">
            <w:pPr>
              <w:jc w:val="center"/>
              <w:rPr>
                <w:sz w:val="18"/>
                <w:szCs w:val="18"/>
              </w:rPr>
            </w:pPr>
            <w:r w:rsidRPr="00A831E7">
              <w:rPr>
                <w:sz w:val="18"/>
                <w:szCs w:val="18"/>
              </w:rPr>
              <w:t>0.94</w:t>
            </w:r>
            <w:r w:rsidR="00190D24" w:rsidRPr="00A831E7">
              <w:rPr>
                <w:sz w:val="18"/>
                <w:szCs w:val="18"/>
              </w:rPr>
              <w:t>1</w:t>
            </w:r>
          </w:p>
        </w:tc>
        <w:tc>
          <w:tcPr>
            <w:tcW w:w="720" w:type="dxa"/>
          </w:tcPr>
          <w:p w14:paraId="53D938F9" w14:textId="42344AD7" w:rsidR="001B1A85" w:rsidRPr="00A831E7" w:rsidRDefault="001B1A85" w:rsidP="00470A5C">
            <w:pPr>
              <w:jc w:val="center"/>
              <w:rPr>
                <w:sz w:val="18"/>
                <w:szCs w:val="18"/>
              </w:rPr>
            </w:pPr>
            <w:r w:rsidRPr="00A831E7">
              <w:rPr>
                <w:sz w:val="18"/>
                <w:szCs w:val="18"/>
              </w:rPr>
              <w:t>0.82</w:t>
            </w:r>
            <w:r w:rsidR="00190D24" w:rsidRPr="00A831E7">
              <w:rPr>
                <w:sz w:val="18"/>
                <w:szCs w:val="18"/>
              </w:rPr>
              <w:t>3</w:t>
            </w:r>
          </w:p>
        </w:tc>
        <w:tc>
          <w:tcPr>
            <w:tcW w:w="720" w:type="dxa"/>
            <w:vMerge/>
            <w:tcBorders>
              <w:right w:val="single" w:sz="12" w:space="0" w:color="000000"/>
            </w:tcBorders>
          </w:tcPr>
          <w:p w14:paraId="4F6B8AD6" w14:textId="77777777" w:rsidR="001B1A85" w:rsidRPr="00A831E7" w:rsidRDefault="001B1A85" w:rsidP="00470A5C">
            <w:pPr>
              <w:rPr>
                <w:sz w:val="18"/>
                <w:szCs w:val="18"/>
              </w:rPr>
            </w:pPr>
          </w:p>
        </w:tc>
      </w:tr>
      <w:tr w:rsidR="003A213A" w:rsidRPr="00A831E7" w14:paraId="106B284E" w14:textId="77777777" w:rsidTr="003A213A">
        <w:trPr>
          <w:trHeight w:val="63"/>
        </w:trPr>
        <w:tc>
          <w:tcPr>
            <w:tcW w:w="1170" w:type="dxa"/>
            <w:vMerge/>
            <w:tcBorders>
              <w:left w:val="single" w:sz="12" w:space="0" w:color="auto"/>
            </w:tcBorders>
          </w:tcPr>
          <w:p w14:paraId="5E7F1E14" w14:textId="77777777" w:rsidR="001B1A85" w:rsidRPr="00A831E7" w:rsidRDefault="001B1A85" w:rsidP="00470A5C">
            <w:pPr>
              <w:rPr>
                <w:sz w:val="18"/>
                <w:szCs w:val="18"/>
              </w:rPr>
            </w:pPr>
          </w:p>
        </w:tc>
        <w:tc>
          <w:tcPr>
            <w:tcW w:w="1620" w:type="dxa"/>
            <w:vMerge/>
          </w:tcPr>
          <w:p w14:paraId="4DB1DE46" w14:textId="77777777" w:rsidR="001B1A85" w:rsidRPr="00A831E7" w:rsidRDefault="001B1A85" w:rsidP="00470A5C">
            <w:pPr>
              <w:jc w:val="center"/>
              <w:rPr>
                <w:sz w:val="18"/>
                <w:szCs w:val="18"/>
              </w:rPr>
            </w:pPr>
          </w:p>
        </w:tc>
        <w:tc>
          <w:tcPr>
            <w:tcW w:w="990" w:type="dxa"/>
            <w:vMerge/>
          </w:tcPr>
          <w:p w14:paraId="3BA90AAE" w14:textId="77777777" w:rsidR="001B1A85" w:rsidRPr="00A831E7" w:rsidRDefault="001B1A85" w:rsidP="00470A5C">
            <w:pPr>
              <w:jc w:val="center"/>
              <w:rPr>
                <w:sz w:val="18"/>
                <w:szCs w:val="18"/>
              </w:rPr>
            </w:pPr>
          </w:p>
        </w:tc>
        <w:tc>
          <w:tcPr>
            <w:tcW w:w="900" w:type="dxa"/>
            <w:tcBorders>
              <w:bottom w:val="single" w:sz="4" w:space="0" w:color="auto"/>
            </w:tcBorders>
          </w:tcPr>
          <w:p w14:paraId="5F0B9A96" w14:textId="77777777" w:rsidR="001B1A85" w:rsidRPr="00A831E7" w:rsidRDefault="001B1A85" w:rsidP="00470A5C">
            <w:pPr>
              <w:rPr>
                <w:sz w:val="18"/>
                <w:szCs w:val="18"/>
              </w:rPr>
            </w:pPr>
            <w:r w:rsidRPr="00A831E7">
              <w:rPr>
                <w:sz w:val="18"/>
                <w:szCs w:val="18"/>
              </w:rPr>
              <w:t>XGBoost</w:t>
            </w:r>
          </w:p>
        </w:tc>
        <w:tc>
          <w:tcPr>
            <w:tcW w:w="900" w:type="dxa"/>
            <w:tcBorders>
              <w:bottom w:val="single" w:sz="4" w:space="0" w:color="auto"/>
            </w:tcBorders>
          </w:tcPr>
          <w:p w14:paraId="5B36637A" w14:textId="77777777" w:rsidR="001B1A85" w:rsidRPr="00A831E7" w:rsidRDefault="001B1A85" w:rsidP="00470A5C">
            <w:pPr>
              <w:jc w:val="center"/>
              <w:rPr>
                <w:sz w:val="18"/>
                <w:szCs w:val="18"/>
              </w:rPr>
            </w:pPr>
            <w:r w:rsidRPr="00A831E7">
              <w:rPr>
                <w:sz w:val="18"/>
                <w:szCs w:val="18"/>
              </w:rPr>
              <w:t>»</w:t>
            </w:r>
          </w:p>
        </w:tc>
        <w:tc>
          <w:tcPr>
            <w:tcW w:w="630" w:type="dxa"/>
            <w:tcBorders>
              <w:bottom w:val="single" w:sz="4" w:space="0" w:color="auto"/>
            </w:tcBorders>
          </w:tcPr>
          <w:p w14:paraId="50932A3E" w14:textId="36EA37ED" w:rsidR="001B1A85" w:rsidRPr="00A831E7" w:rsidRDefault="001B1A85" w:rsidP="00470A5C">
            <w:pPr>
              <w:jc w:val="center"/>
              <w:rPr>
                <w:sz w:val="18"/>
                <w:szCs w:val="18"/>
              </w:rPr>
            </w:pPr>
            <w:r w:rsidRPr="00A831E7">
              <w:rPr>
                <w:sz w:val="18"/>
                <w:szCs w:val="18"/>
              </w:rPr>
              <w:t>0.87</w:t>
            </w:r>
            <w:r w:rsidR="00190D24" w:rsidRPr="00A831E7">
              <w:rPr>
                <w:sz w:val="18"/>
                <w:szCs w:val="18"/>
              </w:rPr>
              <w:t>4</w:t>
            </w:r>
          </w:p>
        </w:tc>
        <w:tc>
          <w:tcPr>
            <w:tcW w:w="720" w:type="dxa"/>
            <w:tcBorders>
              <w:bottom w:val="single" w:sz="4" w:space="0" w:color="auto"/>
            </w:tcBorders>
          </w:tcPr>
          <w:p w14:paraId="38C86E15" w14:textId="5270489A" w:rsidR="001B1A85" w:rsidRPr="00A831E7" w:rsidRDefault="001B1A85" w:rsidP="00470A5C">
            <w:pPr>
              <w:jc w:val="center"/>
              <w:rPr>
                <w:sz w:val="18"/>
                <w:szCs w:val="18"/>
              </w:rPr>
            </w:pPr>
            <w:r w:rsidRPr="00A831E7">
              <w:rPr>
                <w:sz w:val="18"/>
                <w:szCs w:val="18"/>
              </w:rPr>
              <w:t>0.70</w:t>
            </w:r>
            <w:r w:rsidR="00190D24" w:rsidRPr="00A831E7">
              <w:rPr>
                <w:sz w:val="18"/>
                <w:szCs w:val="18"/>
              </w:rPr>
              <w:t>6</w:t>
            </w:r>
          </w:p>
        </w:tc>
        <w:tc>
          <w:tcPr>
            <w:tcW w:w="720" w:type="dxa"/>
            <w:tcBorders>
              <w:bottom w:val="single" w:sz="4" w:space="0" w:color="auto"/>
            </w:tcBorders>
          </w:tcPr>
          <w:p w14:paraId="7C33E222" w14:textId="43AFE610" w:rsidR="001B1A85" w:rsidRPr="00A831E7" w:rsidRDefault="001B1A85" w:rsidP="00470A5C">
            <w:pPr>
              <w:jc w:val="center"/>
              <w:rPr>
                <w:sz w:val="18"/>
                <w:szCs w:val="18"/>
              </w:rPr>
            </w:pPr>
            <w:r w:rsidRPr="00A831E7">
              <w:rPr>
                <w:sz w:val="18"/>
                <w:szCs w:val="18"/>
              </w:rPr>
              <w:t>0.88</w:t>
            </w:r>
            <w:r w:rsidR="00190D24" w:rsidRPr="00A831E7">
              <w:rPr>
                <w:sz w:val="18"/>
                <w:szCs w:val="18"/>
              </w:rPr>
              <w:t>2</w:t>
            </w:r>
          </w:p>
        </w:tc>
        <w:tc>
          <w:tcPr>
            <w:tcW w:w="720" w:type="dxa"/>
            <w:vMerge/>
            <w:tcBorders>
              <w:right w:val="single" w:sz="12" w:space="0" w:color="000000"/>
            </w:tcBorders>
          </w:tcPr>
          <w:p w14:paraId="6D772FA1" w14:textId="77777777" w:rsidR="001B1A85" w:rsidRPr="00A831E7" w:rsidRDefault="001B1A85" w:rsidP="00470A5C">
            <w:pPr>
              <w:rPr>
                <w:sz w:val="18"/>
                <w:szCs w:val="18"/>
              </w:rPr>
            </w:pPr>
          </w:p>
        </w:tc>
      </w:tr>
      <w:tr w:rsidR="003A213A" w:rsidRPr="00A831E7" w14:paraId="015A6EDA" w14:textId="77777777" w:rsidTr="003A213A">
        <w:trPr>
          <w:trHeight w:val="63"/>
        </w:trPr>
        <w:tc>
          <w:tcPr>
            <w:tcW w:w="1170" w:type="dxa"/>
            <w:vMerge/>
            <w:tcBorders>
              <w:left w:val="single" w:sz="12" w:space="0" w:color="auto"/>
              <w:bottom w:val="single" w:sz="12" w:space="0" w:color="auto"/>
            </w:tcBorders>
          </w:tcPr>
          <w:p w14:paraId="79F5F2B4" w14:textId="77777777" w:rsidR="001B1A85" w:rsidRPr="00A831E7" w:rsidRDefault="001B1A85" w:rsidP="00470A5C">
            <w:pPr>
              <w:rPr>
                <w:sz w:val="18"/>
                <w:szCs w:val="18"/>
              </w:rPr>
            </w:pPr>
          </w:p>
        </w:tc>
        <w:tc>
          <w:tcPr>
            <w:tcW w:w="1620" w:type="dxa"/>
            <w:vMerge/>
            <w:tcBorders>
              <w:bottom w:val="single" w:sz="12" w:space="0" w:color="auto"/>
            </w:tcBorders>
          </w:tcPr>
          <w:p w14:paraId="6B6CD056" w14:textId="77777777" w:rsidR="001B1A85" w:rsidRPr="00A831E7" w:rsidRDefault="001B1A85" w:rsidP="00470A5C">
            <w:pPr>
              <w:jc w:val="center"/>
              <w:rPr>
                <w:sz w:val="18"/>
                <w:szCs w:val="18"/>
              </w:rPr>
            </w:pPr>
          </w:p>
        </w:tc>
        <w:tc>
          <w:tcPr>
            <w:tcW w:w="990" w:type="dxa"/>
            <w:vMerge/>
            <w:tcBorders>
              <w:bottom w:val="single" w:sz="12" w:space="0" w:color="auto"/>
            </w:tcBorders>
          </w:tcPr>
          <w:p w14:paraId="48815147" w14:textId="77777777" w:rsidR="001B1A85" w:rsidRPr="00A831E7" w:rsidRDefault="001B1A85" w:rsidP="00470A5C">
            <w:pPr>
              <w:jc w:val="center"/>
              <w:rPr>
                <w:sz w:val="18"/>
                <w:szCs w:val="18"/>
              </w:rPr>
            </w:pPr>
          </w:p>
        </w:tc>
        <w:tc>
          <w:tcPr>
            <w:tcW w:w="900" w:type="dxa"/>
            <w:tcBorders>
              <w:bottom w:val="single" w:sz="12" w:space="0" w:color="auto"/>
            </w:tcBorders>
          </w:tcPr>
          <w:p w14:paraId="2417E923" w14:textId="77777777" w:rsidR="001B1A85" w:rsidRPr="00A831E7" w:rsidRDefault="001B1A85" w:rsidP="00470A5C">
            <w:pPr>
              <w:rPr>
                <w:sz w:val="18"/>
                <w:szCs w:val="18"/>
              </w:rPr>
            </w:pPr>
            <w:r w:rsidRPr="00A831E7">
              <w:rPr>
                <w:sz w:val="18"/>
                <w:szCs w:val="18"/>
              </w:rPr>
              <w:t>SVM</w:t>
            </w:r>
          </w:p>
        </w:tc>
        <w:tc>
          <w:tcPr>
            <w:tcW w:w="900" w:type="dxa"/>
            <w:tcBorders>
              <w:bottom w:val="single" w:sz="12" w:space="0" w:color="auto"/>
            </w:tcBorders>
          </w:tcPr>
          <w:p w14:paraId="44579D1C" w14:textId="77777777" w:rsidR="001B1A85" w:rsidRPr="00A831E7" w:rsidRDefault="001B1A85" w:rsidP="00470A5C">
            <w:pPr>
              <w:jc w:val="center"/>
              <w:rPr>
                <w:sz w:val="18"/>
                <w:szCs w:val="18"/>
              </w:rPr>
            </w:pPr>
            <w:r w:rsidRPr="00A831E7">
              <w:rPr>
                <w:sz w:val="18"/>
                <w:szCs w:val="18"/>
              </w:rPr>
              <w:t>»</w:t>
            </w:r>
          </w:p>
        </w:tc>
        <w:tc>
          <w:tcPr>
            <w:tcW w:w="630" w:type="dxa"/>
            <w:tcBorders>
              <w:bottom w:val="single" w:sz="12" w:space="0" w:color="auto"/>
            </w:tcBorders>
          </w:tcPr>
          <w:p w14:paraId="70331A41" w14:textId="5B495E7E" w:rsidR="001B1A85" w:rsidRPr="00A831E7" w:rsidRDefault="001B1A85" w:rsidP="00470A5C">
            <w:pPr>
              <w:jc w:val="center"/>
              <w:rPr>
                <w:sz w:val="18"/>
                <w:szCs w:val="18"/>
              </w:rPr>
            </w:pPr>
            <w:r w:rsidRPr="00A831E7">
              <w:rPr>
                <w:sz w:val="18"/>
                <w:szCs w:val="18"/>
              </w:rPr>
              <w:t>0.94</w:t>
            </w:r>
            <w:r w:rsidR="00190D24" w:rsidRPr="00A831E7">
              <w:rPr>
                <w:sz w:val="18"/>
                <w:szCs w:val="18"/>
              </w:rPr>
              <w:t>1</w:t>
            </w:r>
          </w:p>
        </w:tc>
        <w:tc>
          <w:tcPr>
            <w:tcW w:w="720" w:type="dxa"/>
            <w:tcBorders>
              <w:bottom w:val="single" w:sz="12" w:space="0" w:color="auto"/>
            </w:tcBorders>
          </w:tcPr>
          <w:p w14:paraId="73831CB5" w14:textId="04A8D03D" w:rsidR="001B1A85" w:rsidRPr="00A831E7" w:rsidRDefault="001B1A85" w:rsidP="00470A5C">
            <w:pPr>
              <w:jc w:val="center"/>
              <w:rPr>
                <w:sz w:val="18"/>
                <w:szCs w:val="18"/>
              </w:rPr>
            </w:pPr>
            <w:r w:rsidRPr="00A831E7">
              <w:rPr>
                <w:sz w:val="18"/>
                <w:szCs w:val="18"/>
              </w:rPr>
              <w:t>0.9</w:t>
            </w:r>
            <w:r w:rsidR="00190D24" w:rsidRPr="00A831E7">
              <w:rPr>
                <w:sz w:val="18"/>
                <w:szCs w:val="18"/>
              </w:rPr>
              <w:t>29</w:t>
            </w:r>
          </w:p>
        </w:tc>
        <w:tc>
          <w:tcPr>
            <w:tcW w:w="720" w:type="dxa"/>
            <w:tcBorders>
              <w:bottom w:val="single" w:sz="12" w:space="0" w:color="auto"/>
            </w:tcBorders>
          </w:tcPr>
          <w:p w14:paraId="07F13794" w14:textId="43488818" w:rsidR="001B1A85" w:rsidRPr="00A831E7" w:rsidRDefault="001B1A85" w:rsidP="00470A5C">
            <w:pPr>
              <w:jc w:val="center"/>
              <w:rPr>
                <w:sz w:val="18"/>
                <w:szCs w:val="18"/>
              </w:rPr>
            </w:pPr>
            <w:r w:rsidRPr="00A831E7">
              <w:rPr>
                <w:sz w:val="18"/>
                <w:szCs w:val="18"/>
              </w:rPr>
              <w:t>0.80</w:t>
            </w:r>
            <w:r w:rsidR="00190D24" w:rsidRPr="00A831E7">
              <w:rPr>
                <w:sz w:val="18"/>
                <w:szCs w:val="18"/>
              </w:rPr>
              <w:t>0</w:t>
            </w:r>
          </w:p>
        </w:tc>
        <w:tc>
          <w:tcPr>
            <w:tcW w:w="720" w:type="dxa"/>
            <w:vMerge/>
            <w:tcBorders>
              <w:bottom w:val="single" w:sz="12" w:space="0" w:color="auto"/>
              <w:right w:val="single" w:sz="12" w:space="0" w:color="000000"/>
            </w:tcBorders>
          </w:tcPr>
          <w:p w14:paraId="4BEDEAED" w14:textId="77777777" w:rsidR="001B1A85" w:rsidRPr="00A831E7" w:rsidRDefault="001B1A85" w:rsidP="00470A5C">
            <w:pPr>
              <w:rPr>
                <w:sz w:val="18"/>
                <w:szCs w:val="18"/>
              </w:rPr>
            </w:pPr>
          </w:p>
        </w:tc>
      </w:tr>
      <w:tr w:rsidR="003A213A" w:rsidRPr="00A831E7" w14:paraId="4423DCF8" w14:textId="77777777" w:rsidTr="003A213A">
        <w:trPr>
          <w:trHeight w:val="1545"/>
        </w:trPr>
        <w:tc>
          <w:tcPr>
            <w:tcW w:w="1170" w:type="dxa"/>
            <w:tcBorders>
              <w:top w:val="single" w:sz="12" w:space="0" w:color="auto"/>
              <w:left w:val="single" w:sz="12" w:space="0" w:color="auto"/>
              <w:bottom w:val="single" w:sz="12" w:space="0" w:color="auto"/>
            </w:tcBorders>
          </w:tcPr>
          <w:p w14:paraId="055B5221" w14:textId="77777777" w:rsidR="001B1A85" w:rsidRPr="00730D74" w:rsidRDefault="001B1A85" w:rsidP="00470A5C">
            <w:pPr>
              <w:rPr>
                <w:sz w:val="16"/>
                <w:szCs w:val="16"/>
                <w:lang w:val="en-US"/>
              </w:rPr>
            </w:pPr>
            <w:r w:rsidRPr="00730D74">
              <w:rPr>
                <w:sz w:val="16"/>
                <w:szCs w:val="16"/>
                <w:lang w:val="en-US"/>
              </w:rPr>
              <w:lastRenderedPageBreak/>
              <w:t>Cell Counts:</w:t>
            </w:r>
            <w:r w:rsidRPr="00730D74">
              <w:rPr>
                <w:sz w:val="16"/>
                <w:szCs w:val="16"/>
                <w:lang w:val="en-US"/>
              </w:rPr>
              <w:br/>
              <w:t>Red blood cells,</w:t>
            </w:r>
          </w:p>
          <w:p w14:paraId="1B6A608F" w14:textId="77777777" w:rsidR="001B1A85" w:rsidRPr="00730D74" w:rsidRDefault="001B1A85" w:rsidP="00470A5C">
            <w:pPr>
              <w:rPr>
                <w:sz w:val="16"/>
                <w:szCs w:val="16"/>
                <w:lang w:val="en-US"/>
              </w:rPr>
            </w:pPr>
            <w:r w:rsidRPr="00730D74">
              <w:rPr>
                <w:sz w:val="16"/>
                <w:szCs w:val="16"/>
                <w:lang w:val="en-US"/>
              </w:rPr>
              <w:t>Platelets,</w:t>
            </w:r>
          </w:p>
          <w:p w14:paraId="5B06FF22" w14:textId="77777777" w:rsidR="001B1A85" w:rsidRPr="00730D74" w:rsidRDefault="001B1A85" w:rsidP="00470A5C">
            <w:pPr>
              <w:rPr>
                <w:sz w:val="16"/>
                <w:szCs w:val="16"/>
                <w:lang w:val="en-US"/>
              </w:rPr>
            </w:pPr>
            <w:r w:rsidRPr="00730D74">
              <w:rPr>
                <w:sz w:val="16"/>
                <w:szCs w:val="16"/>
                <w:lang w:val="en-US"/>
              </w:rPr>
              <w:t>neutrophils,</w:t>
            </w:r>
          </w:p>
          <w:p w14:paraId="3676AA35" w14:textId="77777777" w:rsidR="001B1A85" w:rsidRPr="00730D74" w:rsidRDefault="001B1A85" w:rsidP="00470A5C">
            <w:pPr>
              <w:rPr>
                <w:sz w:val="16"/>
                <w:szCs w:val="16"/>
                <w:lang w:val="en-US"/>
              </w:rPr>
            </w:pPr>
            <w:r w:rsidRPr="00730D74">
              <w:rPr>
                <w:sz w:val="16"/>
                <w:szCs w:val="16"/>
                <w:lang w:val="en-US"/>
              </w:rPr>
              <w:t>lymphocytes,</w:t>
            </w:r>
          </w:p>
          <w:p w14:paraId="016C962A" w14:textId="77777777" w:rsidR="001B1A85" w:rsidRPr="00730D74" w:rsidRDefault="001B1A85" w:rsidP="00470A5C">
            <w:pPr>
              <w:rPr>
                <w:sz w:val="16"/>
                <w:szCs w:val="16"/>
                <w:lang w:val="en-US"/>
              </w:rPr>
            </w:pPr>
            <w:r w:rsidRPr="00730D74">
              <w:rPr>
                <w:sz w:val="16"/>
                <w:szCs w:val="16"/>
                <w:lang w:val="en-US"/>
              </w:rPr>
              <w:t>monocytes, eosinophils, basophils</w:t>
            </w:r>
            <w:r w:rsidRPr="00730D74">
              <w:rPr>
                <w:sz w:val="16"/>
                <w:szCs w:val="16"/>
                <w:lang w:val="en-US"/>
              </w:rPr>
              <w:br/>
            </w:r>
          </w:p>
        </w:tc>
        <w:tc>
          <w:tcPr>
            <w:tcW w:w="1620" w:type="dxa"/>
            <w:tcBorders>
              <w:top w:val="single" w:sz="12" w:space="0" w:color="auto"/>
              <w:bottom w:val="single" w:sz="12" w:space="0" w:color="auto"/>
            </w:tcBorders>
          </w:tcPr>
          <w:p w14:paraId="3DC973BE" w14:textId="77777777" w:rsidR="001B1A85" w:rsidRDefault="001B1A85" w:rsidP="00470A5C">
            <w:pPr>
              <w:jc w:val="center"/>
              <w:rPr>
                <w:sz w:val="18"/>
                <w:szCs w:val="18"/>
                <w:lang w:val="en-US"/>
              </w:rPr>
            </w:pPr>
            <w:r w:rsidRPr="00730D74">
              <w:rPr>
                <w:sz w:val="18"/>
                <w:szCs w:val="18"/>
                <w:lang w:val="en-US"/>
              </w:rPr>
              <w:t>Circulating cell counts</w:t>
            </w:r>
            <w:r w:rsidRPr="00730D74">
              <w:rPr>
                <w:sz w:val="18"/>
                <w:szCs w:val="18"/>
                <w:lang w:val="en-US"/>
              </w:rPr>
              <w:br/>
              <w:t xml:space="preserve">-CBC + diff </w:t>
            </w:r>
            <w:r w:rsidRPr="00730D74">
              <w:rPr>
                <w:sz w:val="18"/>
                <w:szCs w:val="18"/>
                <w:lang w:val="en-US"/>
              </w:rPr>
              <w:br/>
              <w:t>-NLR</w:t>
            </w:r>
            <w:r w:rsidRPr="00730D74">
              <w:rPr>
                <w:sz w:val="18"/>
                <w:szCs w:val="18"/>
                <w:lang w:val="en-US"/>
              </w:rPr>
              <w:br/>
              <w:t>Models with 7 cell populations</w:t>
            </w:r>
          </w:p>
          <w:p w14:paraId="703EBB0D" w14:textId="77777777" w:rsidR="00387775" w:rsidRPr="00730D74" w:rsidRDefault="00387775" w:rsidP="00470A5C">
            <w:pPr>
              <w:jc w:val="center"/>
              <w:rPr>
                <w:sz w:val="18"/>
                <w:szCs w:val="18"/>
                <w:lang w:val="en-US"/>
              </w:rPr>
            </w:pPr>
          </w:p>
          <w:p w14:paraId="585408B8" w14:textId="31D236B2" w:rsidR="001F3E4A" w:rsidRPr="00387775" w:rsidRDefault="0069422A" w:rsidP="00470A5C">
            <w:pPr>
              <w:jc w:val="center"/>
              <w:rPr>
                <w:i/>
                <w:iCs/>
                <w:sz w:val="18"/>
                <w:szCs w:val="18"/>
                <w:lang w:val="en-US"/>
              </w:rPr>
            </w:pPr>
            <w:r w:rsidRPr="00387775">
              <w:rPr>
                <w:i/>
                <w:iCs/>
                <w:sz w:val="18"/>
                <w:szCs w:val="18"/>
                <w:lang w:val="en-US"/>
              </w:rPr>
              <w:t>Test set= 69</w:t>
            </w:r>
            <w:r w:rsidR="00387775">
              <w:rPr>
                <w:i/>
                <w:iCs/>
                <w:sz w:val="18"/>
                <w:szCs w:val="18"/>
                <w:lang w:val="en-US"/>
              </w:rPr>
              <w:t xml:space="preserve"> :</w:t>
            </w:r>
          </w:p>
          <w:p w14:paraId="746A197C" w14:textId="1322A233" w:rsidR="001B1A85" w:rsidRPr="0069422A" w:rsidRDefault="0069422A" w:rsidP="00470A5C">
            <w:pPr>
              <w:jc w:val="center"/>
              <w:rPr>
                <w:sz w:val="18"/>
                <w:szCs w:val="18"/>
                <w:lang w:val="en-US"/>
              </w:rPr>
            </w:pPr>
            <w:r w:rsidRPr="00387775">
              <w:rPr>
                <w:i/>
                <w:iCs/>
                <w:sz w:val="18"/>
                <w:szCs w:val="18"/>
                <w:lang w:val="en-US"/>
              </w:rPr>
              <w:t>SM=29, Stroke=40</w:t>
            </w:r>
          </w:p>
        </w:tc>
        <w:tc>
          <w:tcPr>
            <w:tcW w:w="990" w:type="dxa"/>
            <w:tcBorders>
              <w:top w:val="single" w:sz="12" w:space="0" w:color="auto"/>
              <w:bottom w:val="single" w:sz="12" w:space="0" w:color="auto"/>
            </w:tcBorders>
          </w:tcPr>
          <w:p w14:paraId="1C428A12" w14:textId="77777777" w:rsidR="00336BD8" w:rsidRPr="00336BD8" w:rsidRDefault="001B1A85" w:rsidP="00470A5C">
            <w:pPr>
              <w:jc w:val="center"/>
              <w:rPr>
                <w:sz w:val="18"/>
                <w:szCs w:val="18"/>
                <w:lang w:val="en-US"/>
              </w:rPr>
            </w:pPr>
            <w:r w:rsidRPr="00336BD8">
              <w:rPr>
                <w:sz w:val="18"/>
                <w:szCs w:val="18"/>
              </w:rPr>
              <w:t>&lt;24h</w:t>
            </w:r>
            <w:r w:rsidRPr="00336BD8">
              <w:rPr>
                <w:sz w:val="18"/>
                <w:szCs w:val="18"/>
              </w:rPr>
              <w:br/>
              <w:t>whole blood</w:t>
            </w:r>
          </w:p>
          <w:p w14:paraId="00232508" w14:textId="77777777" w:rsidR="00336BD8" w:rsidRDefault="00336BD8" w:rsidP="00470A5C">
            <w:pPr>
              <w:jc w:val="center"/>
              <w:rPr>
                <w:sz w:val="16"/>
                <w:szCs w:val="16"/>
                <w:lang w:val="en-US"/>
              </w:rPr>
            </w:pPr>
          </w:p>
          <w:p w14:paraId="2560B112" w14:textId="6AF41C44" w:rsidR="001B1A85" w:rsidRPr="00115381" w:rsidRDefault="001B1A85" w:rsidP="00470A5C">
            <w:pPr>
              <w:jc w:val="center"/>
              <w:rPr>
                <w:sz w:val="16"/>
                <w:szCs w:val="16"/>
                <w:lang w:val="en-US"/>
              </w:rPr>
            </w:pPr>
            <w:r w:rsidRPr="00A831E7">
              <w:rPr>
                <w:sz w:val="16"/>
                <w:szCs w:val="16"/>
              </w:rPr>
              <w:t>R</w:t>
            </w:r>
            <w:r w:rsidR="00115381">
              <w:rPr>
                <w:sz w:val="16"/>
                <w:szCs w:val="16"/>
                <w:lang w:val="en-US"/>
              </w:rPr>
              <w:t xml:space="preserve"> s/w</w:t>
            </w:r>
          </w:p>
        </w:tc>
        <w:tc>
          <w:tcPr>
            <w:tcW w:w="900" w:type="dxa"/>
            <w:tcBorders>
              <w:top w:val="single" w:sz="12" w:space="0" w:color="auto"/>
              <w:bottom w:val="single" w:sz="12" w:space="0" w:color="auto"/>
            </w:tcBorders>
          </w:tcPr>
          <w:p w14:paraId="0975BF4F" w14:textId="77777777" w:rsidR="001B1A85" w:rsidRPr="00A831E7" w:rsidRDefault="001B1A85" w:rsidP="00470A5C">
            <w:pPr>
              <w:jc w:val="center"/>
              <w:rPr>
                <w:sz w:val="18"/>
                <w:szCs w:val="18"/>
              </w:rPr>
            </w:pPr>
            <w:r w:rsidRPr="00A831E7">
              <w:rPr>
                <w:sz w:val="18"/>
                <w:szCs w:val="18"/>
              </w:rPr>
              <w:t>ANN</w:t>
            </w:r>
          </w:p>
        </w:tc>
        <w:tc>
          <w:tcPr>
            <w:tcW w:w="900" w:type="dxa"/>
            <w:tcBorders>
              <w:top w:val="single" w:sz="12" w:space="0" w:color="auto"/>
              <w:bottom w:val="single" w:sz="12" w:space="0" w:color="auto"/>
            </w:tcBorders>
          </w:tcPr>
          <w:p w14:paraId="0538DCEB" w14:textId="77777777" w:rsidR="001B1A85" w:rsidRPr="00A831E7" w:rsidRDefault="001B1A85" w:rsidP="00470A5C">
            <w:pPr>
              <w:jc w:val="center"/>
              <w:rPr>
                <w:sz w:val="18"/>
                <w:szCs w:val="18"/>
              </w:rPr>
            </w:pPr>
            <w:r w:rsidRPr="00A831E7">
              <w:rPr>
                <w:sz w:val="18"/>
                <w:szCs w:val="18"/>
              </w:rPr>
              <w:t>Stroke-SMs</w:t>
            </w:r>
          </w:p>
        </w:tc>
        <w:tc>
          <w:tcPr>
            <w:tcW w:w="630" w:type="dxa"/>
            <w:tcBorders>
              <w:top w:val="single" w:sz="12" w:space="0" w:color="auto"/>
              <w:bottom w:val="single" w:sz="12" w:space="0" w:color="auto"/>
            </w:tcBorders>
          </w:tcPr>
          <w:p w14:paraId="717FE515" w14:textId="16E1D1E9" w:rsidR="001B1A85" w:rsidRPr="00A831E7" w:rsidRDefault="001B1A85" w:rsidP="00470A5C">
            <w:pPr>
              <w:jc w:val="center"/>
              <w:rPr>
                <w:sz w:val="18"/>
                <w:szCs w:val="18"/>
              </w:rPr>
            </w:pPr>
            <w:r w:rsidRPr="00A831E7">
              <w:rPr>
                <w:sz w:val="18"/>
                <w:szCs w:val="18"/>
              </w:rPr>
              <w:t>0.78</w:t>
            </w:r>
            <w:r w:rsidR="00EA725E" w:rsidRPr="00A831E7">
              <w:rPr>
                <w:sz w:val="18"/>
                <w:szCs w:val="18"/>
              </w:rPr>
              <w:t>0</w:t>
            </w:r>
          </w:p>
        </w:tc>
        <w:tc>
          <w:tcPr>
            <w:tcW w:w="720" w:type="dxa"/>
            <w:tcBorders>
              <w:top w:val="single" w:sz="12" w:space="0" w:color="auto"/>
              <w:bottom w:val="single" w:sz="12" w:space="0" w:color="auto"/>
            </w:tcBorders>
          </w:tcPr>
          <w:p w14:paraId="52843BEE" w14:textId="43779D2C" w:rsidR="001B1A85" w:rsidRPr="00A831E7" w:rsidRDefault="001B1A85" w:rsidP="00470A5C">
            <w:pPr>
              <w:jc w:val="center"/>
              <w:rPr>
                <w:sz w:val="18"/>
                <w:szCs w:val="18"/>
              </w:rPr>
            </w:pPr>
            <w:r w:rsidRPr="00A831E7">
              <w:rPr>
                <w:sz w:val="18"/>
                <w:szCs w:val="18"/>
              </w:rPr>
              <w:t>0.57</w:t>
            </w:r>
            <w:r w:rsidR="00C166C4" w:rsidRPr="00A831E7">
              <w:rPr>
                <w:sz w:val="18"/>
                <w:szCs w:val="18"/>
              </w:rPr>
              <w:t>5</w:t>
            </w:r>
          </w:p>
        </w:tc>
        <w:tc>
          <w:tcPr>
            <w:tcW w:w="720" w:type="dxa"/>
            <w:tcBorders>
              <w:top w:val="single" w:sz="12" w:space="0" w:color="auto"/>
              <w:bottom w:val="single" w:sz="12" w:space="0" w:color="auto"/>
            </w:tcBorders>
          </w:tcPr>
          <w:p w14:paraId="35FC097B" w14:textId="617E80B2" w:rsidR="001B1A85" w:rsidRPr="00A831E7" w:rsidRDefault="001B1A85" w:rsidP="00470A5C">
            <w:pPr>
              <w:jc w:val="center"/>
              <w:rPr>
                <w:sz w:val="18"/>
                <w:szCs w:val="18"/>
              </w:rPr>
            </w:pPr>
            <w:r w:rsidRPr="00A831E7">
              <w:rPr>
                <w:sz w:val="18"/>
                <w:szCs w:val="18"/>
              </w:rPr>
              <w:t>0.</w:t>
            </w:r>
            <w:r w:rsidR="00C166C4" w:rsidRPr="00A831E7">
              <w:rPr>
                <w:sz w:val="18"/>
                <w:szCs w:val="18"/>
              </w:rPr>
              <w:t>897</w:t>
            </w:r>
          </w:p>
        </w:tc>
        <w:tc>
          <w:tcPr>
            <w:tcW w:w="720" w:type="dxa"/>
            <w:tcBorders>
              <w:top w:val="single" w:sz="12" w:space="0" w:color="auto"/>
              <w:bottom w:val="single" w:sz="12" w:space="0" w:color="auto"/>
              <w:right w:val="single" w:sz="12" w:space="0" w:color="000000"/>
            </w:tcBorders>
          </w:tcPr>
          <w:p w14:paraId="21047C5E" w14:textId="2464B3A9" w:rsidR="001B1A85" w:rsidRPr="00A831E7" w:rsidRDefault="00A9201D" w:rsidP="00470A5C">
            <w:pPr>
              <w:rPr>
                <w:sz w:val="18"/>
                <w:szCs w:val="18"/>
              </w:rPr>
            </w:pPr>
            <w:r w:rsidRPr="00A831E7">
              <w:rPr>
                <w:sz w:val="18"/>
                <w:szCs w:val="18"/>
              </w:rPr>
              <w:fldChar w:fldCharType="begin"/>
            </w:r>
            <w:r w:rsidR="00B22777" w:rsidRPr="00A831E7">
              <w:rPr>
                <w:sz w:val="18"/>
                <w:szCs w:val="18"/>
              </w:rPr>
              <w:instrText xml:space="preserve"> ADDIN ZOTERO_ITEM CSL_CITATION {"citationID":"HnAQVRoK","properties":{"formattedCitation":"[81]","plainCitation":"[81]","noteIndex":0},"citationItems":[{"id":119,"uris":["http://zotero.org/users/local/mfHf28QG/items/FJTDNHQJ"],"itemData":{"id":119,"type":"article-journal","abstract":"The development of tools that could help emergency department clinicians recognize stroke during triage could reduce treatment delays and improve patient outcomes. Growing evidence suggests that stroke is associated with several changes in ...","container-title":"BMC Neurology","DOI":"10.1186/s12883-022-02726-x","language":"en","note":"PMID: 35659609","page":"206","source":"pmc.ncbi.nlm.nih.gov","title":"Use of deep artificial neural networks to identify stroke during triage via subtle changes in circulating cell counts","volume":"22","author":[{"family":"O’Connell","given":"Grant C."},{"family":"Walsh","given":"Kyle B."},{"family":"Smothers","given":"Christine G."},{"family":"Ruksakulpiwat","given":"Suebsarn"},{"family":"Armentrout","given":"Bethany L."},{"family":"Winkelman","given":"Chris"},{"family":"Milling","given":"Truman J."},{"family":"Warach","given":"Steven J."},{"family":"Barr","given":"Taura L."}],"issued":{"date-parts":[["2022",6,3]]}}}],"schema":"https://github.com/citation-style-language/schema/raw/master/csl-citation.json"} </w:instrText>
            </w:r>
            <w:r w:rsidRPr="00A831E7">
              <w:rPr>
                <w:sz w:val="18"/>
                <w:szCs w:val="18"/>
              </w:rPr>
              <w:fldChar w:fldCharType="separate"/>
            </w:r>
            <w:r w:rsidR="00B22777" w:rsidRPr="00A831E7">
              <w:rPr>
                <w:sz w:val="18"/>
              </w:rPr>
              <w:t>[81]</w:t>
            </w:r>
            <w:r w:rsidRPr="00A831E7">
              <w:rPr>
                <w:sz w:val="18"/>
                <w:szCs w:val="18"/>
              </w:rPr>
              <w:fldChar w:fldCharType="end"/>
            </w:r>
          </w:p>
        </w:tc>
      </w:tr>
      <w:tr w:rsidR="003A213A" w:rsidRPr="00D17951" w14:paraId="675B91F5" w14:textId="77777777" w:rsidTr="003A213A">
        <w:trPr>
          <w:trHeight w:val="474"/>
        </w:trPr>
        <w:tc>
          <w:tcPr>
            <w:tcW w:w="1170" w:type="dxa"/>
            <w:vMerge w:val="restart"/>
            <w:tcBorders>
              <w:top w:val="single" w:sz="12" w:space="0" w:color="auto"/>
              <w:left w:val="single" w:sz="12" w:space="0" w:color="auto"/>
            </w:tcBorders>
          </w:tcPr>
          <w:p w14:paraId="2EE0E020" w14:textId="77777777" w:rsidR="001B1A85" w:rsidRPr="00A831E7" w:rsidRDefault="001B1A85" w:rsidP="00470A5C">
            <w:pPr>
              <w:rPr>
                <w:sz w:val="16"/>
                <w:szCs w:val="16"/>
              </w:rPr>
            </w:pPr>
            <w:r w:rsidRPr="00A831E7">
              <w:rPr>
                <w:sz w:val="18"/>
                <w:szCs w:val="18"/>
              </w:rPr>
              <w:t>FCER1G</w:t>
            </w:r>
          </w:p>
        </w:tc>
        <w:tc>
          <w:tcPr>
            <w:tcW w:w="1620" w:type="dxa"/>
            <w:vMerge w:val="restart"/>
            <w:tcBorders>
              <w:top w:val="single" w:sz="12" w:space="0" w:color="auto"/>
            </w:tcBorders>
          </w:tcPr>
          <w:p w14:paraId="1A817963" w14:textId="77777777" w:rsidR="00387775" w:rsidRDefault="001B1A85" w:rsidP="00470A5C">
            <w:pPr>
              <w:jc w:val="center"/>
              <w:rPr>
                <w:sz w:val="18"/>
                <w:szCs w:val="18"/>
                <w:lang w:val="en-US"/>
              </w:rPr>
            </w:pPr>
            <w:r w:rsidRPr="00730D74">
              <w:rPr>
                <w:sz w:val="18"/>
                <w:szCs w:val="18"/>
                <w:lang w:val="en-US"/>
              </w:rPr>
              <w:t xml:space="preserve">Blood derived biomarker associated with CE recurrence. </w:t>
            </w:r>
          </w:p>
          <w:p w14:paraId="0402F0CA" w14:textId="2FE04410" w:rsidR="001B1A85" w:rsidRPr="00730D74" w:rsidRDefault="001B1A85" w:rsidP="00470A5C">
            <w:pPr>
              <w:jc w:val="center"/>
              <w:rPr>
                <w:sz w:val="18"/>
                <w:szCs w:val="18"/>
                <w:lang w:val="en-US"/>
              </w:rPr>
            </w:pPr>
            <w:r w:rsidRPr="00730D74">
              <w:rPr>
                <w:sz w:val="18"/>
                <w:szCs w:val="18"/>
                <w:lang w:val="en-US"/>
              </w:rPr>
              <w:br/>
              <w:t>(</w:t>
            </w:r>
            <w:hyperlink r:id="rId24" w:history="1">
              <w:r w:rsidRPr="00730D74">
                <w:rPr>
                  <w:rStyle w:val="-"/>
                  <w:b/>
                  <w:bCs/>
                  <w:sz w:val="18"/>
                  <w:szCs w:val="18"/>
                  <w:lang w:val="en-US"/>
                </w:rPr>
                <w:t>GSE58294</w:t>
              </w:r>
            </w:hyperlink>
            <w:r w:rsidRPr="00730D74">
              <w:rPr>
                <w:sz w:val="18"/>
                <w:szCs w:val="18"/>
                <w:lang w:val="en-US"/>
              </w:rPr>
              <w:t>)</w:t>
            </w:r>
            <w:r w:rsidRPr="00730D74">
              <w:rPr>
                <w:sz w:val="18"/>
                <w:szCs w:val="18"/>
                <w:lang w:val="en-US"/>
              </w:rPr>
              <w:br/>
              <w:t>&amp;</w:t>
            </w:r>
            <w:r w:rsidRPr="00730D74">
              <w:rPr>
                <w:sz w:val="18"/>
                <w:szCs w:val="18"/>
                <w:lang w:val="en-US"/>
              </w:rPr>
              <w:br/>
            </w:r>
            <w:r w:rsidRPr="00387775">
              <w:rPr>
                <w:i/>
                <w:iCs/>
                <w:sz w:val="18"/>
                <w:szCs w:val="18"/>
                <w:lang w:val="en-US"/>
              </w:rPr>
              <w:t>validation cohort</w:t>
            </w:r>
            <w:r w:rsidRPr="00387775">
              <w:rPr>
                <w:i/>
                <w:iCs/>
                <w:sz w:val="18"/>
                <w:szCs w:val="18"/>
                <w:lang w:val="en-US"/>
              </w:rPr>
              <w:br/>
            </w:r>
            <w:r w:rsidRPr="00387775">
              <w:rPr>
                <w:i/>
                <w:iCs/>
                <w:sz w:val="16"/>
                <w:szCs w:val="16"/>
                <w:lang w:val="en-US"/>
              </w:rPr>
              <w:t xml:space="preserve">[qRT-PCR </w:t>
            </w:r>
            <w:r w:rsidR="003D1962" w:rsidRPr="00387775">
              <w:rPr>
                <w:i/>
                <w:iCs/>
                <w:sz w:val="16"/>
                <w:szCs w:val="16"/>
              </w:rPr>
              <w:t xml:space="preserve">σε 98 </w:t>
            </w:r>
            <w:r w:rsidR="00387775" w:rsidRPr="00387775">
              <w:rPr>
                <w:i/>
                <w:iCs/>
                <w:sz w:val="16"/>
                <w:szCs w:val="16"/>
              </w:rPr>
              <w:t>δείγματα</w:t>
            </w:r>
            <w:r w:rsidRPr="00387775">
              <w:rPr>
                <w:i/>
                <w:iCs/>
                <w:sz w:val="16"/>
                <w:szCs w:val="16"/>
                <w:lang w:val="en-US"/>
              </w:rPr>
              <w:t>]</w:t>
            </w:r>
          </w:p>
        </w:tc>
        <w:tc>
          <w:tcPr>
            <w:tcW w:w="990" w:type="dxa"/>
            <w:vMerge w:val="restart"/>
            <w:tcBorders>
              <w:top w:val="single" w:sz="12" w:space="0" w:color="auto"/>
            </w:tcBorders>
          </w:tcPr>
          <w:p w14:paraId="16B3FAFE" w14:textId="77777777" w:rsidR="00336BD8" w:rsidRDefault="001B1A85" w:rsidP="00470A5C">
            <w:pPr>
              <w:jc w:val="center"/>
              <w:rPr>
                <w:sz w:val="16"/>
                <w:szCs w:val="16"/>
                <w:lang w:val="en-US"/>
              </w:rPr>
            </w:pPr>
            <w:r w:rsidRPr="00730D74">
              <w:rPr>
                <w:sz w:val="16"/>
                <w:szCs w:val="16"/>
                <w:lang w:val="en-US"/>
              </w:rPr>
              <w:t>&lt;3h,&lt;5h,</w:t>
            </w:r>
            <w:r w:rsidRPr="00730D74">
              <w:rPr>
                <w:sz w:val="16"/>
                <w:szCs w:val="16"/>
                <w:lang w:val="en-US"/>
              </w:rPr>
              <w:br/>
              <w:t>&lt;24h</w:t>
            </w:r>
            <w:r w:rsidRPr="00730D74">
              <w:rPr>
                <w:sz w:val="16"/>
                <w:szCs w:val="16"/>
                <w:lang w:val="en-US"/>
              </w:rPr>
              <w:br/>
            </w:r>
            <w:r w:rsidRPr="00336BD8">
              <w:rPr>
                <w:sz w:val="18"/>
                <w:szCs w:val="18"/>
                <w:lang w:val="en-US"/>
              </w:rPr>
              <w:t>whole blood</w:t>
            </w:r>
          </w:p>
          <w:p w14:paraId="3D87C2C5" w14:textId="77777777" w:rsidR="00336BD8" w:rsidRDefault="001B1A85" w:rsidP="00470A5C">
            <w:pPr>
              <w:jc w:val="center"/>
              <w:rPr>
                <w:sz w:val="16"/>
                <w:szCs w:val="16"/>
                <w:lang w:val="en-US"/>
              </w:rPr>
            </w:pPr>
            <w:r w:rsidRPr="00730D74">
              <w:rPr>
                <w:sz w:val="16"/>
                <w:szCs w:val="16"/>
                <w:lang w:val="en-US"/>
              </w:rPr>
              <w:t xml:space="preserve"> WGCNA/</w:t>
            </w:r>
          </w:p>
          <w:p w14:paraId="3A1B887C" w14:textId="26EAAE20" w:rsidR="001B1A85" w:rsidRPr="007924A5" w:rsidRDefault="001B1A85" w:rsidP="00336BD8">
            <w:pPr>
              <w:jc w:val="center"/>
              <w:rPr>
                <w:sz w:val="16"/>
                <w:szCs w:val="16"/>
                <w:lang w:val="en-US"/>
              </w:rPr>
            </w:pPr>
            <w:r w:rsidRPr="00A831E7">
              <w:rPr>
                <w:sz w:val="16"/>
                <w:szCs w:val="16"/>
              </w:rPr>
              <w:t>Limma/</w:t>
            </w:r>
          </w:p>
          <w:p w14:paraId="4D4FD709" w14:textId="77777777" w:rsidR="001B1A85" w:rsidRPr="00A831E7" w:rsidRDefault="001B1A85" w:rsidP="00470A5C">
            <w:pPr>
              <w:jc w:val="center"/>
              <w:rPr>
                <w:sz w:val="16"/>
                <w:szCs w:val="16"/>
              </w:rPr>
            </w:pPr>
            <w:r w:rsidRPr="00A831E7">
              <w:rPr>
                <w:sz w:val="16"/>
                <w:szCs w:val="16"/>
              </w:rPr>
              <w:t>qRT-PCR/</w:t>
            </w:r>
          </w:p>
          <w:p w14:paraId="65458295" w14:textId="77777777" w:rsidR="001B1A85" w:rsidRDefault="001B1A85" w:rsidP="00470A5C">
            <w:pPr>
              <w:jc w:val="center"/>
              <w:rPr>
                <w:sz w:val="16"/>
                <w:szCs w:val="16"/>
              </w:rPr>
            </w:pPr>
            <w:r w:rsidRPr="00A831E7">
              <w:rPr>
                <w:sz w:val="16"/>
                <w:szCs w:val="16"/>
              </w:rPr>
              <w:t>CIBER</w:t>
            </w:r>
            <w:r w:rsidR="00115381">
              <w:rPr>
                <w:sz w:val="16"/>
                <w:szCs w:val="16"/>
              </w:rPr>
              <w:t>-</w:t>
            </w:r>
            <w:r w:rsidRPr="00A831E7">
              <w:rPr>
                <w:sz w:val="16"/>
                <w:szCs w:val="16"/>
              </w:rPr>
              <w:t>SORT</w:t>
            </w:r>
            <w:r w:rsidR="00115381">
              <w:rPr>
                <w:sz w:val="16"/>
                <w:szCs w:val="16"/>
              </w:rPr>
              <w:t>/</w:t>
            </w:r>
          </w:p>
          <w:p w14:paraId="0AF953E2" w14:textId="77E648E0" w:rsidR="00115381" w:rsidRPr="00115381" w:rsidRDefault="00115381" w:rsidP="00470A5C">
            <w:pPr>
              <w:jc w:val="center"/>
              <w:rPr>
                <w:sz w:val="16"/>
                <w:szCs w:val="16"/>
                <w:lang w:val="en-US"/>
              </w:rPr>
            </w:pPr>
            <w:r>
              <w:rPr>
                <w:sz w:val="16"/>
                <w:szCs w:val="16"/>
                <w:lang w:val="en-US"/>
              </w:rPr>
              <w:t>R</w:t>
            </w:r>
          </w:p>
        </w:tc>
        <w:tc>
          <w:tcPr>
            <w:tcW w:w="900" w:type="dxa"/>
            <w:vMerge w:val="restart"/>
            <w:tcBorders>
              <w:top w:val="single" w:sz="12" w:space="0" w:color="auto"/>
            </w:tcBorders>
          </w:tcPr>
          <w:p w14:paraId="1A13AFE3" w14:textId="77777777" w:rsidR="001B1A85" w:rsidRPr="00A831E7" w:rsidRDefault="001B1A85" w:rsidP="00470A5C">
            <w:pPr>
              <w:jc w:val="center"/>
              <w:rPr>
                <w:sz w:val="18"/>
                <w:szCs w:val="18"/>
              </w:rPr>
            </w:pPr>
            <w:r w:rsidRPr="00A831E7">
              <w:rPr>
                <w:sz w:val="18"/>
                <w:szCs w:val="18"/>
              </w:rPr>
              <w:t>LASSO,</w:t>
            </w:r>
          </w:p>
          <w:p w14:paraId="004F6672" w14:textId="77777777" w:rsidR="001B1A85" w:rsidRPr="00A831E7" w:rsidRDefault="001B1A85" w:rsidP="00470A5C">
            <w:pPr>
              <w:jc w:val="center"/>
              <w:rPr>
                <w:sz w:val="18"/>
                <w:szCs w:val="18"/>
              </w:rPr>
            </w:pPr>
            <w:r w:rsidRPr="00A831E7">
              <w:rPr>
                <w:sz w:val="18"/>
                <w:szCs w:val="18"/>
              </w:rPr>
              <w:t>RF</w:t>
            </w:r>
            <w:r w:rsidRPr="00A831E7">
              <w:rPr>
                <w:sz w:val="18"/>
                <w:szCs w:val="18"/>
              </w:rPr>
              <w:br/>
            </w:r>
            <w:r w:rsidRPr="00A831E7">
              <w:rPr>
                <w:sz w:val="12"/>
                <w:szCs w:val="12"/>
              </w:rPr>
              <w:t>(identification only)</w:t>
            </w:r>
          </w:p>
        </w:tc>
        <w:tc>
          <w:tcPr>
            <w:tcW w:w="900" w:type="dxa"/>
            <w:tcBorders>
              <w:top w:val="single" w:sz="12" w:space="0" w:color="auto"/>
              <w:bottom w:val="single" w:sz="4" w:space="0" w:color="auto"/>
            </w:tcBorders>
          </w:tcPr>
          <w:p w14:paraId="0119C1C4" w14:textId="77777777" w:rsidR="001B1A85" w:rsidRPr="00A831E7" w:rsidRDefault="001B1A85" w:rsidP="00470A5C">
            <w:pPr>
              <w:jc w:val="center"/>
              <w:rPr>
                <w:sz w:val="18"/>
                <w:szCs w:val="18"/>
              </w:rPr>
            </w:pPr>
            <w:r w:rsidRPr="00A831E7">
              <w:rPr>
                <w:sz w:val="18"/>
                <w:szCs w:val="18"/>
              </w:rPr>
              <w:t>CE (IS)-NC</w:t>
            </w:r>
          </w:p>
        </w:tc>
        <w:tc>
          <w:tcPr>
            <w:tcW w:w="630" w:type="dxa"/>
            <w:tcBorders>
              <w:top w:val="single" w:sz="12" w:space="0" w:color="auto"/>
              <w:bottom w:val="single" w:sz="4" w:space="0" w:color="auto"/>
            </w:tcBorders>
          </w:tcPr>
          <w:p w14:paraId="542B1EF8" w14:textId="3AB80B40" w:rsidR="001B1A85" w:rsidRPr="00A831E7" w:rsidRDefault="001B1A85" w:rsidP="00470A5C">
            <w:pPr>
              <w:jc w:val="center"/>
              <w:rPr>
                <w:sz w:val="18"/>
                <w:szCs w:val="18"/>
              </w:rPr>
            </w:pPr>
            <w:r w:rsidRPr="00A831E7">
              <w:rPr>
                <w:sz w:val="18"/>
                <w:szCs w:val="18"/>
              </w:rPr>
              <w:t>0.94</w:t>
            </w:r>
            <w:r w:rsidR="00E34A72" w:rsidRPr="00A831E7">
              <w:rPr>
                <w:sz w:val="18"/>
                <w:szCs w:val="18"/>
              </w:rPr>
              <w:t>3</w:t>
            </w:r>
          </w:p>
        </w:tc>
        <w:tc>
          <w:tcPr>
            <w:tcW w:w="720" w:type="dxa"/>
            <w:tcBorders>
              <w:top w:val="single" w:sz="12" w:space="0" w:color="auto"/>
              <w:bottom w:val="single" w:sz="4" w:space="0" w:color="auto"/>
            </w:tcBorders>
            <w:shd w:val="clear" w:color="auto" w:fill="auto"/>
          </w:tcPr>
          <w:p w14:paraId="15500319" w14:textId="77777777" w:rsidR="001B1A85" w:rsidRPr="00A831E7" w:rsidRDefault="001B1A85" w:rsidP="00470A5C">
            <w:pPr>
              <w:jc w:val="center"/>
              <w:rPr>
                <w:sz w:val="18"/>
                <w:szCs w:val="18"/>
              </w:rPr>
            </w:pPr>
            <w:r w:rsidRPr="00A831E7">
              <w:rPr>
                <w:sz w:val="18"/>
                <w:szCs w:val="18"/>
              </w:rPr>
              <w:t>-</w:t>
            </w:r>
          </w:p>
        </w:tc>
        <w:tc>
          <w:tcPr>
            <w:tcW w:w="720" w:type="dxa"/>
            <w:tcBorders>
              <w:top w:val="single" w:sz="12" w:space="0" w:color="auto"/>
              <w:bottom w:val="single" w:sz="4" w:space="0" w:color="auto"/>
            </w:tcBorders>
            <w:shd w:val="clear" w:color="auto" w:fill="auto"/>
          </w:tcPr>
          <w:p w14:paraId="39939D90" w14:textId="77777777" w:rsidR="001B1A85" w:rsidRPr="00A831E7" w:rsidRDefault="001B1A85" w:rsidP="00470A5C">
            <w:pPr>
              <w:jc w:val="center"/>
              <w:rPr>
                <w:sz w:val="18"/>
                <w:szCs w:val="18"/>
              </w:rPr>
            </w:pPr>
            <w:r w:rsidRPr="00A831E7">
              <w:rPr>
                <w:sz w:val="18"/>
                <w:szCs w:val="18"/>
              </w:rPr>
              <w:t>-</w:t>
            </w:r>
          </w:p>
        </w:tc>
        <w:tc>
          <w:tcPr>
            <w:tcW w:w="720" w:type="dxa"/>
            <w:vMerge w:val="restart"/>
            <w:tcBorders>
              <w:top w:val="single" w:sz="12" w:space="0" w:color="auto"/>
              <w:right w:val="single" w:sz="12" w:space="0" w:color="000000"/>
            </w:tcBorders>
          </w:tcPr>
          <w:p w14:paraId="6F108217" w14:textId="39163FAE" w:rsidR="001B1A85" w:rsidRPr="006502FB" w:rsidRDefault="00A9201D" w:rsidP="00470A5C">
            <w:pPr>
              <w:rPr>
                <w:sz w:val="18"/>
                <w:szCs w:val="18"/>
                <w:lang w:val="en-US"/>
              </w:rPr>
            </w:pPr>
            <w:r w:rsidRPr="00A831E7">
              <w:rPr>
                <w:sz w:val="18"/>
                <w:szCs w:val="18"/>
              </w:rPr>
              <w:fldChar w:fldCharType="begin"/>
            </w:r>
            <w:r w:rsidR="00B22777" w:rsidRPr="00A831E7">
              <w:rPr>
                <w:sz w:val="18"/>
                <w:szCs w:val="18"/>
              </w:rPr>
              <w:instrText xml:space="preserve"> ADDIN ZOTERO_ITEM CSL_CITATION {"citationID":"3RhgSqiU","properties":{"formattedCitation":"[82]","plainCitation":"[82]","noteIndex":0},"citationItems":[{"id":845,"uris":["http://zotero.org/users/local/mfHf28QG/items/9FDH463P"],"itemData":{"id":845,"type":"article-journal","abstract":"Background\nCardioembolic stroke (CE) exhibits the highest recurrence rate and mortality rate among all subtypes of cerebral ischemic stroke (CIS), yet its pathogenesis remains uncertain. The immune system plays a pivotal role in the progression of CE. Growing evidence indicates that several immune-associated blood biomarkers may inform the causes of stroke. The study aimed to identify new immune-associated blood biomarkers in patients with CE and create an online predictive tool in distinguishing CE from noncardioembolic stroke (non-CE) in CIS.\nMethods\nGene expression profiles that were publicly available were obtained from the Gene Expression Omnibus (GEO). The identification of differentially expressed genes (DEGs) was conducted using the Limma package. The hub module and hub genes were identified through the application of weighted gene coexpression network analysis (WGCNA). In order to identify potential diagnostic biomarkers for CE, both the random forest (RF) model and least absolute shrinkage and selection operator (LASSO) regression analysis were employed. Concurrently, the CIBERSORT algorithm was employed to evaluate the infiltration of immune cells in CE samples and examine the correlation between the biomarkers and the infiltrating immune cells. The diagnostic gene expression in blood samples was confirmed using qRT-PCR in a self-constructed dataset. Univariate and multiple logistic regression analyses were used to identify the risk factors for CE. Subsequently, the mathematical model of the nomogram was employed via Java's \"Spring Boot\" framework to develop the corresponding online tool, which was then deployed on a cloud server utilizing \"nginx\".\nResults\nEleven differentially expressed genes (DEGs) that were upregulated and seven DEGs that were downregulated were identified. Through bioinformatics analysis and clinical sample verification, it was discovered that Fc Fragment of IgE Receptor Ig (FCER1G) could serve as a novel potential blood biomarker for CE. FCER1G, along with other risk factors associated with CE, were utilized to develop a nomogram. The training and validation sets, which consisted of 65 CIS patients, yielded areas under the curve (AUCs) of 0.9722 and</w:instrText>
            </w:r>
            <w:r w:rsidR="00B22777" w:rsidRPr="006502FB">
              <w:rPr>
                <w:sz w:val="18"/>
                <w:szCs w:val="18"/>
                <w:lang w:val="en-US"/>
              </w:rPr>
              <w:instrText xml:space="preserve"> 0.9689, respectively. These results indicate a high level of precision in risk delineation by the nomogram. Furthermore, the associated online predictive platform has the potential to serve as a more efficacious and appropriate predictive instrument (https://www.origingenetic.com/CardiogenicStroke-FCER1G) for distinguishing between CE and non-CE.\nConclusion\nBlood biomarker FCER1G has the potential to identify patients who are at a higher risk of cardioembolism and direct the search for occult AF.The utilization of this online tool is anticipated to yield significant implications in terms of distinguishing between CE and non-CE, as well as enhancing the optimization of treatment decision support.","container-title":"Heliyon","DOI":"10.1016/j.heliyon.2024.e33846","ISSN":"2405-8440","issue":"13","journalAbbreviation":"Heliyon","page":"e33846","source":"ScienceDirect","title":"FCER1G as a novel immune-associated blood biomarker in cardiogenic stroke","volume":"10","author":[{"family":"Hu","given":"Yuanzheng"},{"family":"Li","given":"Xiangxin"},{"family":"Hou","given":"Kaiqi"},{"family":"Zhang","given":"Shoudu"},{"family":"Zhong","given":"Siyi"},{"family":"Ding","given":"Qian"},{"family":"Xi","given":"Wuyang"},{"family":"Wang","given":"Zongqing"},{"family":"Xing","given":"Juan"},{"family":"Bai","given":"Fanghui"},{"family":"Xu","given":"Qian"}],"issued":{"date-parts":[["2024",7,15]]}}}],"schema":"https://github.com/citation-style-language/schema/raw/master/csl-citation.json"} </w:instrText>
            </w:r>
            <w:r w:rsidRPr="00A831E7">
              <w:rPr>
                <w:sz w:val="18"/>
                <w:szCs w:val="18"/>
              </w:rPr>
              <w:fldChar w:fldCharType="separate"/>
            </w:r>
            <w:r w:rsidR="00B22777" w:rsidRPr="006502FB">
              <w:rPr>
                <w:sz w:val="18"/>
                <w:lang w:val="en-US"/>
              </w:rPr>
              <w:t>[82]</w:t>
            </w:r>
            <w:r w:rsidRPr="00A831E7">
              <w:rPr>
                <w:sz w:val="18"/>
                <w:szCs w:val="18"/>
              </w:rPr>
              <w:fldChar w:fldCharType="end"/>
            </w:r>
          </w:p>
        </w:tc>
      </w:tr>
      <w:tr w:rsidR="003A213A" w:rsidRPr="00D17951" w14:paraId="1E5D38AE" w14:textId="77777777" w:rsidTr="003A213A">
        <w:trPr>
          <w:trHeight w:val="63"/>
        </w:trPr>
        <w:tc>
          <w:tcPr>
            <w:tcW w:w="1170" w:type="dxa"/>
            <w:vMerge/>
            <w:tcBorders>
              <w:left w:val="single" w:sz="12" w:space="0" w:color="auto"/>
            </w:tcBorders>
          </w:tcPr>
          <w:p w14:paraId="3EFB4988" w14:textId="77777777" w:rsidR="001B1A85" w:rsidRPr="006502FB" w:rsidRDefault="001B1A85" w:rsidP="00470A5C">
            <w:pPr>
              <w:rPr>
                <w:sz w:val="18"/>
                <w:szCs w:val="18"/>
                <w:lang w:val="en-US"/>
              </w:rPr>
            </w:pPr>
          </w:p>
        </w:tc>
        <w:tc>
          <w:tcPr>
            <w:tcW w:w="1620" w:type="dxa"/>
            <w:vMerge/>
          </w:tcPr>
          <w:p w14:paraId="4940C4F7" w14:textId="77777777" w:rsidR="001B1A85" w:rsidRPr="006502FB" w:rsidRDefault="001B1A85" w:rsidP="00470A5C">
            <w:pPr>
              <w:jc w:val="center"/>
              <w:rPr>
                <w:sz w:val="18"/>
                <w:szCs w:val="18"/>
                <w:lang w:val="en-US"/>
              </w:rPr>
            </w:pPr>
          </w:p>
        </w:tc>
        <w:tc>
          <w:tcPr>
            <w:tcW w:w="990" w:type="dxa"/>
            <w:vMerge/>
          </w:tcPr>
          <w:p w14:paraId="54D11A69" w14:textId="77777777" w:rsidR="001B1A85" w:rsidRPr="006502FB" w:rsidRDefault="001B1A85" w:rsidP="00470A5C">
            <w:pPr>
              <w:jc w:val="center"/>
              <w:rPr>
                <w:sz w:val="18"/>
                <w:szCs w:val="18"/>
                <w:lang w:val="en-US"/>
              </w:rPr>
            </w:pPr>
          </w:p>
        </w:tc>
        <w:tc>
          <w:tcPr>
            <w:tcW w:w="900" w:type="dxa"/>
            <w:vMerge/>
          </w:tcPr>
          <w:p w14:paraId="74EF1073" w14:textId="77777777" w:rsidR="001B1A85" w:rsidRPr="006502FB" w:rsidRDefault="001B1A85" w:rsidP="00470A5C">
            <w:pPr>
              <w:jc w:val="center"/>
              <w:rPr>
                <w:sz w:val="18"/>
                <w:szCs w:val="18"/>
                <w:lang w:val="en-US"/>
              </w:rPr>
            </w:pPr>
          </w:p>
        </w:tc>
        <w:tc>
          <w:tcPr>
            <w:tcW w:w="900" w:type="dxa"/>
            <w:tcBorders>
              <w:top w:val="single" w:sz="4" w:space="0" w:color="auto"/>
              <w:bottom w:val="single" w:sz="4" w:space="0" w:color="auto"/>
            </w:tcBorders>
          </w:tcPr>
          <w:p w14:paraId="1256F19C" w14:textId="77777777" w:rsidR="001B1A85" w:rsidRPr="006502FB" w:rsidRDefault="001B1A85" w:rsidP="00470A5C">
            <w:pPr>
              <w:jc w:val="center"/>
              <w:rPr>
                <w:sz w:val="18"/>
                <w:szCs w:val="18"/>
                <w:lang w:val="en-US"/>
              </w:rPr>
            </w:pPr>
            <w:r w:rsidRPr="006502FB">
              <w:rPr>
                <w:sz w:val="18"/>
                <w:szCs w:val="18"/>
                <w:lang w:val="en-US"/>
              </w:rPr>
              <w:t>CE(IS)-LAA</w:t>
            </w:r>
          </w:p>
        </w:tc>
        <w:tc>
          <w:tcPr>
            <w:tcW w:w="630" w:type="dxa"/>
            <w:tcBorders>
              <w:top w:val="single" w:sz="4" w:space="0" w:color="auto"/>
              <w:bottom w:val="single" w:sz="4" w:space="0" w:color="auto"/>
            </w:tcBorders>
          </w:tcPr>
          <w:p w14:paraId="2C7F9B74" w14:textId="419467C6" w:rsidR="001B1A85" w:rsidRPr="006502FB" w:rsidRDefault="001B1A85" w:rsidP="00470A5C">
            <w:pPr>
              <w:jc w:val="center"/>
              <w:rPr>
                <w:sz w:val="18"/>
                <w:szCs w:val="18"/>
                <w:lang w:val="en-US"/>
              </w:rPr>
            </w:pPr>
            <w:r w:rsidRPr="006502FB">
              <w:rPr>
                <w:sz w:val="18"/>
                <w:szCs w:val="18"/>
                <w:lang w:val="en-US"/>
              </w:rPr>
              <w:t>0.84</w:t>
            </w:r>
            <w:r w:rsidR="00E34A72" w:rsidRPr="006502FB">
              <w:rPr>
                <w:sz w:val="18"/>
                <w:szCs w:val="18"/>
                <w:lang w:val="en-US"/>
              </w:rPr>
              <w:t>4</w:t>
            </w:r>
          </w:p>
        </w:tc>
        <w:tc>
          <w:tcPr>
            <w:tcW w:w="720" w:type="dxa"/>
            <w:tcBorders>
              <w:top w:val="single" w:sz="4" w:space="0" w:color="auto"/>
            </w:tcBorders>
            <w:shd w:val="clear" w:color="auto" w:fill="auto"/>
          </w:tcPr>
          <w:p w14:paraId="367B8A4E" w14:textId="77777777" w:rsidR="001B1A85" w:rsidRPr="006502FB" w:rsidRDefault="001B1A85" w:rsidP="00470A5C">
            <w:pPr>
              <w:jc w:val="center"/>
              <w:rPr>
                <w:sz w:val="18"/>
                <w:szCs w:val="18"/>
                <w:lang w:val="en-US"/>
              </w:rPr>
            </w:pPr>
            <w:r w:rsidRPr="006502FB">
              <w:rPr>
                <w:sz w:val="18"/>
                <w:szCs w:val="18"/>
                <w:lang w:val="en-US"/>
              </w:rPr>
              <w:t>-</w:t>
            </w:r>
          </w:p>
        </w:tc>
        <w:tc>
          <w:tcPr>
            <w:tcW w:w="720" w:type="dxa"/>
            <w:tcBorders>
              <w:top w:val="single" w:sz="4" w:space="0" w:color="auto"/>
            </w:tcBorders>
            <w:shd w:val="clear" w:color="auto" w:fill="auto"/>
          </w:tcPr>
          <w:p w14:paraId="3C75B205" w14:textId="77777777" w:rsidR="001B1A85" w:rsidRPr="006502FB" w:rsidRDefault="001B1A85" w:rsidP="00470A5C">
            <w:pPr>
              <w:jc w:val="center"/>
              <w:rPr>
                <w:sz w:val="18"/>
                <w:szCs w:val="18"/>
                <w:lang w:val="en-US"/>
              </w:rPr>
            </w:pPr>
            <w:r w:rsidRPr="006502FB">
              <w:rPr>
                <w:sz w:val="18"/>
                <w:szCs w:val="18"/>
                <w:lang w:val="en-US"/>
              </w:rPr>
              <w:t>-</w:t>
            </w:r>
          </w:p>
        </w:tc>
        <w:tc>
          <w:tcPr>
            <w:tcW w:w="720" w:type="dxa"/>
            <w:vMerge/>
            <w:tcBorders>
              <w:right w:val="single" w:sz="12" w:space="0" w:color="000000"/>
            </w:tcBorders>
          </w:tcPr>
          <w:p w14:paraId="0A3B41F0" w14:textId="77777777" w:rsidR="001B1A85" w:rsidRPr="006502FB" w:rsidRDefault="001B1A85" w:rsidP="00470A5C">
            <w:pPr>
              <w:rPr>
                <w:sz w:val="18"/>
                <w:szCs w:val="18"/>
                <w:lang w:val="en-US"/>
              </w:rPr>
            </w:pPr>
          </w:p>
        </w:tc>
      </w:tr>
      <w:tr w:rsidR="003A213A" w:rsidRPr="00D17951" w14:paraId="7CFBDC68" w14:textId="77777777" w:rsidTr="003A213A">
        <w:trPr>
          <w:trHeight w:val="63"/>
        </w:trPr>
        <w:tc>
          <w:tcPr>
            <w:tcW w:w="1170" w:type="dxa"/>
            <w:vMerge/>
            <w:tcBorders>
              <w:left w:val="single" w:sz="12" w:space="0" w:color="auto"/>
              <w:bottom w:val="single" w:sz="12" w:space="0" w:color="auto"/>
            </w:tcBorders>
          </w:tcPr>
          <w:p w14:paraId="7954304B" w14:textId="77777777" w:rsidR="001B1A85" w:rsidRPr="006502FB" w:rsidRDefault="001B1A85" w:rsidP="00470A5C">
            <w:pPr>
              <w:rPr>
                <w:sz w:val="18"/>
                <w:szCs w:val="18"/>
                <w:lang w:val="en-US"/>
              </w:rPr>
            </w:pPr>
          </w:p>
        </w:tc>
        <w:tc>
          <w:tcPr>
            <w:tcW w:w="1620" w:type="dxa"/>
            <w:vMerge/>
            <w:tcBorders>
              <w:bottom w:val="single" w:sz="12" w:space="0" w:color="auto"/>
            </w:tcBorders>
          </w:tcPr>
          <w:p w14:paraId="2DCD9938" w14:textId="77777777" w:rsidR="001B1A85" w:rsidRPr="006502FB" w:rsidRDefault="001B1A85" w:rsidP="00470A5C">
            <w:pPr>
              <w:jc w:val="center"/>
              <w:rPr>
                <w:sz w:val="18"/>
                <w:szCs w:val="18"/>
                <w:lang w:val="en-US"/>
              </w:rPr>
            </w:pPr>
          </w:p>
        </w:tc>
        <w:tc>
          <w:tcPr>
            <w:tcW w:w="990" w:type="dxa"/>
            <w:vMerge/>
            <w:tcBorders>
              <w:bottom w:val="single" w:sz="12" w:space="0" w:color="auto"/>
            </w:tcBorders>
          </w:tcPr>
          <w:p w14:paraId="437BC971" w14:textId="77777777" w:rsidR="001B1A85" w:rsidRPr="006502FB" w:rsidRDefault="001B1A85" w:rsidP="00470A5C">
            <w:pPr>
              <w:jc w:val="center"/>
              <w:rPr>
                <w:sz w:val="18"/>
                <w:szCs w:val="18"/>
                <w:lang w:val="en-US"/>
              </w:rPr>
            </w:pPr>
          </w:p>
        </w:tc>
        <w:tc>
          <w:tcPr>
            <w:tcW w:w="900" w:type="dxa"/>
            <w:vMerge/>
            <w:tcBorders>
              <w:bottom w:val="single" w:sz="12" w:space="0" w:color="auto"/>
            </w:tcBorders>
          </w:tcPr>
          <w:p w14:paraId="7EEBD48E" w14:textId="77777777" w:rsidR="001B1A85" w:rsidRPr="006502FB" w:rsidRDefault="001B1A85" w:rsidP="00470A5C">
            <w:pPr>
              <w:jc w:val="center"/>
              <w:rPr>
                <w:sz w:val="18"/>
                <w:szCs w:val="18"/>
                <w:lang w:val="en-US"/>
              </w:rPr>
            </w:pPr>
          </w:p>
        </w:tc>
        <w:tc>
          <w:tcPr>
            <w:tcW w:w="900" w:type="dxa"/>
            <w:tcBorders>
              <w:top w:val="single" w:sz="4" w:space="0" w:color="auto"/>
              <w:bottom w:val="single" w:sz="12" w:space="0" w:color="auto"/>
            </w:tcBorders>
          </w:tcPr>
          <w:p w14:paraId="384649FE" w14:textId="77777777" w:rsidR="001B1A85" w:rsidRPr="00730D74" w:rsidRDefault="001B1A85" w:rsidP="00470A5C">
            <w:pPr>
              <w:jc w:val="center"/>
              <w:rPr>
                <w:sz w:val="18"/>
                <w:szCs w:val="18"/>
                <w:lang w:val="en-US"/>
              </w:rPr>
            </w:pPr>
            <w:r w:rsidRPr="00730D74">
              <w:rPr>
                <w:sz w:val="18"/>
                <w:szCs w:val="18"/>
                <w:lang w:val="en-US"/>
              </w:rPr>
              <w:t>CE(IS)-</w:t>
            </w:r>
            <w:r w:rsidRPr="00730D74">
              <w:rPr>
                <w:sz w:val="18"/>
                <w:szCs w:val="18"/>
                <w:lang w:val="en-US"/>
              </w:rPr>
              <w:br/>
              <w:t>non-CE(IS)</w:t>
            </w:r>
          </w:p>
        </w:tc>
        <w:tc>
          <w:tcPr>
            <w:tcW w:w="630" w:type="dxa"/>
            <w:tcBorders>
              <w:top w:val="single" w:sz="4" w:space="0" w:color="auto"/>
              <w:bottom w:val="single" w:sz="12" w:space="0" w:color="auto"/>
            </w:tcBorders>
          </w:tcPr>
          <w:p w14:paraId="7B91593B" w14:textId="1E839DB2" w:rsidR="001B1A85" w:rsidRPr="006502FB" w:rsidRDefault="001B1A85" w:rsidP="00470A5C">
            <w:pPr>
              <w:jc w:val="center"/>
              <w:rPr>
                <w:sz w:val="18"/>
                <w:szCs w:val="18"/>
                <w:lang w:val="en-US"/>
              </w:rPr>
            </w:pPr>
            <w:r w:rsidRPr="006502FB">
              <w:rPr>
                <w:sz w:val="18"/>
                <w:szCs w:val="18"/>
                <w:lang w:val="en-US"/>
              </w:rPr>
              <w:t>0.8</w:t>
            </w:r>
            <w:r w:rsidR="00E34A72" w:rsidRPr="006502FB">
              <w:rPr>
                <w:sz w:val="18"/>
                <w:szCs w:val="18"/>
                <w:lang w:val="en-US"/>
              </w:rPr>
              <w:t>59</w:t>
            </w:r>
          </w:p>
        </w:tc>
        <w:tc>
          <w:tcPr>
            <w:tcW w:w="720" w:type="dxa"/>
            <w:tcBorders>
              <w:bottom w:val="single" w:sz="12" w:space="0" w:color="auto"/>
            </w:tcBorders>
            <w:shd w:val="clear" w:color="auto" w:fill="auto"/>
          </w:tcPr>
          <w:p w14:paraId="121922F9" w14:textId="77777777" w:rsidR="001B1A85" w:rsidRPr="006502FB" w:rsidRDefault="001B1A85" w:rsidP="00470A5C">
            <w:pPr>
              <w:jc w:val="center"/>
              <w:rPr>
                <w:sz w:val="18"/>
                <w:szCs w:val="18"/>
                <w:lang w:val="en-US"/>
              </w:rPr>
            </w:pPr>
            <w:r w:rsidRPr="006502FB">
              <w:rPr>
                <w:sz w:val="18"/>
                <w:szCs w:val="18"/>
                <w:lang w:val="en-US"/>
              </w:rPr>
              <w:t>-</w:t>
            </w:r>
          </w:p>
        </w:tc>
        <w:tc>
          <w:tcPr>
            <w:tcW w:w="720" w:type="dxa"/>
            <w:tcBorders>
              <w:bottom w:val="single" w:sz="12" w:space="0" w:color="auto"/>
            </w:tcBorders>
            <w:shd w:val="clear" w:color="auto" w:fill="auto"/>
          </w:tcPr>
          <w:p w14:paraId="695F6BB8" w14:textId="77777777" w:rsidR="001B1A85" w:rsidRPr="006502FB" w:rsidRDefault="001B1A85" w:rsidP="00470A5C">
            <w:pPr>
              <w:jc w:val="center"/>
              <w:rPr>
                <w:sz w:val="18"/>
                <w:szCs w:val="18"/>
                <w:lang w:val="en-US"/>
              </w:rPr>
            </w:pPr>
            <w:r w:rsidRPr="006502FB">
              <w:rPr>
                <w:sz w:val="18"/>
                <w:szCs w:val="18"/>
                <w:lang w:val="en-US"/>
              </w:rPr>
              <w:t>-</w:t>
            </w:r>
          </w:p>
        </w:tc>
        <w:tc>
          <w:tcPr>
            <w:tcW w:w="720" w:type="dxa"/>
            <w:vMerge/>
            <w:tcBorders>
              <w:bottom w:val="single" w:sz="12" w:space="0" w:color="auto"/>
              <w:right w:val="single" w:sz="12" w:space="0" w:color="000000"/>
            </w:tcBorders>
          </w:tcPr>
          <w:p w14:paraId="0CB453B4" w14:textId="77777777" w:rsidR="001B1A85" w:rsidRPr="006502FB" w:rsidRDefault="001B1A85" w:rsidP="00470A5C">
            <w:pPr>
              <w:rPr>
                <w:sz w:val="18"/>
                <w:szCs w:val="18"/>
                <w:lang w:val="en-US"/>
              </w:rPr>
            </w:pPr>
          </w:p>
        </w:tc>
      </w:tr>
      <w:tr w:rsidR="003A213A" w:rsidRPr="00A831E7" w14:paraId="41D08B9A" w14:textId="77777777" w:rsidTr="003A213A">
        <w:trPr>
          <w:trHeight w:val="771"/>
        </w:trPr>
        <w:tc>
          <w:tcPr>
            <w:tcW w:w="1170" w:type="dxa"/>
            <w:tcBorders>
              <w:top w:val="single" w:sz="12" w:space="0" w:color="auto"/>
              <w:left w:val="single" w:sz="12" w:space="0" w:color="auto"/>
              <w:bottom w:val="single" w:sz="8" w:space="0" w:color="auto"/>
            </w:tcBorders>
          </w:tcPr>
          <w:p w14:paraId="65436E93" w14:textId="77777777" w:rsidR="001B1A85" w:rsidRPr="006502FB" w:rsidRDefault="001B1A85" w:rsidP="00470A5C">
            <w:pPr>
              <w:rPr>
                <w:sz w:val="18"/>
                <w:szCs w:val="18"/>
                <w:lang w:val="en-US"/>
              </w:rPr>
            </w:pPr>
            <w:r w:rsidRPr="006502FB">
              <w:rPr>
                <w:sz w:val="18"/>
                <w:szCs w:val="18"/>
                <w:lang w:val="en-US"/>
              </w:rPr>
              <w:t>F5</w:t>
            </w:r>
          </w:p>
        </w:tc>
        <w:tc>
          <w:tcPr>
            <w:tcW w:w="1620" w:type="dxa"/>
            <w:vMerge w:val="restart"/>
            <w:tcBorders>
              <w:top w:val="single" w:sz="12" w:space="0" w:color="auto"/>
            </w:tcBorders>
          </w:tcPr>
          <w:p w14:paraId="66F5F3B6" w14:textId="77777777" w:rsidR="001B1A85" w:rsidRPr="00730D74" w:rsidRDefault="001B1A85" w:rsidP="00470A5C">
            <w:pPr>
              <w:jc w:val="center"/>
              <w:rPr>
                <w:sz w:val="18"/>
                <w:szCs w:val="18"/>
                <w:lang w:val="en-US"/>
              </w:rPr>
            </w:pPr>
            <w:r w:rsidRPr="00730D74">
              <w:rPr>
                <w:sz w:val="18"/>
                <w:szCs w:val="18"/>
                <w:lang w:val="en-US"/>
              </w:rPr>
              <w:t>Coagulation Genes:</w:t>
            </w:r>
            <w:r w:rsidRPr="00730D74">
              <w:rPr>
                <w:sz w:val="18"/>
                <w:szCs w:val="18"/>
                <w:lang w:val="en-US"/>
              </w:rPr>
              <w:br/>
              <w:t>F5 has been correlated with thrombosis and IS.</w:t>
            </w:r>
          </w:p>
          <w:p w14:paraId="16A3F2BE" w14:textId="77777777" w:rsidR="00387775" w:rsidRDefault="001B1A85" w:rsidP="00470A5C">
            <w:pPr>
              <w:jc w:val="center"/>
              <w:rPr>
                <w:sz w:val="18"/>
                <w:szCs w:val="18"/>
              </w:rPr>
            </w:pPr>
            <w:r w:rsidRPr="00730D74">
              <w:rPr>
                <w:sz w:val="18"/>
                <w:szCs w:val="18"/>
                <w:lang w:val="en-US"/>
              </w:rPr>
              <w:t>WAS encodes WASP family proteins and participates in acting network assembly</w:t>
            </w:r>
            <w:r w:rsidR="00F42F4F">
              <w:rPr>
                <w:sz w:val="18"/>
                <w:szCs w:val="18"/>
                <w:lang w:val="en-US"/>
              </w:rPr>
              <w:t>.</w:t>
            </w:r>
          </w:p>
          <w:p w14:paraId="0493860E" w14:textId="499FE869" w:rsidR="001B1A85" w:rsidRPr="00387775" w:rsidRDefault="001B1A85" w:rsidP="00470A5C">
            <w:pPr>
              <w:jc w:val="center"/>
              <w:rPr>
                <w:i/>
                <w:iCs/>
                <w:sz w:val="18"/>
                <w:szCs w:val="18"/>
                <w:lang w:val="en-US"/>
              </w:rPr>
            </w:pPr>
            <w:r w:rsidRPr="00730D74">
              <w:rPr>
                <w:sz w:val="18"/>
                <w:szCs w:val="18"/>
                <w:lang w:val="en-US"/>
              </w:rPr>
              <w:br/>
            </w:r>
            <w:r w:rsidR="00F42F4F" w:rsidRPr="00387775">
              <w:rPr>
                <w:i/>
                <w:iCs/>
                <w:sz w:val="16"/>
                <w:szCs w:val="16"/>
                <w:lang w:val="en-US"/>
              </w:rPr>
              <w:t>qPCR-</w:t>
            </w:r>
            <w:r w:rsidRPr="00387775">
              <w:rPr>
                <w:i/>
                <w:iCs/>
                <w:sz w:val="18"/>
                <w:szCs w:val="18"/>
                <w:lang w:val="en-US"/>
              </w:rPr>
              <w:t>(</w:t>
            </w:r>
            <w:hyperlink r:id="rId25" w:history="1">
              <w:r w:rsidRPr="00387775">
                <w:rPr>
                  <w:rStyle w:val="-"/>
                  <w:b/>
                  <w:bCs/>
                  <w:i/>
                  <w:iCs/>
                  <w:sz w:val="18"/>
                  <w:szCs w:val="18"/>
                  <w:lang w:val="en-US"/>
                </w:rPr>
                <w:t>GSE58294</w:t>
              </w:r>
            </w:hyperlink>
            <w:r w:rsidRPr="00387775">
              <w:rPr>
                <w:i/>
                <w:iCs/>
                <w:sz w:val="18"/>
                <w:szCs w:val="18"/>
                <w:lang w:val="en-US"/>
              </w:rPr>
              <w:t>)</w:t>
            </w:r>
            <w:r w:rsidRPr="00387775">
              <w:rPr>
                <w:i/>
                <w:iCs/>
                <w:sz w:val="18"/>
                <w:szCs w:val="18"/>
                <w:lang w:val="en-US"/>
              </w:rPr>
              <w:br/>
            </w:r>
            <w:r w:rsidRPr="00387775">
              <w:rPr>
                <w:i/>
                <w:iCs/>
                <w:sz w:val="16"/>
                <w:szCs w:val="16"/>
                <w:lang w:val="en-US"/>
              </w:rPr>
              <w:t>[</w:t>
            </w:r>
            <w:r w:rsidR="00F42F4F" w:rsidRPr="00387775">
              <w:rPr>
                <w:i/>
                <w:iCs/>
                <w:sz w:val="16"/>
                <w:szCs w:val="16"/>
                <w:lang w:val="en-US"/>
              </w:rPr>
              <w:t>NC=23,CE=69</w:t>
            </w:r>
            <w:r w:rsidRPr="00387775">
              <w:rPr>
                <w:i/>
                <w:iCs/>
                <w:sz w:val="18"/>
                <w:szCs w:val="18"/>
                <w:lang w:val="en-US"/>
              </w:rPr>
              <w:t>]</w:t>
            </w:r>
          </w:p>
        </w:tc>
        <w:tc>
          <w:tcPr>
            <w:tcW w:w="990" w:type="dxa"/>
            <w:vMerge w:val="restart"/>
            <w:tcBorders>
              <w:top w:val="single" w:sz="12" w:space="0" w:color="auto"/>
              <w:bottom w:val="single" w:sz="8" w:space="0" w:color="auto"/>
            </w:tcBorders>
          </w:tcPr>
          <w:p w14:paraId="545AAF3D" w14:textId="77777777" w:rsidR="00336BD8" w:rsidRDefault="001B1A85" w:rsidP="00470A5C">
            <w:pPr>
              <w:jc w:val="center"/>
              <w:rPr>
                <w:sz w:val="18"/>
                <w:szCs w:val="18"/>
                <w:lang w:val="en-US"/>
              </w:rPr>
            </w:pPr>
            <w:r w:rsidRPr="00730D74">
              <w:rPr>
                <w:sz w:val="18"/>
                <w:szCs w:val="18"/>
                <w:lang w:val="en-US"/>
              </w:rPr>
              <w:t>&lt;3h,&lt;5h,</w:t>
            </w:r>
            <w:r w:rsidRPr="00730D74">
              <w:rPr>
                <w:sz w:val="18"/>
                <w:szCs w:val="18"/>
                <w:lang w:val="en-US"/>
              </w:rPr>
              <w:br/>
              <w:t>&lt;24h</w:t>
            </w:r>
            <w:r w:rsidRPr="00730D74">
              <w:rPr>
                <w:sz w:val="18"/>
                <w:szCs w:val="18"/>
                <w:lang w:val="en-US"/>
              </w:rPr>
              <w:br/>
              <w:t>whole blood</w:t>
            </w:r>
          </w:p>
          <w:p w14:paraId="2A8A8102" w14:textId="237B82EE" w:rsidR="001B1A85" w:rsidRPr="00730D74" w:rsidRDefault="001B1A85" w:rsidP="00470A5C">
            <w:pPr>
              <w:jc w:val="center"/>
              <w:rPr>
                <w:sz w:val="18"/>
                <w:szCs w:val="18"/>
                <w:lang w:val="en-US"/>
              </w:rPr>
            </w:pPr>
            <w:r w:rsidRPr="00730D74">
              <w:rPr>
                <w:sz w:val="18"/>
                <w:szCs w:val="18"/>
                <w:lang w:val="en-US"/>
              </w:rPr>
              <w:br/>
              <w:t>limma/</w:t>
            </w:r>
            <w:r w:rsidRPr="00730D74">
              <w:rPr>
                <w:sz w:val="18"/>
                <w:szCs w:val="18"/>
                <w:lang w:val="en-US"/>
              </w:rPr>
              <w:br/>
              <w:t>WCGNA/</w:t>
            </w:r>
            <w:r w:rsidRPr="00730D74">
              <w:rPr>
                <w:lang w:val="en-US"/>
              </w:rPr>
              <w:t xml:space="preserve"> </w:t>
            </w:r>
            <w:r w:rsidRPr="00730D74">
              <w:rPr>
                <w:sz w:val="18"/>
                <w:szCs w:val="18"/>
                <w:lang w:val="en-US"/>
              </w:rPr>
              <w:t>miRWalk/</w:t>
            </w:r>
          </w:p>
          <w:p w14:paraId="1E83ECDD" w14:textId="72E55006" w:rsidR="001B1A85" w:rsidRPr="006502FB" w:rsidRDefault="001B1A85" w:rsidP="00470A5C">
            <w:pPr>
              <w:jc w:val="center"/>
              <w:rPr>
                <w:sz w:val="18"/>
                <w:szCs w:val="18"/>
                <w:lang w:val="en-US"/>
              </w:rPr>
            </w:pPr>
            <w:r w:rsidRPr="006502FB">
              <w:rPr>
                <w:sz w:val="18"/>
                <w:szCs w:val="18"/>
                <w:lang w:val="en-US"/>
              </w:rPr>
              <w:t>Cytospac</w:t>
            </w:r>
            <w:r w:rsidR="00336BD8">
              <w:rPr>
                <w:sz w:val="18"/>
                <w:szCs w:val="18"/>
                <w:lang w:val="en-US"/>
              </w:rPr>
              <w:t>e</w:t>
            </w:r>
            <w:r w:rsidRPr="006502FB">
              <w:rPr>
                <w:sz w:val="18"/>
                <w:szCs w:val="18"/>
                <w:lang w:val="en-US"/>
              </w:rPr>
              <w:t>/qPCR</w:t>
            </w:r>
            <w:r w:rsidRPr="006502FB">
              <w:rPr>
                <w:sz w:val="18"/>
                <w:szCs w:val="18"/>
                <w:lang w:val="en-US"/>
              </w:rPr>
              <w:br/>
            </w:r>
          </w:p>
        </w:tc>
        <w:tc>
          <w:tcPr>
            <w:tcW w:w="900" w:type="dxa"/>
            <w:vMerge w:val="restart"/>
            <w:tcBorders>
              <w:top w:val="single" w:sz="12" w:space="0" w:color="auto"/>
              <w:bottom w:val="single" w:sz="8" w:space="0" w:color="auto"/>
            </w:tcBorders>
          </w:tcPr>
          <w:p w14:paraId="4622AA89" w14:textId="478C6C67" w:rsidR="001B1A85" w:rsidRPr="006502FB" w:rsidRDefault="001B1A85" w:rsidP="00470A5C">
            <w:pPr>
              <w:jc w:val="center"/>
              <w:rPr>
                <w:sz w:val="18"/>
                <w:szCs w:val="18"/>
                <w:lang w:val="en-US"/>
              </w:rPr>
            </w:pPr>
            <w:r w:rsidRPr="006502FB">
              <w:rPr>
                <w:sz w:val="18"/>
                <w:szCs w:val="18"/>
                <w:lang w:val="en-US"/>
              </w:rPr>
              <w:t>RF</w:t>
            </w:r>
            <w:r w:rsidRPr="006502FB">
              <w:rPr>
                <w:sz w:val="18"/>
                <w:szCs w:val="18"/>
                <w:lang w:val="en-US"/>
              </w:rPr>
              <w:br/>
            </w:r>
          </w:p>
        </w:tc>
        <w:tc>
          <w:tcPr>
            <w:tcW w:w="900" w:type="dxa"/>
            <w:tcBorders>
              <w:top w:val="single" w:sz="12" w:space="0" w:color="auto"/>
              <w:bottom w:val="single" w:sz="8" w:space="0" w:color="auto"/>
            </w:tcBorders>
          </w:tcPr>
          <w:p w14:paraId="3AF511DA" w14:textId="77777777" w:rsidR="001B1A85" w:rsidRPr="006502FB" w:rsidRDefault="001B1A85" w:rsidP="00470A5C">
            <w:pPr>
              <w:jc w:val="center"/>
              <w:rPr>
                <w:sz w:val="18"/>
                <w:szCs w:val="18"/>
                <w:lang w:val="en-US"/>
              </w:rPr>
            </w:pPr>
            <w:r w:rsidRPr="006502FB">
              <w:rPr>
                <w:sz w:val="18"/>
                <w:szCs w:val="18"/>
                <w:lang w:val="en-US"/>
              </w:rPr>
              <w:t>IS-NC</w:t>
            </w:r>
          </w:p>
        </w:tc>
        <w:tc>
          <w:tcPr>
            <w:tcW w:w="630" w:type="dxa"/>
            <w:tcBorders>
              <w:top w:val="single" w:sz="12" w:space="0" w:color="auto"/>
              <w:bottom w:val="single" w:sz="8" w:space="0" w:color="auto"/>
            </w:tcBorders>
          </w:tcPr>
          <w:p w14:paraId="66BAA7FE" w14:textId="3A457042" w:rsidR="001B1A85" w:rsidRPr="006502FB" w:rsidRDefault="001B1A85" w:rsidP="00470A5C">
            <w:pPr>
              <w:jc w:val="center"/>
              <w:rPr>
                <w:sz w:val="18"/>
                <w:szCs w:val="18"/>
                <w:lang w:val="en-US"/>
              </w:rPr>
            </w:pPr>
            <w:r w:rsidRPr="006502FB">
              <w:rPr>
                <w:sz w:val="18"/>
                <w:szCs w:val="18"/>
                <w:lang w:val="en-US"/>
              </w:rPr>
              <w:t>0.95</w:t>
            </w:r>
            <w:r w:rsidR="00E34A72" w:rsidRPr="006502FB">
              <w:rPr>
                <w:sz w:val="18"/>
                <w:szCs w:val="18"/>
                <w:lang w:val="en-US"/>
              </w:rPr>
              <w:t>5</w:t>
            </w:r>
          </w:p>
        </w:tc>
        <w:tc>
          <w:tcPr>
            <w:tcW w:w="720" w:type="dxa"/>
            <w:tcBorders>
              <w:top w:val="single" w:sz="12" w:space="0" w:color="auto"/>
              <w:bottom w:val="single" w:sz="8" w:space="0" w:color="auto"/>
            </w:tcBorders>
            <w:shd w:val="clear" w:color="auto" w:fill="auto"/>
          </w:tcPr>
          <w:p w14:paraId="21CBA646" w14:textId="77777777" w:rsidR="001B1A85" w:rsidRPr="006502FB" w:rsidRDefault="001B1A85" w:rsidP="00470A5C">
            <w:pPr>
              <w:jc w:val="center"/>
              <w:rPr>
                <w:sz w:val="18"/>
                <w:szCs w:val="18"/>
                <w:lang w:val="en-US"/>
              </w:rPr>
            </w:pPr>
            <w:r w:rsidRPr="006502FB">
              <w:rPr>
                <w:sz w:val="18"/>
                <w:szCs w:val="18"/>
                <w:lang w:val="en-US"/>
              </w:rPr>
              <w:t>-</w:t>
            </w:r>
          </w:p>
        </w:tc>
        <w:tc>
          <w:tcPr>
            <w:tcW w:w="720" w:type="dxa"/>
            <w:tcBorders>
              <w:top w:val="single" w:sz="12" w:space="0" w:color="auto"/>
              <w:bottom w:val="single" w:sz="8" w:space="0" w:color="auto"/>
            </w:tcBorders>
            <w:shd w:val="clear" w:color="auto" w:fill="auto"/>
          </w:tcPr>
          <w:p w14:paraId="1CB68D98" w14:textId="77777777" w:rsidR="001B1A85" w:rsidRPr="006502FB" w:rsidRDefault="001B1A85" w:rsidP="00470A5C">
            <w:pPr>
              <w:jc w:val="center"/>
              <w:rPr>
                <w:sz w:val="18"/>
                <w:szCs w:val="18"/>
                <w:lang w:val="en-US"/>
              </w:rPr>
            </w:pPr>
            <w:r w:rsidRPr="006502FB">
              <w:rPr>
                <w:sz w:val="18"/>
                <w:szCs w:val="18"/>
                <w:lang w:val="en-US"/>
              </w:rPr>
              <w:t>-</w:t>
            </w:r>
          </w:p>
        </w:tc>
        <w:tc>
          <w:tcPr>
            <w:tcW w:w="720" w:type="dxa"/>
            <w:vMerge w:val="restart"/>
            <w:tcBorders>
              <w:top w:val="single" w:sz="12" w:space="0" w:color="auto"/>
              <w:right w:val="single" w:sz="12" w:space="0" w:color="000000"/>
            </w:tcBorders>
          </w:tcPr>
          <w:p w14:paraId="2262C29B" w14:textId="567FE111" w:rsidR="001B1A85" w:rsidRPr="00A831E7" w:rsidRDefault="00A9201D" w:rsidP="00470A5C">
            <w:pPr>
              <w:rPr>
                <w:sz w:val="18"/>
                <w:szCs w:val="18"/>
              </w:rPr>
            </w:pPr>
            <w:r w:rsidRPr="00A831E7">
              <w:rPr>
                <w:sz w:val="18"/>
                <w:szCs w:val="18"/>
              </w:rPr>
              <w:fldChar w:fldCharType="begin"/>
            </w:r>
            <w:r w:rsidR="00B22777" w:rsidRPr="006502FB">
              <w:rPr>
                <w:sz w:val="18"/>
                <w:szCs w:val="18"/>
                <w:lang w:val="en-US"/>
              </w:rPr>
              <w:instrText xml:space="preserve"> ADDIN ZOTERO_ITEM CSL_CITATION {"citationID":"q8ukoZi7","properties":{"formattedCitation":"[79]","plainCitation":"[79]","noteIndex":0},"citationItems":[{"id":270,"uris":["http://zotero.org/users/local/mfHf28QG/items/FSC92ZHB"],"itemData":{"id":270,"type":"article-journal","abstract":"Background: Coagulation system is currently known associated with the development of ischemic stroke (IS). Thus, the current study is designed to identify diagnostic value of coagulation genes (CGs) in IS and to explore their role in the immune ...","container-title":"Aging (Albany NY)","DOI":"10.18632/aging.205706","issue":"7","language":"en","note":"PMID: 38575196","page":"6314","source":"pmc.ncbi.nlm.nih.gov","title":"Machine learning identifies novel coagulation genes as diagnostic and immunological biomarkers in ischemic stroke","volume":"16","author":[{"family":"Liu","given":"Jinzhi"},{"family":"Si","given":"Zhihua"},{"family":"Liu","given":"Ju"},{"family":"Zhang","given":"Xu"},{"family":"Xie","given":"Cong"},{"family":"Zhao","given":"Wei"},{"family":"Wang","gi</w:instrText>
            </w:r>
            <w:r w:rsidR="00B22777" w:rsidRPr="00A831E7">
              <w:rPr>
                <w:sz w:val="18"/>
                <w:szCs w:val="18"/>
              </w:rPr>
              <w:instrText xml:space="preserve">ven":"Aihua"},{"family":"Xia","given":"Zhangyong"}],"issued":{"date-parts":[["2024",4,3]]}}}],"schema":"https://github.com/citation-style-language/schema/raw/master/csl-citation.json"} </w:instrText>
            </w:r>
            <w:r w:rsidRPr="00A831E7">
              <w:rPr>
                <w:sz w:val="18"/>
                <w:szCs w:val="18"/>
              </w:rPr>
              <w:fldChar w:fldCharType="separate"/>
            </w:r>
            <w:r w:rsidR="00B22777" w:rsidRPr="00A831E7">
              <w:rPr>
                <w:sz w:val="18"/>
              </w:rPr>
              <w:t>[79]</w:t>
            </w:r>
            <w:r w:rsidRPr="00A831E7">
              <w:rPr>
                <w:sz w:val="18"/>
                <w:szCs w:val="18"/>
              </w:rPr>
              <w:fldChar w:fldCharType="end"/>
            </w:r>
          </w:p>
        </w:tc>
      </w:tr>
      <w:tr w:rsidR="003A213A" w:rsidRPr="00A831E7" w14:paraId="78E98522" w14:textId="77777777" w:rsidTr="003A213A">
        <w:trPr>
          <w:trHeight w:val="63"/>
        </w:trPr>
        <w:tc>
          <w:tcPr>
            <w:tcW w:w="1170" w:type="dxa"/>
            <w:tcBorders>
              <w:top w:val="single" w:sz="8" w:space="0" w:color="auto"/>
              <w:left w:val="single" w:sz="12" w:space="0" w:color="auto"/>
              <w:bottom w:val="single" w:sz="12" w:space="0" w:color="auto"/>
            </w:tcBorders>
          </w:tcPr>
          <w:p w14:paraId="78885DDF" w14:textId="77777777" w:rsidR="001B1A85" w:rsidRPr="00A831E7" w:rsidRDefault="001B1A85" w:rsidP="00470A5C">
            <w:pPr>
              <w:rPr>
                <w:sz w:val="18"/>
                <w:szCs w:val="18"/>
              </w:rPr>
            </w:pPr>
            <w:r w:rsidRPr="00A831E7">
              <w:rPr>
                <w:sz w:val="18"/>
                <w:szCs w:val="18"/>
              </w:rPr>
              <w:t>WAS</w:t>
            </w:r>
          </w:p>
        </w:tc>
        <w:tc>
          <w:tcPr>
            <w:tcW w:w="1620" w:type="dxa"/>
            <w:vMerge/>
            <w:tcBorders>
              <w:bottom w:val="single" w:sz="12" w:space="0" w:color="auto"/>
            </w:tcBorders>
          </w:tcPr>
          <w:p w14:paraId="2286266E" w14:textId="77777777" w:rsidR="001B1A85" w:rsidRPr="00A831E7" w:rsidRDefault="001B1A85" w:rsidP="00470A5C">
            <w:pPr>
              <w:jc w:val="center"/>
              <w:rPr>
                <w:sz w:val="18"/>
                <w:szCs w:val="18"/>
              </w:rPr>
            </w:pPr>
          </w:p>
        </w:tc>
        <w:tc>
          <w:tcPr>
            <w:tcW w:w="990" w:type="dxa"/>
            <w:vMerge/>
            <w:tcBorders>
              <w:top w:val="single" w:sz="8" w:space="0" w:color="auto"/>
              <w:bottom w:val="single" w:sz="12" w:space="0" w:color="auto"/>
            </w:tcBorders>
          </w:tcPr>
          <w:p w14:paraId="0F7D0B87" w14:textId="77777777" w:rsidR="001B1A85" w:rsidRPr="00A831E7" w:rsidRDefault="001B1A85" w:rsidP="00470A5C">
            <w:pPr>
              <w:jc w:val="center"/>
              <w:rPr>
                <w:sz w:val="18"/>
                <w:szCs w:val="18"/>
              </w:rPr>
            </w:pPr>
          </w:p>
        </w:tc>
        <w:tc>
          <w:tcPr>
            <w:tcW w:w="900" w:type="dxa"/>
            <w:vMerge/>
            <w:tcBorders>
              <w:top w:val="single" w:sz="8" w:space="0" w:color="auto"/>
              <w:bottom w:val="single" w:sz="12" w:space="0" w:color="auto"/>
            </w:tcBorders>
          </w:tcPr>
          <w:p w14:paraId="4B2FEB0C" w14:textId="77777777" w:rsidR="001B1A85" w:rsidRPr="00A831E7" w:rsidRDefault="001B1A85" w:rsidP="00470A5C">
            <w:pPr>
              <w:jc w:val="center"/>
              <w:rPr>
                <w:sz w:val="18"/>
                <w:szCs w:val="18"/>
              </w:rPr>
            </w:pPr>
          </w:p>
        </w:tc>
        <w:tc>
          <w:tcPr>
            <w:tcW w:w="900" w:type="dxa"/>
            <w:tcBorders>
              <w:top w:val="single" w:sz="8" w:space="0" w:color="auto"/>
              <w:bottom w:val="single" w:sz="12" w:space="0" w:color="auto"/>
            </w:tcBorders>
          </w:tcPr>
          <w:p w14:paraId="0858FD42" w14:textId="77777777" w:rsidR="001B1A85" w:rsidRPr="00A831E7" w:rsidRDefault="001B1A85" w:rsidP="00470A5C">
            <w:pPr>
              <w:jc w:val="center"/>
              <w:rPr>
                <w:sz w:val="18"/>
                <w:szCs w:val="18"/>
              </w:rPr>
            </w:pPr>
            <w:r w:rsidRPr="00A831E7">
              <w:rPr>
                <w:sz w:val="18"/>
                <w:szCs w:val="18"/>
              </w:rPr>
              <w:t>IS-NC</w:t>
            </w:r>
          </w:p>
        </w:tc>
        <w:tc>
          <w:tcPr>
            <w:tcW w:w="630" w:type="dxa"/>
            <w:tcBorders>
              <w:top w:val="single" w:sz="8" w:space="0" w:color="auto"/>
              <w:bottom w:val="single" w:sz="12" w:space="0" w:color="auto"/>
            </w:tcBorders>
          </w:tcPr>
          <w:p w14:paraId="58F894E8" w14:textId="45AA2C91" w:rsidR="001B1A85" w:rsidRPr="00A831E7" w:rsidRDefault="001B1A85" w:rsidP="00470A5C">
            <w:pPr>
              <w:jc w:val="center"/>
              <w:rPr>
                <w:sz w:val="18"/>
                <w:szCs w:val="18"/>
              </w:rPr>
            </w:pPr>
            <w:r w:rsidRPr="00A831E7">
              <w:rPr>
                <w:sz w:val="18"/>
                <w:szCs w:val="18"/>
              </w:rPr>
              <w:t>0.9</w:t>
            </w:r>
            <w:r w:rsidR="00E34A72" w:rsidRPr="00A831E7">
              <w:rPr>
                <w:sz w:val="18"/>
                <w:szCs w:val="18"/>
              </w:rPr>
              <w:t>09</w:t>
            </w:r>
            <w:r w:rsidRPr="00A831E7">
              <w:rPr>
                <w:sz w:val="18"/>
                <w:szCs w:val="18"/>
              </w:rPr>
              <w:br/>
            </w:r>
          </w:p>
        </w:tc>
        <w:tc>
          <w:tcPr>
            <w:tcW w:w="720" w:type="dxa"/>
            <w:tcBorders>
              <w:top w:val="single" w:sz="8" w:space="0" w:color="auto"/>
              <w:bottom w:val="single" w:sz="12" w:space="0" w:color="auto"/>
            </w:tcBorders>
            <w:shd w:val="clear" w:color="auto" w:fill="auto"/>
          </w:tcPr>
          <w:p w14:paraId="53757081" w14:textId="77777777" w:rsidR="001B1A85" w:rsidRPr="00A831E7" w:rsidRDefault="001B1A85" w:rsidP="00470A5C">
            <w:pPr>
              <w:jc w:val="center"/>
              <w:rPr>
                <w:sz w:val="18"/>
                <w:szCs w:val="18"/>
              </w:rPr>
            </w:pPr>
            <w:r w:rsidRPr="00A831E7">
              <w:rPr>
                <w:sz w:val="18"/>
                <w:szCs w:val="18"/>
              </w:rPr>
              <w:t>-</w:t>
            </w:r>
          </w:p>
        </w:tc>
        <w:tc>
          <w:tcPr>
            <w:tcW w:w="720" w:type="dxa"/>
            <w:tcBorders>
              <w:top w:val="single" w:sz="8" w:space="0" w:color="auto"/>
              <w:bottom w:val="single" w:sz="12" w:space="0" w:color="auto"/>
            </w:tcBorders>
            <w:shd w:val="clear" w:color="auto" w:fill="auto"/>
          </w:tcPr>
          <w:p w14:paraId="5B69F81A" w14:textId="77777777" w:rsidR="001B1A85" w:rsidRPr="00A831E7" w:rsidRDefault="001B1A85" w:rsidP="00470A5C">
            <w:pPr>
              <w:jc w:val="center"/>
              <w:rPr>
                <w:sz w:val="18"/>
                <w:szCs w:val="18"/>
              </w:rPr>
            </w:pPr>
            <w:r w:rsidRPr="00A831E7">
              <w:rPr>
                <w:sz w:val="18"/>
                <w:szCs w:val="18"/>
              </w:rPr>
              <w:t>-</w:t>
            </w:r>
          </w:p>
        </w:tc>
        <w:tc>
          <w:tcPr>
            <w:tcW w:w="720" w:type="dxa"/>
            <w:vMerge/>
            <w:tcBorders>
              <w:bottom w:val="single" w:sz="12" w:space="0" w:color="auto"/>
              <w:right w:val="single" w:sz="12" w:space="0" w:color="000000"/>
            </w:tcBorders>
          </w:tcPr>
          <w:p w14:paraId="0B5FE539" w14:textId="77777777" w:rsidR="001B1A85" w:rsidRPr="00A831E7" w:rsidRDefault="001B1A85" w:rsidP="00470A5C">
            <w:pPr>
              <w:rPr>
                <w:sz w:val="18"/>
                <w:szCs w:val="18"/>
              </w:rPr>
            </w:pPr>
          </w:p>
        </w:tc>
      </w:tr>
      <w:tr w:rsidR="003A213A" w:rsidRPr="00A831E7" w14:paraId="2E4E728C" w14:textId="77777777" w:rsidTr="003A213A">
        <w:trPr>
          <w:trHeight w:val="63"/>
        </w:trPr>
        <w:tc>
          <w:tcPr>
            <w:tcW w:w="1170" w:type="dxa"/>
            <w:tcBorders>
              <w:top w:val="single" w:sz="12" w:space="0" w:color="auto"/>
              <w:left w:val="single" w:sz="12" w:space="0" w:color="auto"/>
              <w:bottom w:val="single" w:sz="12" w:space="0" w:color="auto"/>
            </w:tcBorders>
          </w:tcPr>
          <w:p w14:paraId="31A569DB" w14:textId="77777777" w:rsidR="001B1A85" w:rsidRPr="00730D74" w:rsidRDefault="001B1A85" w:rsidP="00470A5C">
            <w:pPr>
              <w:rPr>
                <w:sz w:val="18"/>
                <w:szCs w:val="18"/>
                <w:lang w:val="en-US"/>
              </w:rPr>
            </w:pPr>
            <w:r w:rsidRPr="00730D74">
              <w:rPr>
                <w:sz w:val="18"/>
                <w:szCs w:val="18"/>
                <w:lang w:val="en-US"/>
              </w:rPr>
              <w:t>hsa mir 122,</w:t>
            </w:r>
          </w:p>
          <w:p w14:paraId="31DABDD1" w14:textId="77777777" w:rsidR="001B1A85" w:rsidRPr="00730D74" w:rsidRDefault="001B1A85" w:rsidP="00470A5C">
            <w:pPr>
              <w:rPr>
                <w:sz w:val="18"/>
                <w:szCs w:val="18"/>
                <w:lang w:val="en-US"/>
              </w:rPr>
            </w:pPr>
            <w:r w:rsidRPr="00730D74">
              <w:rPr>
                <w:sz w:val="18"/>
                <w:szCs w:val="18"/>
                <w:lang w:val="en-US"/>
              </w:rPr>
              <w:t xml:space="preserve">hsa mir 99b, </w:t>
            </w:r>
          </w:p>
          <w:p w14:paraId="2FB0CACD" w14:textId="77777777" w:rsidR="001B1A85" w:rsidRPr="00730D74" w:rsidRDefault="001B1A85" w:rsidP="00470A5C">
            <w:pPr>
              <w:rPr>
                <w:sz w:val="18"/>
                <w:szCs w:val="18"/>
                <w:lang w:val="en-US"/>
              </w:rPr>
            </w:pPr>
            <w:r w:rsidRPr="00730D74">
              <w:rPr>
                <w:sz w:val="18"/>
                <w:szCs w:val="18"/>
                <w:lang w:val="en-US"/>
              </w:rPr>
              <w:t>hsa mir 339,</w:t>
            </w:r>
          </w:p>
          <w:p w14:paraId="2C60E614" w14:textId="77777777" w:rsidR="001B1A85" w:rsidRPr="00730D74" w:rsidRDefault="001B1A85" w:rsidP="00470A5C">
            <w:pPr>
              <w:rPr>
                <w:sz w:val="18"/>
                <w:szCs w:val="18"/>
                <w:lang w:val="en-US"/>
              </w:rPr>
            </w:pPr>
            <w:r w:rsidRPr="00730D74">
              <w:rPr>
                <w:sz w:val="18"/>
                <w:szCs w:val="18"/>
                <w:lang w:val="en-US"/>
              </w:rPr>
              <w:t>hsa mir 145,</w:t>
            </w:r>
          </w:p>
          <w:p w14:paraId="1C674B4F" w14:textId="2BA9232F" w:rsidR="001B1A85" w:rsidRPr="00730D74" w:rsidRDefault="001B1A85" w:rsidP="00470A5C">
            <w:pPr>
              <w:rPr>
                <w:sz w:val="18"/>
                <w:szCs w:val="18"/>
                <w:lang w:val="en-US"/>
              </w:rPr>
            </w:pPr>
            <w:r w:rsidRPr="00730D74">
              <w:rPr>
                <w:sz w:val="14"/>
                <w:szCs w:val="14"/>
                <w:lang w:val="en-US"/>
              </w:rPr>
              <w:t>hsa mir 3130 1</w:t>
            </w:r>
          </w:p>
        </w:tc>
        <w:tc>
          <w:tcPr>
            <w:tcW w:w="1620" w:type="dxa"/>
            <w:tcBorders>
              <w:top w:val="single" w:sz="12" w:space="0" w:color="auto"/>
              <w:bottom w:val="single" w:sz="12" w:space="0" w:color="auto"/>
            </w:tcBorders>
          </w:tcPr>
          <w:p w14:paraId="74957772" w14:textId="77777777" w:rsidR="00387775" w:rsidRDefault="001B1A85" w:rsidP="00470A5C">
            <w:pPr>
              <w:jc w:val="center"/>
              <w:rPr>
                <w:sz w:val="18"/>
                <w:szCs w:val="18"/>
              </w:rPr>
            </w:pPr>
            <w:r w:rsidRPr="00730D74">
              <w:rPr>
                <w:sz w:val="18"/>
                <w:szCs w:val="18"/>
                <w:lang w:val="en-US"/>
              </w:rPr>
              <w:t>Differentially expressed miRNAs (DEMs). Blood derived. 5 DEMs grouped</w:t>
            </w:r>
          </w:p>
          <w:p w14:paraId="41C0D876" w14:textId="2AA41A66" w:rsidR="001B1A85" w:rsidRPr="00730D74" w:rsidRDefault="001B1A85" w:rsidP="00470A5C">
            <w:pPr>
              <w:jc w:val="center"/>
              <w:rPr>
                <w:sz w:val="18"/>
                <w:szCs w:val="18"/>
                <w:u w:val="single"/>
                <w:lang w:val="en-US"/>
              </w:rPr>
            </w:pPr>
            <w:r w:rsidRPr="00730D74">
              <w:rPr>
                <w:sz w:val="18"/>
                <w:szCs w:val="18"/>
                <w:lang w:val="en-US"/>
              </w:rPr>
              <w:br/>
            </w:r>
            <w:r w:rsidRPr="00730D74">
              <w:rPr>
                <w:sz w:val="18"/>
                <w:szCs w:val="18"/>
                <w:u w:val="single"/>
                <w:lang w:val="en-US"/>
              </w:rPr>
              <w:t>(</w:t>
            </w:r>
            <w:hyperlink r:id="rId26" w:history="1">
              <w:r w:rsidRPr="00730D74">
                <w:rPr>
                  <w:rStyle w:val="-"/>
                  <w:b/>
                  <w:bCs/>
                  <w:sz w:val="18"/>
                  <w:szCs w:val="18"/>
                  <w:lang w:val="en-US"/>
                </w:rPr>
                <w:t>GSE55937</w:t>
              </w:r>
            </w:hyperlink>
            <w:r w:rsidRPr="00730D74">
              <w:rPr>
                <w:sz w:val="18"/>
                <w:szCs w:val="18"/>
                <w:u w:val="single"/>
                <w:lang w:val="en-US"/>
              </w:rPr>
              <w:t>)</w:t>
            </w:r>
          </w:p>
          <w:p w14:paraId="2CD992B5" w14:textId="77777777" w:rsidR="001B1A85" w:rsidRDefault="001B1A85" w:rsidP="00470A5C">
            <w:pPr>
              <w:jc w:val="center"/>
              <w:rPr>
                <w:sz w:val="18"/>
                <w:szCs w:val="18"/>
                <w:lang w:val="en-US"/>
              </w:rPr>
            </w:pPr>
            <w:r w:rsidRPr="00730D74">
              <w:rPr>
                <w:sz w:val="18"/>
                <w:szCs w:val="18"/>
                <w:lang w:val="en-US"/>
              </w:rPr>
              <w:t>[five-fold cross validation]</w:t>
            </w:r>
          </w:p>
          <w:p w14:paraId="1E3CFAA4" w14:textId="0C3BB782" w:rsidR="00DC70B7" w:rsidRPr="00387775" w:rsidRDefault="00DC70B7" w:rsidP="00470A5C">
            <w:pPr>
              <w:jc w:val="center"/>
              <w:rPr>
                <w:i/>
                <w:iCs/>
                <w:sz w:val="18"/>
                <w:szCs w:val="18"/>
                <w:lang w:val="en-US"/>
              </w:rPr>
            </w:pPr>
            <w:r w:rsidRPr="00387775">
              <w:rPr>
                <w:i/>
                <w:iCs/>
                <w:sz w:val="18"/>
                <w:szCs w:val="18"/>
                <w:lang w:val="en-US"/>
              </w:rPr>
              <w:t>IS=24, NC=24</w:t>
            </w:r>
          </w:p>
        </w:tc>
        <w:tc>
          <w:tcPr>
            <w:tcW w:w="990" w:type="dxa"/>
            <w:tcBorders>
              <w:bottom w:val="single" w:sz="12" w:space="0" w:color="auto"/>
            </w:tcBorders>
          </w:tcPr>
          <w:p w14:paraId="32425585" w14:textId="77777777" w:rsidR="00336BD8" w:rsidRDefault="001B1A85" w:rsidP="00470A5C">
            <w:pPr>
              <w:jc w:val="center"/>
              <w:rPr>
                <w:sz w:val="16"/>
                <w:szCs w:val="16"/>
                <w:lang w:val="en-US"/>
              </w:rPr>
            </w:pPr>
            <w:r w:rsidRPr="00A831E7">
              <w:rPr>
                <w:sz w:val="18"/>
                <w:szCs w:val="18"/>
              </w:rPr>
              <w:t>-</w:t>
            </w:r>
            <w:r w:rsidRPr="00A831E7">
              <w:rPr>
                <w:sz w:val="18"/>
                <w:szCs w:val="18"/>
                <w:u w:val="single"/>
              </w:rPr>
              <w:br/>
            </w:r>
            <w:r w:rsidRPr="00336BD8">
              <w:rPr>
                <w:sz w:val="18"/>
                <w:szCs w:val="18"/>
              </w:rPr>
              <w:t>whole blood</w:t>
            </w:r>
          </w:p>
          <w:p w14:paraId="24681BE7" w14:textId="35D7A962" w:rsidR="001B1A85" w:rsidRPr="00A831E7" w:rsidRDefault="001B1A85" w:rsidP="00470A5C">
            <w:pPr>
              <w:jc w:val="center"/>
              <w:rPr>
                <w:sz w:val="16"/>
                <w:szCs w:val="16"/>
              </w:rPr>
            </w:pPr>
            <w:r w:rsidRPr="00A831E7">
              <w:rPr>
                <w:sz w:val="16"/>
                <w:szCs w:val="16"/>
              </w:rPr>
              <w:br/>
              <w:t>RMA/</w:t>
            </w:r>
          </w:p>
          <w:p w14:paraId="49033AD8" w14:textId="77777777" w:rsidR="001B1A85" w:rsidRPr="00A831E7" w:rsidRDefault="001B1A85" w:rsidP="00470A5C">
            <w:pPr>
              <w:jc w:val="center"/>
              <w:rPr>
                <w:sz w:val="18"/>
                <w:szCs w:val="18"/>
              </w:rPr>
            </w:pPr>
            <w:r w:rsidRPr="00A831E7">
              <w:rPr>
                <w:sz w:val="16"/>
                <w:szCs w:val="16"/>
              </w:rPr>
              <w:t>TargetScan</w:t>
            </w:r>
            <w:r w:rsidRPr="00A831E7">
              <w:rPr>
                <w:sz w:val="18"/>
                <w:szCs w:val="18"/>
              </w:rPr>
              <w:br/>
            </w:r>
            <w:r w:rsidRPr="00A831E7">
              <w:rPr>
                <w:sz w:val="18"/>
                <w:szCs w:val="18"/>
              </w:rPr>
              <w:br/>
            </w:r>
          </w:p>
        </w:tc>
        <w:tc>
          <w:tcPr>
            <w:tcW w:w="900" w:type="dxa"/>
            <w:tcBorders>
              <w:bottom w:val="single" w:sz="12" w:space="0" w:color="auto"/>
            </w:tcBorders>
          </w:tcPr>
          <w:p w14:paraId="1BF546B7" w14:textId="77777777" w:rsidR="001B1A85" w:rsidRPr="00A831E7" w:rsidRDefault="001B1A85" w:rsidP="00470A5C">
            <w:pPr>
              <w:jc w:val="center"/>
              <w:rPr>
                <w:sz w:val="14"/>
                <w:szCs w:val="14"/>
              </w:rPr>
            </w:pPr>
            <w:r w:rsidRPr="00A831E7">
              <w:rPr>
                <w:sz w:val="14"/>
                <w:szCs w:val="14"/>
              </w:rPr>
              <w:t>Logistic Regression</w:t>
            </w:r>
          </w:p>
        </w:tc>
        <w:tc>
          <w:tcPr>
            <w:tcW w:w="900" w:type="dxa"/>
            <w:tcBorders>
              <w:top w:val="single" w:sz="12" w:space="0" w:color="auto"/>
              <w:bottom w:val="single" w:sz="12" w:space="0" w:color="auto"/>
            </w:tcBorders>
          </w:tcPr>
          <w:p w14:paraId="2BA69095" w14:textId="77777777" w:rsidR="001B1A85" w:rsidRPr="00A831E7" w:rsidRDefault="001B1A85" w:rsidP="00470A5C">
            <w:pPr>
              <w:jc w:val="center"/>
              <w:rPr>
                <w:sz w:val="18"/>
                <w:szCs w:val="18"/>
              </w:rPr>
            </w:pPr>
            <w:r w:rsidRPr="00A831E7">
              <w:rPr>
                <w:sz w:val="18"/>
                <w:szCs w:val="18"/>
              </w:rPr>
              <w:t>IS-NC</w:t>
            </w:r>
          </w:p>
        </w:tc>
        <w:tc>
          <w:tcPr>
            <w:tcW w:w="630" w:type="dxa"/>
            <w:tcBorders>
              <w:top w:val="single" w:sz="12" w:space="0" w:color="auto"/>
              <w:bottom w:val="single" w:sz="12" w:space="0" w:color="auto"/>
            </w:tcBorders>
          </w:tcPr>
          <w:p w14:paraId="30055D27" w14:textId="2869C48D" w:rsidR="001B1A85" w:rsidRPr="00A831E7" w:rsidRDefault="001B1A85" w:rsidP="00470A5C">
            <w:pPr>
              <w:jc w:val="center"/>
              <w:rPr>
                <w:sz w:val="18"/>
                <w:szCs w:val="18"/>
              </w:rPr>
            </w:pPr>
            <w:r w:rsidRPr="00A831E7">
              <w:rPr>
                <w:sz w:val="18"/>
                <w:szCs w:val="18"/>
              </w:rPr>
              <w:t>0.8</w:t>
            </w:r>
            <w:r w:rsidR="0072462A" w:rsidRPr="00A831E7">
              <w:rPr>
                <w:sz w:val="18"/>
                <w:szCs w:val="18"/>
              </w:rPr>
              <w:t>59</w:t>
            </w:r>
          </w:p>
        </w:tc>
        <w:tc>
          <w:tcPr>
            <w:tcW w:w="720" w:type="dxa"/>
            <w:tcBorders>
              <w:top w:val="single" w:sz="12" w:space="0" w:color="auto"/>
              <w:bottom w:val="single" w:sz="12" w:space="0" w:color="auto"/>
            </w:tcBorders>
            <w:shd w:val="clear" w:color="auto" w:fill="auto"/>
          </w:tcPr>
          <w:p w14:paraId="58D35D69" w14:textId="77777777" w:rsidR="001B1A85" w:rsidRPr="00A831E7" w:rsidRDefault="001B1A85" w:rsidP="00470A5C">
            <w:pPr>
              <w:jc w:val="center"/>
              <w:rPr>
                <w:sz w:val="18"/>
                <w:szCs w:val="18"/>
              </w:rPr>
            </w:pPr>
            <w:r w:rsidRPr="00A831E7">
              <w:rPr>
                <w:sz w:val="18"/>
                <w:szCs w:val="18"/>
              </w:rPr>
              <w:t>-</w:t>
            </w:r>
          </w:p>
        </w:tc>
        <w:tc>
          <w:tcPr>
            <w:tcW w:w="720" w:type="dxa"/>
            <w:tcBorders>
              <w:top w:val="single" w:sz="12" w:space="0" w:color="auto"/>
              <w:bottom w:val="single" w:sz="12" w:space="0" w:color="auto"/>
            </w:tcBorders>
            <w:shd w:val="clear" w:color="auto" w:fill="auto"/>
          </w:tcPr>
          <w:p w14:paraId="3FB3607C" w14:textId="77777777" w:rsidR="001B1A85" w:rsidRPr="00A831E7" w:rsidRDefault="001B1A85" w:rsidP="00470A5C">
            <w:pPr>
              <w:jc w:val="center"/>
              <w:rPr>
                <w:sz w:val="18"/>
                <w:szCs w:val="18"/>
              </w:rPr>
            </w:pPr>
            <w:r w:rsidRPr="00A831E7">
              <w:rPr>
                <w:sz w:val="18"/>
                <w:szCs w:val="18"/>
              </w:rPr>
              <w:t>-</w:t>
            </w:r>
          </w:p>
        </w:tc>
        <w:tc>
          <w:tcPr>
            <w:tcW w:w="720" w:type="dxa"/>
            <w:tcBorders>
              <w:bottom w:val="single" w:sz="12" w:space="0" w:color="auto"/>
              <w:right w:val="single" w:sz="12" w:space="0" w:color="000000"/>
            </w:tcBorders>
          </w:tcPr>
          <w:p w14:paraId="5F8938A1" w14:textId="2B05E8C9" w:rsidR="001B1A85" w:rsidRPr="00A831E7" w:rsidRDefault="00A9201D" w:rsidP="00470A5C">
            <w:pPr>
              <w:rPr>
                <w:sz w:val="18"/>
                <w:szCs w:val="18"/>
              </w:rPr>
            </w:pPr>
            <w:r w:rsidRPr="00A831E7">
              <w:rPr>
                <w:sz w:val="18"/>
                <w:szCs w:val="18"/>
              </w:rPr>
              <w:fldChar w:fldCharType="begin"/>
            </w:r>
            <w:r w:rsidR="00B22777" w:rsidRPr="00A831E7">
              <w:rPr>
                <w:sz w:val="18"/>
                <w:szCs w:val="18"/>
              </w:rPr>
              <w:instrText xml:space="preserve"> ADDIN ZOTERO_ITEM CSL_CITATION {"citationID":"2d21KFIy","properties":{"formattedCitation":"[77]","plainCitation":"[77]","noteIndex":0},"citationItems":[{"id":585,"uris":["http://zotero.org/users/local/mfHf28QG/items/PHBIWPGX"],"itemData":{"id":585,"type":"article-journal","abstract":"Purpose: The present study aimed to investigate the comprehensive differential expression profile of microRNAs (miRNAs) by screening for miRNA expression in ischemic stroke and normal samples., Methods: Differentially expressed miRNA (DEM) analysis was conducted using limma R Bioconductor package. Target genes of DEMs were identified from TargetScanHuman and miRTarBase databases. Functional enrichment analysis of the target genes was performed using clusterProfiler R Bioconductor package. The miRNA-based ischemic stroke diagnostic signature was constructed via logistic regression analysis., Results: Compared with the normal cohort, a total of 14 DEMs, including 5 up-regulated miRNAs and 9 down-regulated miRNAs, were identified in ischemic stroke patients. These DEMs have 1600 regulatory targets. Using a logistic regression model, the top five miRNAs were screened for constructing an miRNA-based ischemic stroke diagnostic signature. Using the miRNA–mRNA interaction pairs, two target genes (specificity protein 1 (SP1) and Argonaute 1 (AGO1)) were speculated to be the primary genes of ischemic stroke., Discussion and conclusion: Here, several potential miRNAs biomarkers were identified and an miRNA-based diagnostic signature for ischemic stroke was established, which can be a valuable reference for future clinical researches.","container-title":"Bioscience Reports","DOI":"10.1042/BSR20201154","ISSN":"0144-8463","issue":"8","journalAbbreviation":"Biosci Rep","note":"PMID: 32744319\nPMCID: PMC7432999","page":"BSR20201154","source":"PubMed Central","title":"Bioinformatics method combined with logistic regression analysis reveal potentially important miRNAs in ischemic stroke","volume":"40","author":[{"family":"Wei","given":"Zhiqiang"},{"family":"Qi","given":"Xingdi"},{"family":"Chen","given":"Yan"},{"family":"Xia","given":"Xiaoshuang"},{"family":"Zheng","given":"Boyu"},{"family":"Sun","given":"Xugang"},{"family":"Zhang","given":"Guangming"},{"family":"Wang","given":"Ling"},{"family":"Zhang","given":"Qi"},{"family":"Xu","given":"Chen"},{"family":"Jiang","given":"Shihe"},{"family":"Li","given":"Xiulian"},{"family":"Xie","given":"Bingxin"},{"family":"Liao","given":"Xiaohui"},{"family":"Zhu","given":"Ai"}],"issued":{"date-parts":[["2020",8,17]]}}}],"schema":"https://github.com/citation-style-language/schema/raw/master/csl-citation.json"} </w:instrText>
            </w:r>
            <w:r w:rsidRPr="00A831E7">
              <w:rPr>
                <w:sz w:val="18"/>
                <w:szCs w:val="18"/>
              </w:rPr>
              <w:fldChar w:fldCharType="separate"/>
            </w:r>
            <w:r w:rsidR="00B22777" w:rsidRPr="00A831E7">
              <w:rPr>
                <w:sz w:val="18"/>
              </w:rPr>
              <w:t>[77]</w:t>
            </w:r>
            <w:r w:rsidRPr="00A831E7">
              <w:rPr>
                <w:sz w:val="18"/>
                <w:szCs w:val="18"/>
              </w:rPr>
              <w:fldChar w:fldCharType="end"/>
            </w:r>
          </w:p>
        </w:tc>
      </w:tr>
      <w:tr w:rsidR="00DC70B7" w:rsidRPr="00A831E7" w14:paraId="6CE4A6EC" w14:textId="77777777" w:rsidTr="00DF5E63">
        <w:trPr>
          <w:trHeight w:val="869"/>
        </w:trPr>
        <w:tc>
          <w:tcPr>
            <w:tcW w:w="1170" w:type="dxa"/>
            <w:vMerge w:val="restart"/>
            <w:tcBorders>
              <w:top w:val="single" w:sz="12" w:space="0" w:color="auto"/>
              <w:left w:val="single" w:sz="12" w:space="0" w:color="auto"/>
            </w:tcBorders>
          </w:tcPr>
          <w:p w14:paraId="128D3A95" w14:textId="77777777" w:rsidR="00DC70B7" w:rsidRPr="00730D74" w:rsidRDefault="00DC70B7" w:rsidP="00470A5C">
            <w:pPr>
              <w:rPr>
                <w:sz w:val="18"/>
                <w:szCs w:val="18"/>
                <w:lang w:val="en-US"/>
              </w:rPr>
            </w:pPr>
            <w:r w:rsidRPr="00730D74">
              <w:rPr>
                <w:sz w:val="18"/>
                <w:szCs w:val="18"/>
                <w:lang w:val="en-US"/>
              </w:rPr>
              <w:t>TNFSF10, ID1, PAQR8, OSR2, PDK4, PEX11B, TNIP1, FFAR2,</w:t>
            </w:r>
          </w:p>
          <w:p w14:paraId="4F0D11D0" w14:textId="77777777" w:rsidR="00DC70B7" w:rsidRPr="00A831E7" w:rsidRDefault="00DC70B7" w:rsidP="00470A5C">
            <w:pPr>
              <w:rPr>
                <w:sz w:val="18"/>
                <w:szCs w:val="18"/>
              </w:rPr>
            </w:pPr>
            <w:r w:rsidRPr="00A831E7">
              <w:rPr>
                <w:sz w:val="18"/>
                <w:szCs w:val="18"/>
              </w:rPr>
              <w:t>and JUN</w:t>
            </w:r>
          </w:p>
        </w:tc>
        <w:tc>
          <w:tcPr>
            <w:tcW w:w="1620" w:type="dxa"/>
            <w:vMerge w:val="restart"/>
            <w:tcBorders>
              <w:top w:val="single" w:sz="12" w:space="0" w:color="auto"/>
            </w:tcBorders>
          </w:tcPr>
          <w:p w14:paraId="43712E6E" w14:textId="7810E585" w:rsidR="00DC70B7" w:rsidRDefault="00DC70B7" w:rsidP="00DC70B7">
            <w:pPr>
              <w:jc w:val="center"/>
              <w:rPr>
                <w:sz w:val="18"/>
                <w:szCs w:val="18"/>
              </w:rPr>
            </w:pPr>
            <w:r w:rsidRPr="00730D74">
              <w:rPr>
                <w:sz w:val="18"/>
                <w:szCs w:val="18"/>
                <w:lang w:val="en-US"/>
              </w:rPr>
              <w:t>Differentially expressed genes</w:t>
            </w:r>
            <w:r>
              <w:rPr>
                <w:sz w:val="18"/>
                <w:szCs w:val="18"/>
                <w:lang w:val="en-US"/>
              </w:rPr>
              <w:t>:</w:t>
            </w:r>
            <w:r w:rsidRPr="00730D74">
              <w:rPr>
                <w:sz w:val="18"/>
                <w:szCs w:val="18"/>
                <w:lang w:val="en-US"/>
              </w:rPr>
              <w:t xml:space="preserve"> </w:t>
            </w:r>
            <w:r w:rsidRPr="00730D74">
              <w:rPr>
                <w:sz w:val="18"/>
                <w:szCs w:val="18"/>
                <w:lang w:val="en-US"/>
              </w:rPr>
              <w:br/>
              <w:t>9 blood derived</w:t>
            </w:r>
            <w:r>
              <w:rPr>
                <w:sz w:val="18"/>
                <w:szCs w:val="18"/>
                <w:lang w:val="en-US"/>
              </w:rPr>
              <w:t xml:space="preserve"> </w:t>
            </w:r>
            <w:r w:rsidRPr="00730D74">
              <w:rPr>
                <w:sz w:val="18"/>
                <w:szCs w:val="18"/>
                <w:lang w:val="en-US"/>
              </w:rPr>
              <w:t>inflammation</w:t>
            </w:r>
            <w:r>
              <w:rPr>
                <w:sz w:val="18"/>
                <w:szCs w:val="18"/>
                <w:lang w:val="en-US"/>
              </w:rPr>
              <w:t>-</w:t>
            </w:r>
            <w:r w:rsidRPr="00730D74">
              <w:rPr>
                <w:sz w:val="18"/>
                <w:szCs w:val="18"/>
                <w:lang w:val="en-US"/>
              </w:rPr>
              <w:t>related DEGs</w:t>
            </w:r>
          </w:p>
          <w:p w14:paraId="13F5F6B9" w14:textId="77777777" w:rsidR="00387775" w:rsidRPr="00387775" w:rsidRDefault="00387775" w:rsidP="00DC70B7">
            <w:pPr>
              <w:jc w:val="center"/>
              <w:rPr>
                <w:sz w:val="18"/>
                <w:szCs w:val="18"/>
              </w:rPr>
            </w:pPr>
          </w:p>
          <w:p w14:paraId="6ED4D045" w14:textId="77777777" w:rsidR="00DC70B7" w:rsidRDefault="00DC70B7" w:rsidP="00DC70B7">
            <w:pPr>
              <w:jc w:val="center"/>
              <w:rPr>
                <w:sz w:val="18"/>
                <w:szCs w:val="18"/>
                <w:lang w:val="en-US"/>
              </w:rPr>
            </w:pPr>
            <w:r w:rsidRPr="00730D74">
              <w:rPr>
                <w:sz w:val="18"/>
                <w:szCs w:val="18"/>
                <w:lang w:val="en-US"/>
              </w:rPr>
              <w:t xml:space="preserve"> [validation cohort]</w:t>
            </w:r>
          </w:p>
          <w:p w14:paraId="25303E8B" w14:textId="6E19F7DD" w:rsidR="00DC70B7" w:rsidRPr="00387775" w:rsidRDefault="00DC70B7" w:rsidP="00DC70B7">
            <w:pPr>
              <w:jc w:val="center"/>
              <w:rPr>
                <w:i/>
                <w:iCs/>
                <w:sz w:val="18"/>
                <w:szCs w:val="18"/>
                <w:lang w:val="en-US"/>
              </w:rPr>
            </w:pPr>
            <w:r w:rsidRPr="00387775">
              <w:rPr>
                <w:i/>
                <w:iCs/>
                <w:sz w:val="18"/>
                <w:szCs w:val="18"/>
                <w:lang w:val="en-US"/>
              </w:rPr>
              <w:t>NC=15, IS=34,CH=16</w:t>
            </w:r>
          </w:p>
        </w:tc>
        <w:tc>
          <w:tcPr>
            <w:tcW w:w="990" w:type="dxa"/>
            <w:vMerge w:val="restart"/>
            <w:tcBorders>
              <w:top w:val="single" w:sz="12" w:space="0" w:color="auto"/>
            </w:tcBorders>
          </w:tcPr>
          <w:p w14:paraId="67570675" w14:textId="77777777" w:rsidR="00336BD8" w:rsidRDefault="00DC70B7" w:rsidP="00470A5C">
            <w:pPr>
              <w:jc w:val="center"/>
              <w:rPr>
                <w:sz w:val="18"/>
                <w:szCs w:val="18"/>
                <w:lang w:val="en-US"/>
              </w:rPr>
            </w:pPr>
            <w:r w:rsidRPr="00730D74">
              <w:rPr>
                <w:sz w:val="18"/>
                <w:szCs w:val="18"/>
                <w:lang w:val="en-US"/>
              </w:rPr>
              <w:t>-</w:t>
            </w:r>
          </w:p>
          <w:p w14:paraId="2F036C75" w14:textId="77777777" w:rsidR="00336BD8" w:rsidRDefault="00336BD8" w:rsidP="00470A5C">
            <w:pPr>
              <w:jc w:val="center"/>
              <w:rPr>
                <w:sz w:val="18"/>
                <w:szCs w:val="18"/>
                <w:lang w:val="en-US"/>
              </w:rPr>
            </w:pPr>
            <w:r w:rsidRPr="00730D74">
              <w:rPr>
                <w:sz w:val="18"/>
                <w:szCs w:val="18"/>
                <w:lang w:val="en-US"/>
              </w:rPr>
              <w:t>whole blood</w:t>
            </w:r>
          </w:p>
          <w:p w14:paraId="430E2F48" w14:textId="77777777" w:rsidR="00115381" w:rsidRDefault="00DC70B7" w:rsidP="00470A5C">
            <w:pPr>
              <w:jc w:val="center"/>
              <w:rPr>
                <w:sz w:val="18"/>
                <w:szCs w:val="18"/>
              </w:rPr>
            </w:pPr>
            <w:r w:rsidRPr="00730D74">
              <w:rPr>
                <w:sz w:val="18"/>
                <w:szCs w:val="18"/>
                <w:lang w:val="en-US"/>
              </w:rPr>
              <w:br/>
              <w:t>limma in R/</w:t>
            </w:r>
          </w:p>
          <w:p w14:paraId="46DC14DD" w14:textId="53D8E676" w:rsidR="00DC70B7" w:rsidRPr="00730D74" w:rsidRDefault="00DC70B7" w:rsidP="00470A5C">
            <w:pPr>
              <w:jc w:val="center"/>
              <w:rPr>
                <w:sz w:val="18"/>
                <w:szCs w:val="18"/>
                <w:lang w:val="en-US"/>
              </w:rPr>
            </w:pPr>
            <w:r w:rsidRPr="00730D74">
              <w:rPr>
                <w:sz w:val="18"/>
                <w:szCs w:val="18"/>
                <w:lang w:val="en-US"/>
              </w:rPr>
              <w:t>WCGNA/</w:t>
            </w:r>
            <w:r w:rsidRPr="00730D74">
              <w:rPr>
                <w:sz w:val="18"/>
                <w:szCs w:val="18"/>
                <w:lang w:val="en-US"/>
              </w:rPr>
              <w:br/>
              <w:t>qRT-PCR</w:t>
            </w:r>
          </w:p>
        </w:tc>
        <w:tc>
          <w:tcPr>
            <w:tcW w:w="900" w:type="dxa"/>
            <w:vMerge w:val="restart"/>
            <w:tcBorders>
              <w:top w:val="single" w:sz="12" w:space="0" w:color="auto"/>
            </w:tcBorders>
          </w:tcPr>
          <w:p w14:paraId="04194F3C" w14:textId="77777777" w:rsidR="00DC70B7" w:rsidRPr="00A831E7" w:rsidRDefault="00DC70B7" w:rsidP="00470A5C">
            <w:pPr>
              <w:jc w:val="center"/>
              <w:rPr>
                <w:sz w:val="18"/>
                <w:szCs w:val="18"/>
              </w:rPr>
            </w:pPr>
            <w:r w:rsidRPr="00A831E7">
              <w:rPr>
                <w:sz w:val="18"/>
                <w:szCs w:val="18"/>
              </w:rPr>
              <w:t>LASSO</w:t>
            </w:r>
          </w:p>
        </w:tc>
        <w:tc>
          <w:tcPr>
            <w:tcW w:w="900" w:type="dxa"/>
            <w:tcBorders>
              <w:top w:val="single" w:sz="12" w:space="0" w:color="auto"/>
              <w:bottom w:val="single" w:sz="4" w:space="0" w:color="auto"/>
            </w:tcBorders>
          </w:tcPr>
          <w:p w14:paraId="5A016851" w14:textId="4AB855BB" w:rsidR="00DC70B7" w:rsidRPr="00DC70B7" w:rsidRDefault="00DC70B7" w:rsidP="00470A5C">
            <w:pPr>
              <w:jc w:val="center"/>
              <w:rPr>
                <w:sz w:val="18"/>
                <w:szCs w:val="18"/>
                <w:lang w:val="en-US"/>
              </w:rPr>
            </w:pPr>
            <w:r w:rsidRPr="00A831E7">
              <w:rPr>
                <w:sz w:val="18"/>
                <w:szCs w:val="18"/>
              </w:rPr>
              <w:t>IS-</w:t>
            </w:r>
            <w:r>
              <w:rPr>
                <w:sz w:val="18"/>
                <w:szCs w:val="18"/>
                <w:lang w:val="en-US"/>
              </w:rPr>
              <w:t>ALL</w:t>
            </w:r>
          </w:p>
        </w:tc>
        <w:tc>
          <w:tcPr>
            <w:tcW w:w="630" w:type="dxa"/>
            <w:tcBorders>
              <w:top w:val="single" w:sz="12" w:space="0" w:color="auto"/>
              <w:bottom w:val="single" w:sz="4" w:space="0" w:color="auto"/>
            </w:tcBorders>
          </w:tcPr>
          <w:p w14:paraId="030BDC1F" w14:textId="4D1C1749" w:rsidR="00DC70B7" w:rsidRPr="00A831E7" w:rsidRDefault="00DC70B7" w:rsidP="00470A5C">
            <w:pPr>
              <w:jc w:val="center"/>
              <w:rPr>
                <w:sz w:val="18"/>
                <w:szCs w:val="18"/>
              </w:rPr>
            </w:pPr>
            <w:r w:rsidRPr="00A831E7">
              <w:rPr>
                <w:sz w:val="18"/>
                <w:szCs w:val="18"/>
              </w:rPr>
              <w:t>0.933</w:t>
            </w:r>
          </w:p>
        </w:tc>
        <w:tc>
          <w:tcPr>
            <w:tcW w:w="720" w:type="dxa"/>
            <w:tcBorders>
              <w:top w:val="single" w:sz="12" w:space="0" w:color="auto"/>
              <w:bottom w:val="single" w:sz="4" w:space="0" w:color="auto"/>
            </w:tcBorders>
            <w:shd w:val="clear" w:color="auto" w:fill="auto"/>
          </w:tcPr>
          <w:p w14:paraId="79084BED" w14:textId="77777777" w:rsidR="00DC70B7" w:rsidRPr="00A831E7" w:rsidRDefault="00DC70B7" w:rsidP="00470A5C">
            <w:pPr>
              <w:jc w:val="center"/>
              <w:rPr>
                <w:sz w:val="18"/>
                <w:szCs w:val="18"/>
              </w:rPr>
            </w:pPr>
            <w:r w:rsidRPr="00A831E7">
              <w:rPr>
                <w:sz w:val="18"/>
                <w:szCs w:val="18"/>
              </w:rPr>
              <w:t>-</w:t>
            </w:r>
          </w:p>
        </w:tc>
        <w:tc>
          <w:tcPr>
            <w:tcW w:w="720" w:type="dxa"/>
            <w:tcBorders>
              <w:top w:val="single" w:sz="12" w:space="0" w:color="auto"/>
              <w:bottom w:val="single" w:sz="4" w:space="0" w:color="auto"/>
            </w:tcBorders>
            <w:shd w:val="clear" w:color="auto" w:fill="auto"/>
          </w:tcPr>
          <w:p w14:paraId="4E55CBEB" w14:textId="77777777" w:rsidR="00DC70B7" w:rsidRPr="00A831E7" w:rsidRDefault="00DC70B7" w:rsidP="00470A5C">
            <w:pPr>
              <w:jc w:val="center"/>
              <w:rPr>
                <w:sz w:val="18"/>
                <w:szCs w:val="18"/>
              </w:rPr>
            </w:pPr>
            <w:r w:rsidRPr="00A831E7">
              <w:rPr>
                <w:sz w:val="18"/>
                <w:szCs w:val="18"/>
              </w:rPr>
              <w:t>-</w:t>
            </w:r>
          </w:p>
        </w:tc>
        <w:tc>
          <w:tcPr>
            <w:tcW w:w="720" w:type="dxa"/>
            <w:vMerge w:val="restart"/>
            <w:tcBorders>
              <w:top w:val="single" w:sz="12" w:space="0" w:color="auto"/>
              <w:right w:val="single" w:sz="12" w:space="0" w:color="000000"/>
            </w:tcBorders>
          </w:tcPr>
          <w:p w14:paraId="4C7CDAD9" w14:textId="416D7FF5" w:rsidR="00DC70B7" w:rsidRPr="00A831E7" w:rsidRDefault="00DC70B7" w:rsidP="00470A5C">
            <w:pPr>
              <w:rPr>
                <w:sz w:val="18"/>
                <w:szCs w:val="18"/>
              </w:rPr>
            </w:pPr>
            <w:r w:rsidRPr="00A831E7">
              <w:rPr>
                <w:sz w:val="18"/>
                <w:szCs w:val="18"/>
              </w:rPr>
              <w:fldChar w:fldCharType="begin"/>
            </w:r>
            <w:r w:rsidRPr="00A831E7">
              <w:rPr>
                <w:sz w:val="18"/>
                <w:szCs w:val="18"/>
              </w:rPr>
              <w:instrText xml:space="preserve"> ADDIN ZOTERO_ITEM CSL_CITATION {"citationID":"eUnJxU0R","properties":{"formattedCitation":"[76]","plainCitation":"[76]","noteIndex":0},"citationItems":[{"id":344,"uris":["http://zotero.org/users/local/mfHf28QG/items/G5Z5WKCE"],"itemData":{"id":344,"type":"article-journal","abstract":"Ischemic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schema":"https://github.com/citation-style-language/schema/raw/master/csl-citation.json"} </w:instrText>
            </w:r>
            <w:r w:rsidRPr="00A831E7">
              <w:rPr>
                <w:sz w:val="18"/>
                <w:szCs w:val="18"/>
              </w:rPr>
              <w:fldChar w:fldCharType="separate"/>
            </w:r>
            <w:r w:rsidRPr="00A831E7">
              <w:rPr>
                <w:sz w:val="18"/>
              </w:rPr>
              <w:t>[76]</w:t>
            </w:r>
            <w:r w:rsidRPr="00A831E7">
              <w:rPr>
                <w:sz w:val="18"/>
                <w:szCs w:val="18"/>
              </w:rPr>
              <w:fldChar w:fldCharType="end"/>
            </w:r>
          </w:p>
        </w:tc>
      </w:tr>
      <w:tr w:rsidR="00DC70B7" w:rsidRPr="00A831E7" w14:paraId="66B1FC66" w14:textId="77777777" w:rsidTr="00DF5E63">
        <w:trPr>
          <w:trHeight w:val="63"/>
        </w:trPr>
        <w:tc>
          <w:tcPr>
            <w:tcW w:w="1170" w:type="dxa"/>
            <w:vMerge/>
            <w:tcBorders>
              <w:left w:val="single" w:sz="12" w:space="0" w:color="auto"/>
              <w:bottom w:val="single" w:sz="12" w:space="0" w:color="auto"/>
            </w:tcBorders>
          </w:tcPr>
          <w:p w14:paraId="2245459B" w14:textId="77777777" w:rsidR="00DC70B7" w:rsidRPr="00730D74" w:rsidRDefault="00DC70B7" w:rsidP="00470A5C">
            <w:pPr>
              <w:rPr>
                <w:sz w:val="18"/>
                <w:szCs w:val="18"/>
                <w:lang w:val="en-US"/>
              </w:rPr>
            </w:pPr>
          </w:p>
        </w:tc>
        <w:tc>
          <w:tcPr>
            <w:tcW w:w="1620" w:type="dxa"/>
            <w:vMerge/>
            <w:tcBorders>
              <w:bottom w:val="single" w:sz="12" w:space="0" w:color="auto"/>
            </w:tcBorders>
          </w:tcPr>
          <w:p w14:paraId="568C2299" w14:textId="77777777" w:rsidR="00DC70B7" w:rsidRPr="00730D74" w:rsidRDefault="00DC70B7" w:rsidP="00DC70B7">
            <w:pPr>
              <w:jc w:val="center"/>
              <w:rPr>
                <w:sz w:val="18"/>
                <w:szCs w:val="18"/>
                <w:lang w:val="en-US"/>
              </w:rPr>
            </w:pPr>
          </w:p>
        </w:tc>
        <w:tc>
          <w:tcPr>
            <w:tcW w:w="990" w:type="dxa"/>
            <w:vMerge/>
            <w:tcBorders>
              <w:bottom w:val="single" w:sz="12" w:space="0" w:color="auto"/>
            </w:tcBorders>
          </w:tcPr>
          <w:p w14:paraId="591838DF" w14:textId="77777777" w:rsidR="00DC70B7" w:rsidRPr="00730D74" w:rsidRDefault="00DC70B7" w:rsidP="00470A5C">
            <w:pPr>
              <w:jc w:val="center"/>
              <w:rPr>
                <w:sz w:val="18"/>
                <w:szCs w:val="18"/>
                <w:lang w:val="en-US"/>
              </w:rPr>
            </w:pPr>
          </w:p>
        </w:tc>
        <w:tc>
          <w:tcPr>
            <w:tcW w:w="900" w:type="dxa"/>
            <w:vMerge/>
            <w:tcBorders>
              <w:bottom w:val="single" w:sz="12" w:space="0" w:color="auto"/>
            </w:tcBorders>
          </w:tcPr>
          <w:p w14:paraId="114AB56E" w14:textId="77777777" w:rsidR="00DC70B7" w:rsidRPr="00A831E7" w:rsidRDefault="00DC70B7" w:rsidP="00470A5C">
            <w:pPr>
              <w:jc w:val="center"/>
              <w:rPr>
                <w:sz w:val="18"/>
                <w:szCs w:val="18"/>
              </w:rPr>
            </w:pPr>
          </w:p>
        </w:tc>
        <w:tc>
          <w:tcPr>
            <w:tcW w:w="900" w:type="dxa"/>
            <w:tcBorders>
              <w:top w:val="single" w:sz="4" w:space="0" w:color="auto"/>
              <w:bottom w:val="single" w:sz="12" w:space="0" w:color="auto"/>
            </w:tcBorders>
          </w:tcPr>
          <w:p w14:paraId="7A1EFE72" w14:textId="1CA070AD" w:rsidR="00DC70B7" w:rsidRPr="00DC70B7" w:rsidRDefault="00DC70B7" w:rsidP="00470A5C">
            <w:pPr>
              <w:jc w:val="center"/>
              <w:rPr>
                <w:sz w:val="18"/>
                <w:szCs w:val="18"/>
                <w:lang w:val="en-US"/>
              </w:rPr>
            </w:pPr>
            <w:r>
              <w:rPr>
                <w:sz w:val="18"/>
                <w:szCs w:val="18"/>
                <w:lang w:val="en-US"/>
              </w:rPr>
              <w:t>CH-ALL</w:t>
            </w:r>
          </w:p>
        </w:tc>
        <w:tc>
          <w:tcPr>
            <w:tcW w:w="630" w:type="dxa"/>
            <w:tcBorders>
              <w:top w:val="single" w:sz="4" w:space="0" w:color="auto"/>
              <w:bottom w:val="single" w:sz="12" w:space="0" w:color="auto"/>
            </w:tcBorders>
          </w:tcPr>
          <w:p w14:paraId="1214522E" w14:textId="78AB9268" w:rsidR="00DC70B7" w:rsidRPr="00DC70B7" w:rsidRDefault="00DC70B7" w:rsidP="00470A5C">
            <w:pPr>
              <w:jc w:val="center"/>
              <w:rPr>
                <w:sz w:val="18"/>
                <w:szCs w:val="18"/>
                <w:lang w:val="en-US"/>
              </w:rPr>
            </w:pPr>
            <w:r>
              <w:rPr>
                <w:sz w:val="18"/>
                <w:szCs w:val="18"/>
                <w:lang w:val="en-US"/>
              </w:rPr>
              <w:t>0.733</w:t>
            </w:r>
          </w:p>
        </w:tc>
        <w:tc>
          <w:tcPr>
            <w:tcW w:w="720" w:type="dxa"/>
            <w:tcBorders>
              <w:top w:val="single" w:sz="4" w:space="0" w:color="auto"/>
              <w:bottom w:val="single" w:sz="12" w:space="0" w:color="auto"/>
            </w:tcBorders>
            <w:shd w:val="clear" w:color="auto" w:fill="auto"/>
          </w:tcPr>
          <w:p w14:paraId="30A15E71" w14:textId="3BA0C707" w:rsidR="00DC70B7" w:rsidRPr="00DC70B7" w:rsidRDefault="00DC70B7" w:rsidP="00470A5C">
            <w:pPr>
              <w:jc w:val="center"/>
              <w:rPr>
                <w:sz w:val="18"/>
                <w:szCs w:val="18"/>
                <w:lang w:val="en-US"/>
              </w:rPr>
            </w:pPr>
            <w:r>
              <w:rPr>
                <w:sz w:val="18"/>
                <w:szCs w:val="18"/>
                <w:lang w:val="en-US"/>
              </w:rPr>
              <w:t>-</w:t>
            </w:r>
          </w:p>
        </w:tc>
        <w:tc>
          <w:tcPr>
            <w:tcW w:w="720" w:type="dxa"/>
            <w:tcBorders>
              <w:top w:val="single" w:sz="4" w:space="0" w:color="auto"/>
              <w:bottom w:val="single" w:sz="12" w:space="0" w:color="auto"/>
            </w:tcBorders>
            <w:shd w:val="clear" w:color="auto" w:fill="auto"/>
          </w:tcPr>
          <w:p w14:paraId="39B0E394" w14:textId="22003E32" w:rsidR="00DC70B7" w:rsidRPr="00DC70B7" w:rsidRDefault="00DC70B7" w:rsidP="00470A5C">
            <w:pPr>
              <w:jc w:val="center"/>
              <w:rPr>
                <w:sz w:val="18"/>
                <w:szCs w:val="18"/>
                <w:lang w:val="en-US"/>
              </w:rPr>
            </w:pPr>
            <w:r>
              <w:rPr>
                <w:sz w:val="18"/>
                <w:szCs w:val="18"/>
                <w:lang w:val="en-US"/>
              </w:rPr>
              <w:t>-</w:t>
            </w:r>
          </w:p>
        </w:tc>
        <w:tc>
          <w:tcPr>
            <w:tcW w:w="720" w:type="dxa"/>
            <w:vMerge/>
            <w:tcBorders>
              <w:bottom w:val="single" w:sz="12" w:space="0" w:color="auto"/>
              <w:right w:val="single" w:sz="12" w:space="0" w:color="000000"/>
            </w:tcBorders>
          </w:tcPr>
          <w:p w14:paraId="52176607" w14:textId="77777777" w:rsidR="00DC70B7" w:rsidRPr="00A831E7" w:rsidRDefault="00DC70B7" w:rsidP="00470A5C">
            <w:pPr>
              <w:rPr>
                <w:sz w:val="18"/>
                <w:szCs w:val="18"/>
              </w:rPr>
            </w:pPr>
          </w:p>
        </w:tc>
      </w:tr>
      <w:tr w:rsidR="001B1A85" w:rsidRPr="00A831E7" w14:paraId="10CEEFEE" w14:textId="77777777" w:rsidTr="003A213A">
        <w:trPr>
          <w:trHeight w:val="63"/>
        </w:trPr>
        <w:tc>
          <w:tcPr>
            <w:tcW w:w="1170" w:type="dxa"/>
            <w:tcBorders>
              <w:top w:val="single" w:sz="12" w:space="0" w:color="auto"/>
              <w:left w:val="single" w:sz="12" w:space="0" w:color="auto"/>
              <w:bottom w:val="single" w:sz="12" w:space="0" w:color="auto"/>
            </w:tcBorders>
          </w:tcPr>
          <w:p w14:paraId="1AE4A1C0" w14:textId="5353B04C" w:rsidR="001B1A85" w:rsidRPr="00730D74" w:rsidRDefault="001B1A85" w:rsidP="00470A5C">
            <w:pPr>
              <w:rPr>
                <w:sz w:val="16"/>
                <w:szCs w:val="16"/>
                <w:lang w:val="en-US"/>
              </w:rPr>
            </w:pPr>
            <w:r w:rsidRPr="00730D74">
              <w:rPr>
                <w:sz w:val="16"/>
                <w:szCs w:val="16"/>
                <w:lang w:val="en-US"/>
              </w:rPr>
              <w:t>SESN3,HBQ1</w:t>
            </w:r>
            <w:r w:rsidRPr="00730D74">
              <w:rPr>
                <w:sz w:val="16"/>
                <w:szCs w:val="16"/>
                <w:lang w:val="en-US"/>
              </w:rPr>
              <w:br/>
              <w:t>PROS1,RFX2,</w:t>
            </w:r>
          </w:p>
          <w:p w14:paraId="501DF986" w14:textId="77777777" w:rsidR="001B1A85" w:rsidRPr="00730D74" w:rsidRDefault="001B1A85" w:rsidP="00470A5C">
            <w:pPr>
              <w:rPr>
                <w:sz w:val="16"/>
                <w:szCs w:val="16"/>
                <w:lang w:val="en-US"/>
              </w:rPr>
            </w:pPr>
            <w:r w:rsidRPr="00730D74">
              <w:rPr>
                <w:sz w:val="16"/>
                <w:szCs w:val="16"/>
                <w:lang w:val="en-US"/>
              </w:rPr>
              <w:t>CD248,ARL4, SERF2,TMEM25,RASGRP1,ALG5,</w:t>
            </w:r>
          </w:p>
          <w:p w14:paraId="28FA5B0E" w14:textId="77777777" w:rsidR="001B1A85" w:rsidRPr="00730D74" w:rsidRDefault="001B1A85" w:rsidP="00470A5C">
            <w:pPr>
              <w:rPr>
                <w:sz w:val="16"/>
                <w:szCs w:val="16"/>
                <w:lang w:val="en-US"/>
              </w:rPr>
            </w:pPr>
            <w:r w:rsidRPr="00730D74">
              <w:rPr>
                <w:sz w:val="16"/>
                <w:szCs w:val="16"/>
                <w:lang w:val="en-US"/>
              </w:rPr>
              <w:t>SEP15, DNMT1,</w:t>
            </w:r>
          </w:p>
          <w:p w14:paraId="2783E59B" w14:textId="77777777" w:rsidR="001B1A85" w:rsidRPr="00730D74" w:rsidRDefault="001B1A85" w:rsidP="00470A5C">
            <w:pPr>
              <w:rPr>
                <w:sz w:val="16"/>
                <w:szCs w:val="16"/>
                <w:lang w:val="en-US"/>
              </w:rPr>
            </w:pPr>
            <w:r w:rsidRPr="00730D74">
              <w:rPr>
                <w:sz w:val="16"/>
                <w:szCs w:val="16"/>
                <w:lang w:val="en-US"/>
              </w:rPr>
              <w:t>PSMA4, ZNF146,</w:t>
            </w:r>
          </w:p>
          <w:p w14:paraId="0A0C23A9" w14:textId="77777777" w:rsidR="001B1A85" w:rsidRPr="00730D74" w:rsidRDefault="001B1A85" w:rsidP="00470A5C">
            <w:pPr>
              <w:rPr>
                <w:sz w:val="18"/>
                <w:szCs w:val="18"/>
                <w:lang w:val="en-US"/>
              </w:rPr>
            </w:pPr>
            <w:r w:rsidRPr="00730D74">
              <w:rPr>
                <w:sz w:val="16"/>
                <w:szCs w:val="16"/>
                <w:lang w:val="en-US"/>
              </w:rPr>
              <w:t xml:space="preserve">OGT, ANKRD10, </w:t>
            </w:r>
            <w:r w:rsidRPr="00730D74">
              <w:rPr>
                <w:sz w:val="16"/>
                <w:szCs w:val="16"/>
                <w:lang w:val="en-US"/>
              </w:rPr>
              <w:lastRenderedPageBreak/>
              <w:t>SNRPA1,MTSS1,CSMD1</w:t>
            </w:r>
          </w:p>
        </w:tc>
        <w:tc>
          <w:tcPr>
            <w:tcW w:w="1620" w:type="dxa"/>
            <w:tcBorders>
              <w:top w:val="single" w:sz="12" w:space="0" w:color="auto"/>
              <w:bottom w:val="single" w:sz="12" w:space="0" w:color="auto"/>
            </w:tcBorders>
          </w:tcPr>
          <w:p w14:paraId="5D6B4130" w14:textId="5F15C259" w:rsidR="001B1A85" w:rsidRPr="00336BD8" w:rsidRDefault="001B1A85" w:rsidP="00336BD8">
            <w:pPr>
              <w:jc w:val="center"/>
              <w:rPr>
                <w:sz w:val="18"/>
                <w:szCs w:val="18"/>
              </w:rPr>
            </w:pPr>
            <w:r w:rsidRPr="00730D74">
              <w:rPr>
                <w:sz w:val="18"/>
                <w:szCs w:val="18"/>
                <w:lang w:val="en-US"/>
              </w:rPr>
              <w:lastRenderedPageBreak/>
              <w:t>19 NAD+ metabolism-related markers.</w:t>
            </w:r>
            <w:r w:rsidRPr="00730D74">
              <w:rPr>
                <w:sz w:val="18"/>
                <w:szCs w:val="18"/>
                <w:lang w:val="en-US"/>
              </w:rPr>
              <w:br/>
            </w:r>
            <w:r w:rsidRPr="00730D74">
              <w:rPr>
                <w:sz w:val="18"/>
                <w:szCs w:val="18"/>
                <w:lang w:val="en-US"/>
              </w:rPr>
              <w:br/>
              <w:t xml:space="preserve"> Blood derived.</w:t>
            </w:r>
            <w:r w:rsidRPr="00730D74">
              <w:rPr>
                <w:sz w:val="18"/>
                <w:szCs w:val="18"/>
                <w:lang w:val="en-US"/>
              </w:rPr>
              <w:br/>
            </w:r>
            <w:r w:rsidRPr="00A831E7">
              <w:rPr>
                <w:sz w:val="18"/>
                <w:szCs w:val="18"/>
              </w:rPr>
              <w:t>(</w:t>
            </w:r>
            <w:hyperlink r:id="rId27" w:history="1">
              <w:r w:rsidRPr="00A831E7">
                <w:rPr>
                  <w:rStyle w:val="-"/>
                  <w:b/>
                  <w:bCs/>
                  <w:sz w:val="18"/>
                  <w:szCs w:val="18"/>
                </w:rPr>
                <w:t>GSE22255</w:t>
              </w:r>
            </w:hyperlink>
            <w:r w:rsidRPr="00A831E7">
              <w:rPr>
                <w:sz w:val="18"/>
                <w:szCs w:val="18"/>
              </w:rPr>
              <w:t>)</w:t>
            </w:r>
            <w:r w:rsidRPr="00A831E7">
              <w:rPr>
                <w:sz w:val="18"/>
                <w:szCs w:val="18"/>
              </w:rPr>
              <w:br/>
            </w:r>
            <w:r w:rsidRPr="00387775">
              <w:rPr>
                <w:i/>
                <w:iCs/>
                <w:sz w:val="16"/>
                <w:szCs w:val="16"/>
              </w:rPr>
              <w:t>[validation cohort]</w:t>
            </w:r>
          </w:p>
          <w:p w14:paraId="0EC0AE4A" w14:textId="526FF976" w:rsidR="001D33A1" w:rsidRPr="001D33A1" w:rsidRDefault="001D33A1" w:rsidP="00336BD8">
            <w:pPr>
              <w:jc w:val="center"/>
              <w:rPr>
                <w:sz w:val="18"/>
                <w:szCs w:val="18"/>
                <w:lang w:val="en-US"/>
              </w:rPr>
            </w:pPr>
            <w:r w:rsidRPr="00387775">
              <w:rPr>
                <w:i/>
                <w:iCs/>
                <w:sz w:val="16"/>
                <w:szCs w:val="16"/>
                <w:lang w:val="en-US"/>
              </w:rPr>
              <w:t>IS-20, NC=20</w:t>
            </w:r>
          </w:p>
        </w:tc>
        <w:tc>
          <w:tcPr>
            <w:tcW w:w="990" w:type="dxa"/>
            <w:tcBorders>
              <w:top w:val="single" w:sz="12" w:space="0" w:color="auto"/>
              <w:bottom w:val="single" w:sz="12" w:space="0" w:color="auto"/>
            </w:tcBorders>
          </w:tcPr>
          <w:p w14:paraId="69A6F593" w14:textId="77777777" w:rsidR="00336BD8" w:rsidRDefault="001B1A85" w:rsidP="00470A5C">
            <w:pPr>
              <w:jc w:val="center"/>
              <w:rPr>
                <w:sz w:val="18"/>
                <w:szCs w:val="18"/>
                <w:lang w:val="en-US"/>
              </w:rPr>
            </w:pPr>
            <w:r w:rsidRPr="00A831E7">
              <w:rPr>
                <w:sz w:val="18"/>
                <w:szCs w:val="18"/>
              </w:rPr>
              <w:t>-</w:t>
            </w:r>
            <w:r w:rsidRPr="00A831E7">
              <w:rPr>
                <w:sz w:val="18"/>
                <w:szCs w:val="18"/>
              </w:rPr>
              <w:br/>
              <w:t>whole blood</w:t>
            </w:r>
          </w:p>
          <w:p w14:paraId="28699BD1" w14:textId="77777777" w:rsidR="00336BD8" w:rsidRDefault="00336BD8" w:rsidP="00470A5C">
            <w:pPr>
              <w:jc w:val="center"/>
              <w:rPr>
                <w:sz w:val="18"/>
                <w:szCs w:val="18"/>
                <w:lang w:val="en-US"/>
              </w:rPr>
            </w:pPr>
          </w:p>
          <w:p w14:paraId="10EB0096" w14:textId="4527F187" w:rsidR="001B1A85" w:rsidRPr="00A831E7" w:rsidRDefault="001B1A85" w:rsidP="00470A5C">
            <w:pPr>
              <w:jc w:val="center"/>
              <w:rPr>
                <w:sz w:val="18"/>
                <w:szCs w:val="18"/>
              </w:rPr>
            </w:pPr>
            <w:r w:rsidRPr="00A831E7">
              <w:rPr>
                <w:sz w:val="18"/>
                <w:szCs w:val="18"/>
              </w:rPr>
              <w:t xml:space="preserve"> limma,</w:t>
            </w:r>
            <w:r w:rsidRPr="00A831E7">
              <w:rPr>
                <w:sz w:val="18"/>
                <w:szCs w:val="18"/>
              </w:rPr>
              <w:br/>
              <w:t>WCGNA</w:t>
            </w:r>
          </w:p>
        </w:tc>
        <w:tc>
          <w:tcPr>
            <w:tcW w:w="900" w:type="dxa"/>
            <w:tcBorders>
              <w:top w:val="single" w:sz="12" w:space="0" w:color="auto"/>
              <w:bottom w:val="single" w:sz="12" w:space="0" w:color="auto"/>
            </w:tcBorders>
          </w:tcPr>
          <w:p w14:paraId="22823AB5" w14:textId="77777777" w:rsidR="001B1A85" w:rsidRPr="00A831E7" w:rsidRDefault="001B1A85" w:rsidP="00470A5C">
            <w:pPr>
              <w:jc w:val="center"/>
              <w:rPr>
                <w:sz w:val="18"/>
                <w:szCs w:val="18"/>
              </w:rPr>
            </w:pPr>
            <w:r w:rsidRPr="00A831E7">
              <w:rPr>
                <w:sz w:val="18"/>
                <w:szCs w:val="18"/>
              </w:rPr>
              <w:t>LASSO</w:t>
            </w:r>
          </w:p>
        </w:tc>
        <w:tc>
          <w:tcPr>
            <w:tcW w:w="900" w:type="dxa"/>
            <w:tcBorders>
              <w:top w:val="single" w:sz="12" w:space="0" w:color="auto"/>
              <w:bottom w:val="single" w:sz="12" w:space="0" w:color="auto"/>
            </w:tcBorders>
          </w:tcPr>
          <w:p w14:paraId="7912FEC7" w14:textId="77777777" w:rsidR="001B1A85" w:rsidRPr="00A831E7" w:rsidRDefault="001B1A85" w:rsidP="00470A5C">
            <w:pPr>
              <w:jc w:val="center"/>
              <w:rPr>
                <w:sz w:val="18"/>
                <w:szCs w:val="18"/>
              </w:rPr>
            </w:pPr>
            <w:r w:rsidRPr="00A831E7">
              <w:rPr>
                <w:sz w:val="18"/>
                <w:szCs w:val="18"/>
              </w:rPr>
              <w:t>IS-NC</w:t>
            </w:r>
          </w:p>
        </w:tc>
        <w:tc>
          <w:tcPr>
            <w:tcW w:w="630" w:type="dxa"/>
            <w:tcBorders>
              <w:top w:val="single" w:sz="12" w:space="0" w:color="auto"/>
              <w:bottom w:val="single" w:sz="12" w:space="0" w:color="auto"/>
            </w:tcBorders>
          </w:tcPr>
          <w:p w14:paraId="68C50E01" w14:textId="49B63791" w:rsidR="001B1A85" w:rsidRPr="00A831E7" w:rsidRDefault="001B1A85" w:rsidP="00470A5C">
            <w:pPr>
              <w:jc w:val="center"/>
              <w:rPr>
                <w:sz w:val="18"/>
                <w:szCs w:val="18"/>
              </w:rPr>
            </w:pPr>
            <w:r w:rsidRPr="00A831E7">
              <w:rPr>
                <w:sz w:val="18"/>
                <w:szCs w:val="18"/>
              </w:rPr>
              <w:t>0.73</w:t>
            </w:r>
            <w:r w:rsidR="00C166C4" w:rsidRPr="00A831E7">
              <w:rPr>
                <w:sz w:val="18"/>
                <w:szCs w:val="18"/>
              </w:rPr>
              <w:t>3</w:t>
            </w:r>
          </w:p>
        </w:tc>
        <w:tc>
          <w:tcPr>
            <w:tcW w:w="720" w:type="dxa"/>
            <w:tcBorders>
              <w:top w:val="single" w:sz="12" w:space="0" w:color="auto"/>
              <w:bottom w:val="single" w:sz="12" w:space="0" w:color="auto"/>
            </w:tcBorders>
            <w:shd w:val="clear" w:color="auto" w:fill="auto"/>
          </w:tcPr>
          <w:p w14:paraId="6AB723FD" w14:textId="77777777" w:rsidR="001B1A85" w:rsidRPr="00A831E7" w:rsidRDefault="001B1A85" w:rsidP="00470A5C">
            <w:pPr>
              <w:jc w:val="center"/>
              <w:rPr>
                <w:sz w:val="18"/>
                <w:szCs w:val="18"/>
              </w:rPr>
            </w:pPr>
            <w:r w:rsidRPr="00A831E7">
              <w:rPr>
                <w:sz w:val="18"/>
                <w:szCs w:val="18"/>
              </w:rPr>
              <w:t>-</w:t>
            </w:r>
          </w:p>
        </w:tc>
        <w:tc>
          <w:tcPr>
            <w:tcW w:w="720" w:type="dxa"/>
            <w:tcBorders>
              <w:top w:val="single" w:sz="12" w:space="0" w:color="auto"/>
              <w:bottom w:val="single" w:sz="12" w:space="0" w:color="auto"/>
            </w:tcBorders>
            <w:shd w:val="clear" w:color="auto" w:fill="auto"/>
          </w:tcPr>
          <w:p w14:paraId="0EEC82C5" w14:textId="77777777" w:rsidR="001B1A85" w:rsidRPr="00A831E7" w:rsidRDefault="001B1A85" w:rsidP="00470A5C">
            <w:pPr>
              <w:jc w:val="center"/>
              <w:rPr>
                <w:sz w:val="18"/>
                <w:szCs w:val="18"/>
              </w:rPr>
            </w:pPr>
            <w:r w:rsidRPr="00A831E7">
              <w:rPr>
                <w:sz w:val="18"/>
                <w:szCs w:val="18"/>
              </w:rPr>
              <w:t>-</w:t>
            </w:r>
          </w:p>
        </w:tc>
        <w:tc>
          <w:tcPr>
            <w:tcW w:w="720" w:type="dxa"/>
            <w:tcBorders>
              <w:top w:val="single" w:sz="12" w:space="0" w:color="auto"/>
              <w:bottom w:val="single" w:sz="12" w:space="0" w:color="auto"/>
              <w:right w:val="single" w:sz="12" w:space="0" w:color="auto"/>
            </w:tcBorders>
          </w:tcPr>
          <w:p w14:paraId="22617B96" w14:textId="461A8BFF" w:rsidR="001B1A85" w:rsidRPr="00A831E7" w:rsidRDefault="00A9201D" w:rsidP="00470A5C">
            <w:pPr>
              <w:rPr>
                <w:sz w:val="18"/>
                <w:szCs w:val="18"/>
              </w:rPr>
            </w:pPr>
            <w:r w:rsidRPr="00A831E7">
              <w:rPr>
                <w:sz w:val="18"/>
                <w:szCs w:val="18"/>
              </w:rPr>
              <w:fldChar w:fldCharType="begin"/>
            </w:r>
            <w:r w:rsidR="00B22777" w:rsidRPr="00A831E7">
              <w:rPr>
                <w:sz w:val="18"/>
                <w:szCs w:val="18"/>
              </w:rPr>
              <w:instrText xml:space="preserve"> ADDIN ZOTERO_ITEM CSL_CITATION {"citationID":"AyY0CAwO","properties":{"formattedCitation":"[78]","plainCitation":"[78]","noteIndex":0},"citationItems":[{"id":359,"uris":["http://zotero.org/users/local/mfHf28QG/items/684W7TJH"],"itemData":{"id":359,"type":"article-journal","abstract":"Ischemic stroke (IS) is a severe condition regulated by complex molecular alterations. This study aimed to identify potential nicotinamide adenine dinucleotide (NAD+) metabolism-associated diagnostic markers of IS and explore their associations with immune dynamics. Weighted Gene Co-expression Network Analysis and single-sample gene set enrichment analysis (ssGSEA) were employed to identify key gene modules on the GEO dataset (GSE16561). LASSO regression was used to identify diagnostic genes. A diagnostic model was then developed using the training dataset, and its performance was assessed using a validation dataset (GSE22255 dataset). Associations between hub genes and immune cells, immune response genes, and human leukocyte antigen (HLA) genes were assessed by ssGSEA. A regulatory network was constructed using mirBase and TRRUST databases. A total of 20 NAD+ metabolic genes exhibited noteworthy expression variations. Within the module notably associated with NAD+ metabolism, 19 specific genes were included in the diagnostic model, which was validated on the GSE22255 dataset (AUC: 0.733). There were significant disparities in immune cell populations, immune response genes, and HLA gene expression, all of which were associated with the hub genes. A regulatory network composed of 153 edges and 103 nodes was constructed. This study advances our understanding of IS by providing insights into NAD+ metabolism and gene interactions, contributing to potential diagnostic innovations in IS.","container-title":"Experimental Gerontology","DOI":"10.1016/j.exger.2024.112584","ISSN":"0531-5565","journalAbbreviation":"Experimental Gerontology","page":"112584","source":"ScienceDirect","title":"Employ machine learning to identify NAD+ metabolism-related diagnostic markers for ischemic stroke and develop a diagnostic model","volume":"196","author":[{"family":"Sun","given":"Yameng"},{"family":"Ding","given":"Shenghao"},{"family":"Shen","given":"Fei"},{"family":"Yang","given":"Xiaolan"},{"family":"Sun","given":"Wenhua"},{"family":"Wan","given":"Jieqing"}],"issued":{"date-parts":[["2024",10,15]]}}}],"schema":"https://github.com/citation-style-language/schema/raw/master/csl-citation.json"} </w:instrText>
            </w:r>
            <w:r w:rsidRPr="00A831E7">
              <w:rPr>
                <w:sz w:val="18"/>
                <w:szCs w:val="18"/>
              </w:rPr>
              <w:fldChar w:fldCharType="separate"/>
            </w:r>
            <w:r w:rsidR="00B22777" w:rsidRPr="00A831E7">
              <w:rPr>
                <w:sz w:val="18"/>
              </w:rPr>
              <w:t>[78]</w:t>
            </w:r>
            <w:r w:rsidRPr="00A831E7">
              <w:rPr>
                <w:sz w:val="18"/>
                <w:szCs w:val="18"/>
              </w:rPr>
              <w:fldChar w:fldCharType="end"/>
            </w:r>
          </w:p>
        </w:tc>
      </w:tr>
      <w:tr w:rsidR="00252223" w:rsidRPr="00A831E7" w14:paraId="106DD3B6" w14:textId="77777777" w:rsidTr="003A213A">
        <w:trPr>
          <w:trHeight w:val="63"/>
        </w:trPr>
        <w:tc>
          <w:tcPr>
            <w:tcW w:w="1170" w:type="dxa"/>
            <w:tcBorders>
              <w:top w:val="single" w:sz="12" w:space="0" w:color="auto"/>
              <w:left w:val="single" w:sz="12" w:space="0" w:color="auto"/>
              <w:bottom w:val="single" w:sz="12" w:space="0" w:color="auto"/>
            </w:tcBorders>
          </w:tcPr>
          <w:p w14:paraId="384BA7D3" w14:textId="686E3CBE" w:rsidR="00252223" w:rsidRPr="00730D74" w:rsidRDefault="00252223" w:rsidP="00252223">
            <w:pPr>
              <w:rPr>
                <w:sz w:val="16"/>
                <w:szCs w:val="16"/>
                <w:lang w:val="en-US"/>
              </w:rPr>
            </w:pPr>
            <w:r w:rsidRPr="00730D74">
              <w:rPr>
                <w:sz w:val="18"/>
                <w:szCs w:val="18"/>
                <w:lang w:val="en-US"/>
              </w:rPr>
              <w:t>APP, THBS1, F13A1, SRC, PPBP, VCL</w:t>
            </w:r>
          </w:p>
        </w:tc>
        <w:tc>
          <w:tcPr>
            <w:tcW w:w="1620" w:type="dxa"/>
            <w:tcBorders>
              <w:top w:val="single" w:sz="12" w:space="0" w:color="auto"/>
              <w:bottom w:val="single" w:sz="12" w:space="0" w:color="auto"/>
            </w:tcBorders>
          </w:tcPr>
          <w:p w14:paraId="45D6CA88" w14:textId="77777777" w:rsidR="00387775" w:rsidRDefault="00252223" w:rsidP="001D33A1">
            <w:pPr>
              <w:jc w:val="center"/>
              <w:rPr>
                <w:sz w:val="16"/>
                <w:szCs w:val="16"/>
              </w:rPr>
            </w:pPr>
            <w:r w:rsidRPr="00730D74">
              <w:rPr>
                <w:sz w:val="16"/>
                <w:szCs w:val="16"/>
                <w:lang w:val="en-US"/>
              </w:rPr>
              <w:t>six IS platelet-related biomarkers[PADGs]</w:t>
            </w:r>
          </w:p>
          <w:p w14:paraId="49722909" w14:textId="5E06CC41" w:rsidR="001D33A1" w:rsidRPr="00387775" w:rsidRDefault="00252223" w:rsidP="001D33A1">
            <w:pPr>
              <w:jc w:val="center"/>
              <w:rPr>
                <w:i/>
                <w:iCs/>
                <w:sz w:val="16"/>
                <w:szCs w:val="16"/>
                <w:lang w:val="en-US"/>
              </w:rPr>
            </w:pPr>
            <w:r w:rsidRPr="00730D74">
              <w:rPr>
                <w:sz w:val="16"/>
                <w:szCs w:val="16"/>
                <w:lang w:val="en-US"/>
              </w:rPr>
              <w:br/>
            </w:r>
            <w:r w:rsidRPr="00387775">
              <w:rPr>
                <w:i/>
                <w:iCs/>
                <w:sz w:val="16"/>
                <w:szCs w:val="16"/>
                <w:lang w:val="en-US"/>
              </w:rPr>
              <w:t>training set:</w:t>
            </w:r>
            <w:r w:rsidRPr="00387775">
              <w:rPr>
                <w:i/>
                <w:iCs/>
                <w:sz w:val="16"/>
                <w:szCs w:val="16"/>
                <w:lang w:val="en-US"/>
              </w:rPr>
              <w:br/>
            </w:r>
            <w:r w:rsidRPr="00387775">
              <w:rPr>
                <w:sz w:val="16"/>
                <w:szCs w:val="16"/>
                <w:lang w:val="en-US"/>
              </w:rPr>
              <w:t>(</w:t>
            </w:r>
            <w:hyperlink r:id="rId28" w:history="1">
              <w:r w:rsidRPr="00387775">
                <w:rPr>
                  <w:rStyle w:val="-"/>
                  <w:sz w:val="16"/>
                  <w:szCs w:val="16"/>
                  <w:lang w:val="en-US"/>
                </w:rPr>
                <w:t>GSE16561</w:t>
              </w:r>
            </w:hyperlink>
            <w:r w:rsidRPr="00387775">
              <w:rPr>
                <w:sz w:val="16"/>
                <w:szCs w:val="16"/>
                <w:lang w:val="en-US"/>
              </w:rPr>
              <w:t xml:space="preserve"> , </w:t>
            </w:r>
            <w:hyperlink r:id="rId29" w:history="1">
              <w:r w:rsidRPr="00387775">
                <w:rPr>
                  <w:rStyle w:val="-"/>
                  <w:sz w:val="16"/>
                  <w:szCs w:val="16"/>
                  <w:lang w:val="en-US"/>
                </w:rPr>
                <w:t>GSE22255</w:t>
              </w:r>
            </w:hyperlink>
            <w:r w:rsidRPr="00387775">
              <w:rPr>
                <w:sz w:val="16"/>
                <w:szCs w:val="16"/>
                <w:lang w:val="en-US"/>
              </w:rPr>
              <w:t xml:space="preserve">) </w:t>
            </w:r>
            <w:r w:rsidRPr="00387775">
              <w:rPr>
                <w:sz w:val="16"/>
                <w:szCs w:val="16"/>
                <w:lang w:val="en-US"/>
              </w:rPr>
              <w:br/>
            </w:r>
            <w:r w:rsidR="001D33A1" w:rsidRPr="00387775">
              <w:rPr>
                <w:i/>
                <w:iCs/>
                <w:sz w:val="16"/>
                <w:szCs w:val="16"/>
                <w:lang w:val="en-US"/>
              </w:rPr>
              <w:t xml:space="preserve">external </w:t>
            </w:r>
            <w:r w:rsidRPr="00387775">
              <w:rPr>
                <w:i/>
                <w:iCs/>
                <w:sz w:val="16"/>
                <w:szCs w:val="16"/>
                <w:lang w:val="en-US"/>
              </w:rPr>
              <w:t>validation</w:t>
            </w:r>
            <w:r w:rsidR="001D33A1" w:rsidRPr="00387775">
              <w:rPr>
                <w:i/>
                <w:iCs/>
                <w:sz w:val="16"/>
                <w:szCs w:val="16"/>
                <w:lang w:val="en-US"/>
              </w:rPr>
              <w:t xml:space="preserve"> </w:t>
            </w:r>
            <w:r w:rsidRPr="00387775">
              <w:rPr>
                <w:i/>
                <w:iCs/>
                <w:sz w:val="16"/>
                <w:szCs w:val="16"/>
                <w:lang w:val="en-US"/>
              </w:rPr>
              <w:t>:</w:t>
            </w:r>
            <w:r w:rsidRPr="00387775">
              <w:rPr>
                <w:i/>
                <w:iCs/>
                <w:sz w:val="16"/>
                <w:szCs w:val="16"/>
                <w:lang w:val="en-US"/>
              </w:rPr>
              <w:br/>
            </w:r>
            <w:r w:rsidRPr="00387775">
              <w:rPr>
                <w:sz w:val="16"/>
                <w:szCs w:val="16"/>
                <w:lang w:val="en-US"/>
              </w:rPr>
              <w:t>(</w:t>
            </w:r>
            <w:hyperlink r:id="rId30" w:history="1">
              <w:r w:rsidRPr="00387775">
                <w:rPr>
                  <w:rStyle w:val="-"/>
                  <w:sz w:val="16"/>
                  <w:szCs w:val="16"/>
                  <w:lang w:val="en-US"/>
                </w:rPr>
                <w:t>GSE202709</w:t>
              </w:r>
            </w:hyperlink>
            <w:r w:rsidRPr="00387775">
              <w:rPr>
                <w:sz w:val="16"/>
                <w:szCs w:val="16"/>
                <w:lang w:val="en-US"/>
              </w:rPr>
              <w:t>)</w:t>
            </w:r>
          </w:p>
        </w:tc>
        <w:tc>
          <w:tcPr>
            <w:tcW w:w="990" w:type="dxa"/>
            <w:tcBorders>
              <w:top w:val="single" w:sz="12" w:space="0" w:color="auto"/>
              <w:bottom w:val="single" w:sz="12" w:space="0" w:color="auto"/>
            </w:tcBorders>
          </w:tcPr>
          <w:p w14:paraId="441E28F4" w14:textId="77777777" w:rsidR="00252223" w:rsidRPr="00730D74" w:rsidRDefault="00252223" w:rsidP="00252223">
            <w:pPr>
              <w:jc w:val="center"/>
              <w:rPr>
                <w:sz w:val="16"/>
                <w:szCs w:val="16"/>
                <w:lang w:val="en-US"/>
              </w:rPr>
            </w:pPr>
            <w:r w:rsidRPr="00730D74">
              <w:rPr>
                <w:sz w:val="16"/>
                <w:szCs w:val="16"/>
                <w:lang w:val="en-US"/>
              </w:rPr>
              <w:t>&lt;12h</w:t>
            </w:r>
            <w:r w:rsidRPr="00730D74">
              <w:rPr>
                <w:sz w:val="16"/>
                <w:szCs w:val="16"/>
                <w:lang w:val="en-US"/>
              </w:rPr>
              <w:br/>
              <w:t>on admission</w:t>
            </w:r>
          </w:p>
          <w:p w14:paraId="3B9D20E0" w14:textId="5415E358" w:rsidR="00252223" w:rsidRPr="00730D74" w:rsidRDefault="00252223" w:rsidP="00252223">
            <w:pPr>
              <w:jc w:val="center"/>
              <w:rPr>
                <w:sz w:val="18"/>
                <w:szCs w:val="18"/>
                <w:lang w:val="en-US"/>
              </w:rPr>
            </w:pPr>
            <w:r w:rsidRPr="00730D74">
              <w:rPr>
                <w:sz w:val="16"/>
                <w:szCs w:val="16"/>
                <w:lang w:val="en-US"/>
              </w:rPr>
              <w:t>whole blood</w:t>
            </w:r>
          </w:p>
        </w:tc>
        <w:tc>
          <w:tcPr>
            <w:tcW w:w="900" w:type="dxa"/>
            <w:tcBorders>
              <w:top w:val="single" w:sz="12" w:space="0" w:color="auto"/>
              <w:bottom w:val="single" w:sz="12" w:space="0" w:color="auto"/>
            </w:tcBorders>
          </w:tcPr>
          <w:p w14:paraId="16030CB7" w14:textId="66BF847A" w:rsidR="00252223" w:rsidRPr="00A831E7" w:rsidRDefault="00252223" w:rsidP="00252223">
            <w:pPr>
              <w:jc w:val="center"/>
              <w:rPr>
                <w:sz w:val="18"/>
                <w:szCs w:val="18"/>
              </w:rPr>
            </w:pPr>
            <w:r w:rsidRPr="00A831E7">
              <w:rPr>
                <w:sz w:val="16"/>
                <w:szCs w:val="16"/>
              </w:rPr>
              <w:t>LASSO</w:t>
            </w:r>
            <w:r w:rsidRPr="00A831E7">
              <w:rPr>
                <w:sz w:val="16"/>
                <w:szCs w:val="16"/>
              </w:rPr>
              <w:br/>
            </w:r>
            <w:r w:rsidRPr="00A831E7">
              <w:rPr>
                <w:sz w:val="16"/>
                <w:szCs w:val="16"/>
              </w:rPr>
              <w:br/>
              <w:t>WCGNA/</w:t>
            </w:r>
            <w:r w:rsidRPr="00A831E7">
              <w:rPr>
                <w:sz w:val="16"/>
                <w:szCs w:val="16"/>
              </w:rPr>
              <w:br/>
              <w:t>limma &amp;R</w:t>
            </w:r>
          </w:p>
        </w:tc>
        <w:tc>
          <w:tcPr>
            <w:tcW w:w="900" w:type="dxa"/>
            <w:tcBorders>
              <w:top w:val="single" w:sz="12" w:space="0" w:color="auto"/>
              <w:bottom w:val="single" w:sz="12" w:space="0" w:color="auto"/>
            </w:tcBorders>
          </w:tcPr>
          <w:p w14:paraId="0E0B8C12" w14:textId="5C4A3088" w:rsidR="00252223" w:rsidRPr="00A831E7" w:rsidRDefault="00252223" w:rsidP="00252223">
            <w:pPr>
              <w:jc w:val="center"/>
              <w:rPr>
                <w:sz w:val="18"/>
                <w:szCs w:val="18"/>
              </w:rPr>
            </w:pPr>
            <w:r w:rsidRPr="00A831E7">
              <w:rPr>
                <w:sz w:val="18"/>
                <w:szCs w:val="18"/>
              </w:rPr>
              <w:t>IS-NC</w:t>
            </w:r>
          </w:p>
        </w:tc>
        <w:tc>
          <w:tcPr>
            <w:tcW w:w="630" w:type="dxa"/>
            <w:tcBorders>
              <w:top w:val="single" w:sz="12" w:space="0" w:color="auto"/>
              <w:bottom w:val="single" w:sz="12" w:space="0" w:color="auto"/>
            </w:tcBorders>
          </w:tcPr>
          <w:p w14:paraId="6C093BDE" w14:textId="2534C70C" w:rsidR="00252223" w:rsidRPr="00A831E7" w:rsidRDefault="00252223" w:rsidP="00252223">
            <w:pPr>
              <w:jc w:val="center"/>
              <w:rPr>
                <w:sz w:val="18"/>
                <w:szCs w:val="18"/>
              </w:rPr>
            </w:pPr>
            <w:r w:rsidRPr="00A831E7">
              <w:rPr>
                <w:sz w:val="18"/>
                <w:szCs w:val="18"/>
              </w:rPr>
              <w:t>0.92</w:t>
            </w:r>
          </w:p>
        </w:tc>
        <w:tc>
          <w:tcPr>
            <w:tcW w:w="720" w:type="dxa"/>
            <w:tcBorders>
              <w:top w:val="single" w:sz="12" w:space="0" w:color="auto"/>
              <w:bottom w:val="single" w:sz="12" w:space="0" w:color="auto"/>
            </w:tcBorders>
            <w:shd w:val="clear" w:color="auto" w:fill="auto"/>
          </w:tcPr>
          <w:p w14:paraId="394AAFBB" w14:textId="74C4D193" w:rsidR="00252223" w:rsidRPr="00A831E7" w:rsidRDefault="00252223" w:rsidP="00252223">
            <w:pPr>
              <w:jc w:val="center"/>
              <w:rPr>
                <w:sz w:val="18"/>
                <w:szCs w:val="18"/>
              </w:rPr>
            </w:pPr>
            <w:r w:rsidRPr="00A831E7">
              <w:rPr>
                <w:sz w:val="18"/>
                <w:szCs w:val="18"/>
              </w:rPr>
              <w:t>-</w:t>
            </w:r>
          </w:p>
        </w:tc>
        <w:tc>
          <w:tcPr>
            <w:tcW w:w="720" w:type="dxa"/>
            <w:tcBorders>
              <w:top w:val="single" w:sz="12" w:space="0" w:color="auto"/>
              <w:bottom w:val="single" w:sz="12" w:space="0" w:color="auto"/>
            </w:tcBorders>
            <w:shd w:val="clear" w:color="auto" w:fill="auto"/>
          </w:tcPr>
          <w:p w14:paraId="01446AFC" w14:textId="3DA8F9C6" w:rsidR="00252223" w:rsidRPr="00A831E7" w:rsidRDefault="00252223" w:rsidP="00252223">
            <w:pPr>
              <w:jc w:val="center"/>
              <w:rPr>
                <w:sz w:val="18"/>
                <w:szCs w:val="18"/>
              </w:rPr>
            </w:pPr>
            <w:r w:rsidRPr="00A831E7">
              <w:rPr>
                <w:sz w:val="18"/>
                <w:szCs w:val="18"/>
              </w:rPr>
              <w:t>-</w:t>
            </w:r>
          </w:p>
        </w:tc>
        <w:tc>
          <w:tcPr>
            <w:tcW w:w="720" w:type="dxa"/>
            <w:tcBorders>
              <w:top w:val="single" w:sz="12" w:space="0" w:color="auto"/>
              <w:bottom w:val="single" w:sz="12" w:space="0" w:color="auto"/>
              <w:right w:val="single" w:sz="12" w:space="0" w:color="auto"/>
            </w:tcBorders>
          </w:tcPr>
          <w:p w14:paraId="38C8F50D" w14:textId="5BE16759" w:rsidR="00252223" w:rsidRPr="00A831E7" w:rsidRDefault="004D11ED" w:rsidP="00252223">
            <w:pPr>
              <w:rPr>
                <w:sz w:val="18"/>
                <w:szCs w:val="18"/>
              </w:rPr>
            </w:pPr>
            <w:r w:rsidRPr="00A831E7">
              <w:rPr>
                <w:sz w:val="18"/>
                <w:szCs w:val="18"/>
              </w:rPr>
              <w:fldChar w:fldCharType="begin"/>
            </w:r>
            <w:r w:rsidR="00B22777" w:rsidRPr="00A831E7">
              <w:rPr>
                <w:sz w:val="18"/>
                <w:szCs w:val="18"/>
              </w:rPr>
              <w:instrText xml:space="preserve"> ADDIN ZOTERO_ITEM CSL_CITATION {"citationID":"kmmdEKzJ","properties":{"formattedCitation":"[83]","plainCitation":"[83]","noteIndex":0},"citationItems":[{"id":322,"uris":["http://zotero.org/users/local/mfHf28QG/items/R7SK24M9"],"itemData":{"id":322,"type":"article-journal","abstract":"Ischemic stroke (IS), caused by blood and oxygen deprivation due to cerebral thrombosis, has links to activated and aggregated platelets. Discovering platelet-related biomarkers, developing diagnostic models, and screening antiplatelet drugs are ...","container-title":"Frontiers in Immunology","DOI":"10.3389/fimmu.2023.1320475","language":"en","note":"PMID: 38268925","page":"1320475","source":"pmc.ncbi.nlm.nih.gov","title":"Identification and validation of platelet-related diagnostic markers and potential drug screening in ischemic stroke by integrating comprehensive bioinformatics analysis and machine learning","volume":"14","author":[{"family":"Geng","given":"Yifei"},{"family":"Liu","given":"Yuchen"},{"family":"Wang","given":"Min"},{"family":"Dong","given":"Xi"},{"family":"Sun","given":"Xiao"},{"family":"Luo","given":"Yun"},{"family":"Sun","given":"Xiaobo"}],"issued":{"date-parts":[["2024",1,10]]}}}],"schema":"https://github.com/citation-style-language/schema/raw/master/csl-citation.json"} </w:instrText>
            </w:r>
            <w:r w:rsidRPr="00A831E7">
              <w:rPr>
                <w:sz w:val="18"/>
                <w:szCs w:val="18"/>
              </w:rPr>
              <w:fldChar w:fldCharType="separate"/>
            </w:r>
            <w:r w:rsidR="00B22777" w:rsidRPr="00A831E7">
              <w:rPr>
                <w:sz w:val="18"/>
              </w:rPr>
              <w:t>[83]</w:t>
            </w:r>
            <w:r w:rsidRPr="00A831E7">
              <w:rPr>
                <w:sz w:val="18"/>
                <w:szCs w:val="18"/>
              </w:rPr>
              <w:fldChar w:fldCharType="end"/>
            </w:r>
          </w:p>
        </w:tc>
      </w:tr>
      <w:tr w:rsidR="00252223" w:rsidRPr="00A831E7" w14:paraId="0006C75F" w14:textId="77777777" w:rsidTr="003A213A">
        <w:trPr>
          <w:trHeight w:val="63"/>
        </w:trPr>
        <w:tc>
          <w:tcPr>
            <w:tcW w:w="1170" w:type="dxa"/>
            <w:tcBorders>
              <w:top w:val="single" w:sz="12" w:space="0" w:color="auto"/>
              <w:left w:val="single" w:sz="12" w:space="0" w:color="auto"/>
              <w:bottom w:val="single" w:sz="12" w:space="0" w:color="auto"/>
            </w:tcBorders>
          </w:tcPr>
          <w:p w14:paraId="6DD7270B" w14:textId="77777777" w:rsidR="00252223" w:rsidRPr="00730D74" w:rsidRDefault="00252223" w:rsidP="00252223">
            <w:pPr>
              <w:rPr>
                <w:sz w:val="16"/>
                <w:szCs w:val="16"/>
                <w:lang w:val="en-US"/>
              </w:rPr>
            </w:pPr>
            <w:r w:rsidRPr="00730D74">
              <w:rPr>
                <w:sz w:val="18"/>
                <w:szCs w:val="18"/>
                <w:lang w:val="en-US"/>
              </w:rPr>
              <w:t>ID3, MBTPS1, NOG, SFXN2, BMX,SLC22A1</w:t>
            </w:r>
          </w:p>
        </w:tc>
        <w:tc>
          <w:tcPr>
            <w:tcW w:w="1620" w:type="dxa"/>
            <w:tcBorders>
              <w:top w:val="single" w:sz="12" w:space="0" w:color="auto"/>
              <w:bottom w:val="single" w:sz="12" w:space="0" w:color="auto"/>
            </w:tcBorders>
          </w:tcPr>
          <w:p w14:paraId="7201C9ED" w14:textId="77777777" w:rsidR="00252223" w:rsidRPr="00730D74" w:rsidRDefault="00252223" w:rsidP="00252223">
            <w:pPr>
              <w:jc w:val="center"/>
              <w:rPr>
                <w:sz w:val="18"/>
                <w:szCs w:val="18"/>
                <w:lang w:val="en-US"/>
              </w:rPr>
            </w:pPr>
            <w:r w:rsidRPr="00730D74">
              <w:rPr>
                <w:sz w:val="18"/>
                <w:szCs w:val="18"/>
                <w:lang w:val="en-US"/>
              </w:rPr>
              <w:t>6 network central DEGs</w:t>
            </w:r>
          </w:p>
          <w:p w14:paraId="49AC8FE5" w14:textId="77777777" w:rsidR="00252223" w:rsidRPr="00730D74" w:rsidRDefault="00252223" w:rsidP="00252223">
            <w:pPr>
              <w:jc w:val="center"/>
              <w:rPr>
                <w:sz w:val="18"/>
                <w:szCs w:val="18"/>
                <w:lang w:val="en-US"/>
              </w:rPr>
            </w:pPr>
            <w:r w:rsidRPr="00730D74">
              <w:rPr>
                <w:sz w:val="18"/>
                <w:szCs w:val="18"/>
                <w:lang w:val="en-US"/>
              </w:rPr>
              <w:t>Blood derived biomarkers</w:t>
            </w:r>
          </w:p>
          <w:p w14:paraId="5A8391BD" w14:textId="2409BA18" w:rsidR="00736941" w:rsidRPr="00336BD8" w:rsidRDefault="00252223" w:rsidP="00252223">
            <w:pPr>
              <w:jc w:val="center"/>
              <w:rPr>
                <w:i/>
                <w:iCs/>
                <w:sz w:val="16"/>
                <w:szCs w:val="16"/>
                <w:lang w:val="en-US"/>
              </w:rPr>
            </w:pPr>
            <w:r w:rsidRPr="00730D74">
              <w:rPr>
                <w:sz w:val="18"/>
                <w:szCs w:val="18"/>
                <w:lang w:val="en-US"/>
              </w:rPr>
              <w:br/>
            </w:r>
            <w:r w:rsidRPr="00387775">
              <w:rPr>
                <w:i/>
                <w:iCs/>
                <w:sz w:val="16"/>
                <w:szCs w:val="16"/>
                <w:lang w:val="en-US"/>
              </w:rPr>
              <w:t>[limited same-set cross-validation]</w:t>
            </w:r>
            <w:r w:rsidR="00336BD8">
              <w:rPr>
                <w:i/>
                <w:iCs/>
                <w:sz w:val="16"/>
                <w:szCs w:val="16"/>
                <w:lang w:val="en-US"/>
              </w:rPr>
              <w:br/>
              <w:t>3 study-data</w:t>
            </w:r>
          </w:p>
          <w:p w14:paraId="7C191556" w14:textId="1C222A05" w:rsidR="00252223" w:rsidRPr="00730D74" w:rsidRDefault="00736941" w:rsidP="00252223">
            <w:pPr>
              <w:jc w:val="center"/>
              <w:rPr>
                <w:sz w:val="18"/>
                <w:szCs w:val="18"/>
                <w:lang w:val="en-US"/>
              </w:rPr>
            </w:pPr>
            <w:r w:rsidRPr="00387775">
              <w:rPr>
                <w:i/>
                <w:iCs/>
                <w:sz w:val="16"/>
                <w:szCs w:val="16"/>
                <w:lang w:val="en-US"/>
              </w:rPr>
              <w:t>Stroke=82, NC=66</w:t>
            </w:r>
            <w:r w:rsidR="00252223" w:rsidRPr="00730D74">
              <w:rPr>
                <w:sz w:val="18"/>
                <w:szCs w:val="18"/>
                <w:lang w:val="en-US"/>
              </w:rPr>
              <w:br/>
            </w:r>
          </w:p>
        </w:tc>
        <w:tc>
          <w:tcPr>
            <w:tcW w:w="990" w:type="dxa"/>
            <w:tcBorders>
              <w:top w:val="single" w:sz="12" w:space="0" w:color="auto"/>
              <w:bottom w:val="single" w:sz="12" w:space="0" w:color="auto"/>
            </w:tcBorders>
          </w:tcPr>
          <w:p w14:paraId="69547994" w14:textId="4183EE7F" w:rsidR="00252223" w:rsidRPr="00336BD8" w:rsidRDefault="00252223" w:rsidP="00252223">
            <w:pPr>
              <w:jc w:val="center"/>
              <w:rPr>
                <w:sz w:val="18"/>
                <w:szCs w:val="18"/>
                <w:lang w:val="en-US"/>
              </w:rPr>
            </w:pPr>
            <w:r w:rsidRPr="00730D74">
              <w:rPr>
                <w:sz w:val="18"/>
                <w:szCs w:val="18"/>
                <w:lang w:val="en-US"/>
              </w:rPr>
              <w:t>&lt;3h</w:t>
            </w:r>
          </w:p>
          <w:p w14:paraId="68C90DFC" w14:textId="1B9E164E" w:rsidR="00252223" w:rsidRPr="00336BD8" w:rsidRDefault="00252223" w:rsidP="00252223">
            <w:pPr>
              <w:jc w:val="center"/>
              <w:rPr>
                <w:sz w:val="18"/>
                <w:szCs w:val="18"/>
                <w:lang w:val="en-US"/>
              </w:rPr>
            </w:pPr>
            <w:r w:rsidRPr="00730D74">
              <w:rPr>
                <w:sz w:val="18"/>
                <w:szCs w:val="18"/>
                <w:lang w:val="en-US"/>
              </w:rPr>
              <w:t>whole blood</w:t>
            </w:r>
            <w:r w:rsidR="00336BD8">
              <w:rPr>
                <w:sz w:val="18"/>
                <w:szCs w:val="18"/>
                <w:lang w:val="en-US"/>
              </w:rPr>
              <w:br/>
            </w:r>
          </w:p>
          <w:p w14:paraId="2D849F1D" w14:textId="77777777" w:rsidR="00115381" w:rsidRDefault="00252223" w:rsidP="00252223">
            <w:pPr>
              <w:jc w:val="center"/>
              <w:rPr>
                <w:sz w:val="18"/>
                <w:szCs w:val="18"/>
              </w:rPr>
            </w:pPr>
            <w:r w:rsidRPr="00730D74">
              <w:rPr>
                <w:sz w:val="18"/>
                <w:szCs w:val="18"/>
                <w:lang w:val="en-US"/>
              </w:rPr>
              <w:t>WCGNA/</w:t>
            </w:r>
            <w:r w:rsidRPr="00730D74">
              <w:rPr>
                <w:sz w:val="18"/>
                <w:szCs w:val="18"/>
                <w:lang w:val="en-US"/>
              </w:rPr>
              <w:br/>
              <w:t>KNN/</w:t>
            </w:r>
          </w:p>
          <w:p w14:paraId="5A9F002D" w14:textId="49B485FA" w:rsidR="00336BD8" w:rsidRDefault="00252223" w:rsidP="00252223">
            <w:pPr>
              <w:jc w:val="center"/>
              <w:rPr>
                <w:sz w:val="18"/>
                <w:szCs w:val="18"/>
                <w:lang w:val="en-US"/>
              </w:rPr>
            </w:pPr>
            <w:r w:rsidRPr="00730D74">
              <w:rPr>
                <w:sz w:val="18"/>
                <w:szCs w:val="18"/>
                <w:lang w:val="en-US"/>
              </w:rPr>
              <w:t>RMA/</w:t>
            </w:r>
            <w:r w:rsidRPr="00730D74">
              <w:rPr>
                <w:sz w:val="18"/>
                <w:szCs w:val="18"/>
                <w:lang w:val="en-US"/>
              </w:rPr>
              <w:br/>
              <w:t>PBMC/</w:t>
            </w:r>
          </w:p>
          <w:p w14:paraId="042A79FB" w14:textId="768B573F" w:rsidR="00252223" w:rsidRPr="00730D74" w:rsidRDefault="00252223" w:rsidP="00252223">
            <w:pPr>
              <w:jc w:val="center"/>
              <w:rPr>
                <w:sz w:val="18"/>
                <w:szCs w:val="18"/>
                <w:lang w:val="en-US"/>
              </w:rPr>
            </w:pPr>
            <w:r w:rsidRPr="00730D74">
              <w:rPr>
                <w:sz w:val="18"/>
                <w:szCs w:val="18"/>
                <w:lang w:val="en-US"/>
              </w:rPr>
              <w:t>limma</w:t>
            </w:r>
          </w:p>
        </w:tc>
        <w:tc>
          <w:tcPr>
            <w:tcW w:w="900" w:type="dxa"/>
            <w:tcBorders>
              <w:top w:val="single" w:sz="12" w:space="0" w:color="auto"/>
              <w:bottom w:val="single" w:sz="12" w:space="0" w:color="auto"/>
            </w:tcBorders>
          </w:tcPr>
          <w:p w14:paraId="6C964834" w14:textId="77777777" w:rsidR="00252223" w:rsidRPr="00A831E7" w:rsidRDefault="00252223" w:rsidP="00252223">
            <w:pPr>
              <w:jc w:val="center"/>
              <w:rPr>
                <w:sz w:val="18"/>
                <w:szCs w:val="18"/>
              </w:rPr>
            </w:pPr>
            <w:r w:rsidRPr="00A831E7">
              <w:rPr>
                <w:sz w:val="18"/>
                <w:szCs w:val="18"/>
              </w:rPr>
              <w:t>SVM</w:t>
            </w:r>
            <w:r w:rsidRPr="00A831E7">
              <w:rPr>
                <w:sz w:val="18"/>
                <w:szCs w:val="18"/>
              </w:rPr>
              <w:br/>
            </w:r>
            <w:r w:rsidRPr="00A831E7">
              <w:rPr>
                <w:sz w:val="12"/>
                <w:szCs w:val="12"/>
              </w:rPr>
              <w:t>(identification only)</w:t>
            </w:r>
          </w:p>
        </w:tc>
        <w:tc>
          <w:tcPr>
            <w:tcW w:w="900" w:type="dxa"/>
            <w:tcBorders>
              <w:top w:val="single" w:sz="12" w:space="0" w:color="auto"/>
              <w:bottom w:val="single" w:sz="12" w:space="0" w:color="auto"/>
            </w:tcBorders>
          </w:tcPr>
          <w:p w14:paraId="5C5CF1AB" w14:textId="77777777" w:rsidR="00252223" w:rsidRPr="00A831E7" w:rsidRDefault="00252223" w:rsidP="00252223">
            <w:pPr>
              <w:jc w:val="center"/>
              <w:rPr>
                <w:sz w:val="18"/>
                <w:szCs w:val="18"/>
              </w:rPr>
            </w:pPr>
            <w:r w:rsidRPr="00A831E7">
              <w:rPr>
                <w:sz w:val="18"/>
                <w:szCs w:val="18"/>
              </w:rPr>
              <w:t>IS-NC</w:t>
            </w:r>
          </w:p>
        </w:tc>
        <w:tc>
          <w:tcPr>
            <w:tcW w:w="2070" w:type="dxa"/>
            <w:gridSpan w:val="3"/>
            <w:tcBorders>
              <w:top w:val="single" w:sz="12" w:space="0" w:color="auto"/>
              <w:bottom w:val="single" w:sz="12" w:space="0" w:color="auto"/>
            </w:tcBorders>
          </w:tcPr>
          <w:p w14:paraId="74B013D8" w14:textId="3CAD6241" w:rsidR="00252223" w:rsidRPr="00730D74" w:rsidRDefault="00252223" w:rsidP="00252223">
            <w:pPr>
              <w:rPr>
                <w:sz w:val="18"/>
                <w:szCs w:val="18"/>
                <w:lang w:val="en-US"/>
              </w:rPr>
            </w:pPr>
            <w:r w:rsidRPr="00730D74">
              <w:rPr>
                <w:sz w:val="18"/>
                <w:szCs w:val="18"/>
                <w:lang w:val="en-US"/>
              </w:rPr>
              <w:t xml:space="preserve">Non-comparable predictive model with accuracy of </w:t>
            </w:r>
            <w:r w:rsidRPr="00730D74">
              <w:rPr>
                <w:b/>
                <w:bCs/>
                <w:sz w:val="18"/>
                <w:szCs w:val="18"/>
                <w:lang w:val="en-US"/>
              </w:rPr>
              <w:t>0.8207</w:t>
            </w:r>
          </w:p>
        </w:tc>
        <w:tc>
          <w:tcPr>
            <w:tcW w:w="720" w:type="dxa"/>
            <w:tcBorders>
              <w:top w:val="single" w:sz="12" w:space="0" w:color="auto"/>
              <w:bottom w:val="single" w:sz="12" w:space="0" w:color="auto"/>
              <w:right w:val="single" w:sz="12" w:space="0" w:color="auto"/>
            </w:tcBorders>
          </w:tcPr>
          <w:p w14:paraId="21F646CC" w14:textId="34F85727" w:rsidR="00252223" w:rsidRPr="00A831E7" w:rsidRDefault="00252223" w:rsidP="00252223">
            <w:pPr>
              <w:rPr>
                <w:sz w:val="18"/>
                <w:szCs w:val="18"/>
              </w:rPr>
            </w:pPr>
            <w:r w:rsidRPr="00A831E7">
              <w:rPr>
                <w:sz w:val="18"/>
                <w:szCs w:val="18"/>
              </w:rPr>
              <w:fldChar w:fldCharType="begin"/>
            </w:r>
            <w:r w:rsidR="00B22777" w:rsidRPr="00A831E7">
              <w:rPr>
                <w:sz w:val="18"/>
                <w:szCs w:val="18"/>
              </w:rPr>
              <w:instrText xml:space="preserve"> ADDIN ZOTERO_ITEM CSL_CITATION {"citationID":"dWgxovzn","properties":{"formattedCitation":"[80]","plainCitation":"[80]","noteIndex":0},"citationItems":[{"id":510,"uris":["http://zotero.org/users/local/mfHf28QG/items/62MEESIZ"],"itemData":{"id":510,"type":"article-journal","abstract":"Identifying molecular biomarkers characteristic of ischemic stroke has the potential to aid in distinguishing stroke cases from stroke mimicking symptoms, as well as advancing the understanding of the physiological changes that underlie the body’s ...","container-title":"BMC Medical Genomics","DOI":"10.1186/s12920-019-0566-8","language":"en","note":"PMID: 31391037","page":"118","source":"pmc.ncbi.nlm.nih.gov","title":"Discovery of stroke-related blood biomarkers from gene expression network models","volume":"12","author":[{"family":"Theofilatos","given":"Konstantinos"},{"family":"Korfiati","given":"Aigli"},{"family":"Mavroudi","given":"Seferina"},{"family":"Cowperthwaite","given":"Matthew C."},{"family":"Shpak","given":"Max"}],"issued":{"date-parts":[["2019",8,7]]}}}],"schema":"https://github.com/citation-style-language/schema/raw/master/csl-citation.json"} </w:instrText>
            </w:r>
            <w:r w:rsidRPr="00A831E7">
              <w:rPr>
                <w:sz w:val="18"/>
                <w:szCs w:val="18"/>
              </w:rPr>
              <w:fldChar w:fldCharType="separate"/>
            </w:r>
            <w:r w:rsidR="00B22777" w:rsidRPr="00A831E7">
              <w:rPr>
                <w:sz w:val="18"/>
              </w:rPr>
              <w:t>[80]</w:t>
            </w:r>
            <w:r w:rsidRPr="00A831E7">
              <w:rPr>
                <w:sz w:val="18"/>
                <w:szCs w:val="18"/>
              </w:rPr>
              <w:fldChar w:fldCharType="end"/>
            </w:r>
          </w:p>
        </w:tc>
      </w:tr>
    </w:tbl>
    <w:bookmarkEnd w:id="123"/>
    <w:p w14:paraId="06ABA68A" w14:textId="443F5EAE" w:rsidR="006A467F" w:rsidRPr="00B07E2B" w:rsidRDefault="00217D51" w:rsidP="00B07E2B">
      <w:pPr>
        <w:jc w:val="both"/>
        <w:rPr>
          <w:rFonts w:eastAsia="Calibri"/>
          <w:sz w:val="18"/>
          <w:szCs w:val="18"/>
        </w:rPr>
      </w:pPr>
      <w:r w:rsidRPr="00730D74">
        <w:rPr>
          <w:i/>
          <w:iCs/>
          <w:sz w:val="18"/>
          <w:szCs w:val="18"/>
          <w:lang w:val="en-US"/>
        </w:rPr>
        <w:t>Area under the curve (AUC) , Intracerebral hemorrhage (ICH),</w:t>
      </w:r>
      <w:r w:rsidR="00DC70B7">
        <w:rPr>
          <w:i/>
          <w:iCs/>
          <w:sz w:val="18"/>
          <w:szCs w:val="18"/>
          <w:lang w:val="en-US"/>
        </w:rPr>
        <w:t xml:space="preserve"> Cerebral Hemorrhage (CH),</w:t>
      </w:r>
      <w:r w:rsidRPr="00730D74">
        <w:rPr>
          <w:i/>
          <w:iCs/>
          <w:sz w:val="18"/>
          <w:szCs w:val="18"/>
          <w:lang w:val="en-US"/>
        </w:rPr>
        <w:t xml:space="preserve"> Hypertension group(HTN), Normal Control group (NC), Ischemic stroke group (IS), cardioembolic stroke (CE), least absolute shrinkage and selection operator (LASSO) ,random forest (RF) ,Coagulative Genes(CGs), Support Vector Machine Learning algorithm (SVM) , nicotinamide adenine dinucleotide (NAD+), Stroke mimics (SMs), artificial neural networks (ANN), neutrophil-to-lymphocyte ratio (NLR), blood count with differential (CBC + diff ), [Limma, WGCNA, miRWalk, Cytospace]: Gene expression analysis and network-based biomarker selection, [qPCR, TRI-zol reagent, Mir-x, QRT-PCR]: RNA extraction and validation, [TruSeq, NEBNext, RNA library preparation]: High-throughput sequencing for transcriptomic profiling, [DeSeq2-R, ImmuneCellAI, Western Blot]: Differential gene expression analysis and immune profiling,[KNN, RMA, PBMC]: Machine learning models and peripheral blood mononuclear cell (PBMC) analysis</w:t>
      </w:r>
      <w:bookmarkStart w:id="124" w:name="_Hlk198662311"/>
      <w:r w:rsidRPr="00730D74">
        <w:rPr>
          <w:i/>
          <w:iCs/>
          <w:sz w:val="18"/>
          <w:szCs w:val="18"/>
          <w:lang w:val="en-US"/>
        </w:rPr>
        <w:t>.</w:t>
      </w:r>
      <w:bookmarkEnd w:id="124"/>
    </w:p>
    <w:p w14:paraId="3862E359" w14:textId="77777777" w:rsidR="006A467F" w:rsidRPr="001D6FFA" w:rsidRDefault="006A467F" w:rsidP="00F32EEE">
      <w:pPr>
        <w:spacing w:line="360" w:lineRule="auto"/>
        <w:ind w:firstLine="720"/>
        <w:jc w:val="both"/>
        <w:rPr>
          <w:rFonts w:eastAsia="Calibri"/>
        </w:rPr>
      </w:pPr>
    </w:p>
    <w:p w14:paraId="0713C459" w14:textId="4C63DBF5" w:rsidR="00E66665" w:rsidRPr="00A831E7" w:rsidRDefault="00E66665" w:rsidP="0057069D">
      <w:pPr>
        <w:pStyle w:val="4"/>
        <w:spacing w:line="360" w:lineRule="auto"/>
        <w:rPr>
          <w:rFonts w:eastAsia="Calibri"/>
          <w:b w:val="0"/>
          <w:bCs/>
          <w:color w:val="000000" w:themeColor="text1"/>
        </w:rPr>
      </w:pPr>
      <w:r w:rsidRPr="00A831E7">
        <w:rPr>
          <w:rFonts w:eastAsia="Calibri"/>
          <w:bCs/>
          <w:color w:val="000000" w:themeColor="text1"/>
        </w:rPr>
        <w:t>RNA Panel για Διάγνωση CH</w:t>
      </w:r>
    </w:p>
    <w:p w14:paraId="659C93C2" w14:textId="760F33D1" w:rsidR="00E66665" w:rsidRPr="008F5904" w:rsidRDefault="00E66665" w:rsidP="0057069D">
      <w:pPr>
        <w:spacing w:line="360" w:lineRule="auto"/>
        <w:ind w:firstLine="720"/>
        <w:jc w:val="both"/>
        <w:rPr>
          <w:rFonts w:eastAsia="Calibri"/>
          <w:lang w:val="en-US"/>
        </w:rPr>
      </w:pPr>
      <w:r w:rsidRPr="00A831E7">
        <w:rPr>
          <w:rFonts w:eastAsia="Calibri"/>
        </w:rPr>
        <w:t>Στη μελέτη</w:t>
      </w:r>
      <w:r w:rsidR="000F77E9" w:rsidRPr="00A831E7">
        <w:rPr>
          <w:rFonts w:eastAsia="Calibri"/>
        </w:rPr>
        <w:t xml:space="preserve"> των</w:t>
      </w:r>
      <w:r w:rsidRPr="00A831E7">
        <w:rPr>
          <w:rFonts w:eastAsia="Calibri"/>
        </w:rPr>
        <w:t xml:space="preserve"> Bai et al. </w:t>
      </w:r>
      <w:r w:rsidRPr="00A831E7">
        <w:rPr>
          <w:rFonts w:eastAsia="Calibri"/>
        </w:rPr>
        <w:fldChar w:fldCharType="begin"/>
      </w:r>
      <w:r w:rsidR="00B22777" w:rsidRPr="00A831E7">
        <w:rPr>
          <w:rFonts w:eastAsia="Calibri"/>
        </w:rPr>
        <w:instrText xml:space="preserve"> ADDIN ZOTERO_ITEM CSL_CITATION {"citationID":"kaZmJp5R","properties":{"formattedCitation":"[75]","plainCitation":"[75]","noteIndex":0},"citationItems":[{"id":298,"uris":["http://zotero.org/users/local/mfHf28QG/items/5V7SWQNA"],"itemData":{"id":298,"type":"article-journal","abstract":"Intracerebral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schema":"https://github.com/citation-style-language/schema/raw/master/csl-citation.json"} </w:instrText>
      </w:r>
      <w:r w:rsidRPr="00A831E7">
        <w:rPr>
          <w:rFonts w:eastAsia="Calibri"/>
        </w:rPr>
        <w:fldChar w:fldCharType="separate"/>
      </w:r>
      <w:r w:rsidR="00B22777" w:rsidRPr="00A831E7">
        <w:rPr>
          <w:rFonts w:eastAsia="Calibri"/>
        </w:rPr>
        <w:t>[75]</w:t>
      </w:r>
      <w:r w:rsidRPr="00A831E7">
        <w:rPr>
          <w:rFonts w:eastAsia="Calibri"/>
        </w:rPr>
        <w:fldChar w:fldCharType="end"/>
      </w:r>
      <w:r w:rsidRPr="00A831E7">
        <w:rPr>
          <w:rFonts w:eastAsia="Calibri"/>
        </w:rPr>
        <w:t xml:space="preserve"> </w:t>
      </w:r>
      <w:r w:rsidR="000F77E9" w:rsidRPr="00A831E7">
        <w:rPr>
          <w:rFonts w:eastAsia="Calibri"/>
        </w:rPr>
        <w:t>βρέθηκαν</w:t>
      </w:r>
      <w:r w:rsidRPr="00A831E7">
        <w:rPr>
          <w:rFonts w:eastAsia="Calibri"/>
        </w:rPr>
        <w:t xml:space="preserve"> βιοδείκτες RNA που σχετίζονται με το ανοσοποιητικό σύστημα για την ενδοεγκεφαλική αιμορραγία (ICH), χρησιμοποιώντας αλληλούχιση</w:t>
      </w:r>
      <w:r w:rsidR="00185741">
        <w:rPr>
          <w:rFonts w:eastAsia="Calibri"/>
          <w:lang w:val="en-US"/>
        </w:rPr>
        <w:t xml:space="preserve"> </w:t>
      </w:r>
      <w:r w:rsidR="00185741">
        <w:rPr>
          <w:rFonts w:eastAsia="Calibri"/>
        </w:rPr>
        <w:t>(</w:t>
      </w:r>
      <w:r w:rsidR="00185741">
        <w:rPr>
          <w:rFonts w:eastAsia="Calibri"/>
          <w:lang w:val="en-US"/>
        </w:rPr>
        <w:t>sequencing)</w:t>
      </w:r>
      <w:r w:rsidRPr="00A831E7">
        <w:rPr>
          <w:rFonts w:eastAsia="Calibri"/>
        </w:rPr>
        <w:t xml:space="preserve"> RNA και μηχανική μάθηση. Αναλύοντας 233 δείγματα αίματος, εντόπισαν 519 </w:t>
      </w:r>
      <w:r w:rsidR="005403E6">
        <w:rPr>
          <w:rFonts w:eastAsia="Calibri"/>
          <w:lang w:val="en-US"/>
        </w:rPr>
        <w:t>miRNAs</w:t>
      </w:r>
      <w:r w:rsidRPr="00A831E7">
        <w:rPr>
          <w:rFonts w:eastAsia="Calibri"/>
        </w:rPr>
        <w:t xml:space="preserve"> και 131 </w:t>
      </w:r>
      <w:r w:rsidR="005403E6">
        <w:rPr>
          <w:rFonts w:eastAsia="Calibri"/>
          <w:lang w:val="en-US"/>
        </w:rPr>
        <w:t>lncRNAs</w:t>
      </w:r>
      <w:r w:rsidRPr="00A831E7">
        <w:rPr>
          <w:rFonts w:eastAsia="Calibri"/>
        </w:rPr>
        <w:t xml:space="preserve"> με σημαντικές μεταβολές στην ICH, όπου οι οδοί ανοσοαπόκρισης διαδραματίζουν καθοριστικό ρόλο. Ένα RNA πάνελ</w:t>
      </w:r>
      <w:r w:rsidR="000F77E9" w:rsidRPr="00A831E7">
        <w:rPr>
          <w:rFonts w:eastAsia="Calibri"/>
        </w:rPr>
        <w:t xml:space="preserve"> τριών γονιδίων</w:t>
      </w:r>
      <w:r w:rsidRPr="00A831E7">
        <w:rPr>
          <w:rFonts w:eastAsia="Calibri"/>
        </w:rPr>
        <w:t xml:space="preserve"> (</w:t>
      </w:r>
      <w:r w:rsidRPr="00A831E7">
        <w:rPr>
          <w:rFonts w:eastAsia="Calibri"/>
          <w:b/>
          <w:bCs/>
        </w:rPr>
        <w:t>CKAP4, BCL6, TLR8</w:t>
      </w:r>
      <w:r w:rsidRPr="00A831E7">
        <w:rPr>
          <w:rFonts w:eastAsia="Calibri"/>
        </w:rPr>
        <w:t xml:space="preserve">) έδειξε ισχυρή διαγνωστική απόδοση, επιτυγχάνοντας AUCs 0.93, 0.95 και </w:t>
      </w:r>
      <w:r w:rsidRPr="007C6455">
        <w:rPr>
          <w:rFonts w:eastAsia="Calibri"/>
        </w:rPr>
        <w:t>0.82</w:t>
      </w:r>
      <w:r w:rsidRPr="00A831E7">
        <w:rPr>
          <w:rFonts w:eastAsia="Calibri"/>
        </w:rPr>
        <w:t xml:space="preserve"> για τη διάκριση της ICH από υπέρταση (HTN), </w:t>
      </w:r>
      <w:r w:rsidR="000F77E9" w:rsidRPr="00A831E7">
        <w:rPr>
          <w:rFonts w:eastAsia="Calibri"/>
        </w:rPr>
        <w:t xml:space="preserve">από </w:t>
      </w:r>
      <w:r w:rsidRPr="00A831E7">
        <w:rPr>
          <w:rFonts w:eastAsia="Calibri"/>
        </w:rPr>
        <w:t>υγι</w:t>
      </w:r>
      <w:r w:rsidR="000F77E9" w:rsidRPr="00A831E7">
        <w:rPr>
          <w:rFonts w:eastAsia="Calibri"/>
        </w:rPr>
        <w:t>ή άτομα</w:t>
      </w:r>
      <w:r w:rsidRPr="00A831E7">
        <w:rPr>
          <w:rFonts w:eastAsia="Calibri"/>
        </w:rPr>
        <w:t xml:space="preserve"> (NCs) και</w:t>
      </w:r>
      <w:r w:rsidR="000F77E9" w:rsidRPr="00A831E7">
        <w:rPr>
          <w:rFonts w:eastAsia="Calibri"/>
        </w:rPr>
        <w:t xml:space="preserve"> </w:t>
      </w:r>
      <w:r w:rsidR="00806A90" w:rsidRPr="00A831E7">
        <w:rPr>
          <w:rFonts w:eastAsia="Calibri"/>
        </w:rPr>
        <w:t>από</w:t>
      </w:r>
      <w:r w:rsidRPr="00A831E7">
        <w:rPr>
          <w:rFonts w:eastAsia="Calibri"/>
        </w:rPr>
        <w:t xml:space="preserve"> ισχαιμικό εγκεφαλικό επεισόδιο (IS).</w:t>
      </w:r>
      <w:r w:rsidR="007519B8">
        <w:rPr>
          <w:rFonts w:eastAsia="Calibri"/>
        </w:rPr>
        <w:t xml:space="preserve"> Η ανάλυση έδειξε ότι το πάνελ σχετίζεται με την παθογένεση της </w:t>
      </w:r>
      <w:r w:rsidR="007519B8">
        <w:rPr>
          <w:rFonts w:eastAsia="Calibri"/>
          <w:lang w:val="en-US"/>
        </w:rPr>
        <w:t>ICH.</w:t>
      </w:r>
    </w:p>
    <w:p w14:paraId="42DD563D" w14:textId="5A960AED" w:rsidR="00E66665" w:rsidRPr="00A831E7" w:rsidRDefault="00E66665" w:rsidP="0057069D">
      <w:pPr>
        <w:spacing w:line="360" w:lineRule="auto"/>
        <w:ind w:firstLine="720"/>
        <w:jc w:val="both"/>
        <w:rPr>
          <w:rFonts w:eastAsia="Calibri"/>
        </w:rPr>
      </w:pPr>
      <w:r w:rsidRPr="00A831E7">
        <w:rPr>
          <w:rFonts w:eastAsia="Calibri"/>
        </w:rPr>
        <w:t>Για τη βελτιστοποίηση της επιλογής βιοδεικτών</w:t>
      </w:r>
      <w:r w:rsidR="00015C57" w:rsidRPr="00A831E7">
        <w:rPr>
          <w:rFonts w:eastAsia="Calibri"/>
        </w:rPr>
        <w:t xml:space="preserve"> και για την ανάπτυξη του διαγνωστικού αλγορίθμου</w:t>
      </w:r>
      <w:r w:rsidRPr="00A831E7">
        <w:rPr>
          <w:rFonts w:eastAsia="Calibri"/>
        </w:rPr>
        <w:t>, εφαρμόστηκαν διάφορα μοντέλα ML, όπως LASSO, SVM-RFE, XGBoost και Boruta, με τη Gaussian Naïve Bayes (GNB) να αποδίδει την υψηλότερη ακρίβεια ταξινόμησης</w:t>
      </w:r>
      <w:r w:rsidR="00015C57" w:rsidRPr="00A831E7">
        <w:rPr>
          <w:rFonts w:eastAsia="Calibri"/>
        </w:rPr>
        <w:t xml:space="preserve"> στην διαγνωστική μέθοδο</w:t>
      </w:r>
      <w:r w:rsidRPr="00A831E7">
        <w:rPr>
          <w:rFonts w:eastAsia="Calibri"/>
        </w:rPr>
        <w:t xml:space="preserve">. </w:t>
      </w:r>
    </w:p>
    <w:p w14:paraId="6323BB8D" w14:textId="77777777" w:rsidR="000F77E9" w:rsidRPr="00A831E7" w:rsidRDefault="000F77E9" w:rsidP="0057069D">
      <w:pPr>
        <w:spacing w:line="360" w:lineRule="auto"/>
        <w:ind w:firstLine="720"/>
        <w:jc w:val="both"/>
        <w:rPr>
          <w:rFonts w:eastAsia="Calibri"/>
        </w:rPr>
      </w:pPr>
    </w:p>
    <w:p w14:paraId="41C896D3" w14:textId="42D3A0EF" w:rsidR="000F77E9" w:rsidRPr="00A831E7" w:rsidRDefault="000F77E9" w:rsidP="0057069D">
      <w:pPr>
        <w:pStyle w:val="4"/>
        <w:spacing w:line="360" w:lineRule="auto"/>
        <w:rPr>
          <w:rFonts w:eastAsia="Calibri"/>
          <w:b w:val="0"/>
          <w:bCs/>
          <w:color w:val="000000" w:themeColor="text1"/>
        </w:rPr>
      </w:pPr>
      <w:r w:rsidRPr="00A831E7">
        <w:rPr>
          <w:rFonts w:eastAsia="Calibri"/>
          <w:bCs/>
          <w:color w:val="000000" w:themeColor="text1"/>
        </w:rPr>
        <w:lastRenderedPageBreak/>
        <w:t>Κυκλοφορούντα miRNAs</w:t>
      </w:r>
    </w:p>
    <w:p w14:paraId="4746E635" w14:textId="198F2FA4" w:rsidR="00E66665" w:rsidRPr="00A831E7" w:rsidRDefault="00E66665" w:rsidP="0057069D">
      <w:pPr>
        <w:spacing w:line="360" w:lineRule="auto"/>
        <w:ind w:firstLine="720"/>
        <w:jc w:val="both"/>
        <w:rPr>
          <w:rFonts w:eastAsia="Calibri"/>
        </w:rPr>
      </w:pPr>
      <w:r w:rsidRPr="00A831E7">
        <w:rPr>
          <w:rFonts w:eastAsia="Calibri"/>
        </w:rPr>
        <w:t xml:space="preserve">Οι Zhao et al. </w:t>
      </w:r>
      <w:r w:rsidR="000F77E9" w:rsidRPr="00A831E7">
        <w:rPr>
          <w:rFonts w:eastAsia="Calibri"/>
        </w:rPr>
        <w:fldChar w:fldCharType="begin"/>
      </w:r>
      <w:r w:rsidR="000F77E9" w:rsidRPr="00A831E7">
        <w:rPr>
          <w:rFonts w:eastAsia="Calibri"/>
        </w:rPr>
        <w:instrText xml:space="preserve"> ADDIN ZOTERO_ITEM CSL_CITATION {"citationID":"xAvS9a0L","properties":{"formattedCitation":"[21]","plainCitation":"[21]","noteIndex":0},"citationItems":[{"id":294,"uris":["http://zotero.org/users/local/mfHf28QG/items/YA2XYRNF"],"itemData":{"id":294,"type":"article-journal","abstract":"OBJECTIVES: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schema":"https://github.com/citation-style-language/schema/raw/master/csl-citation.json"} </w:instrText>
      </w:r>
      <w:r w:rsidR="000F77E9" w:rsidRPr="00A831E7">
        <w:rPr>
          <w:rFonts w:eastAsia="Calibri"/>
        </w:rPr>
        <w:fldChar w:fldCharType="separate"/>
      </w:r>
      <w:r w:rsidR="000F77E9" w:rsidRPr="00A831E7">
        <w:rPr>
          <w:rFonts w:eastAsia="Calibri"/>
        </w:rPr>
        <w:t>[21]</w:t>
      </w:r>
      <w:r w:rsidR="000F77E9" w:rsidRPr="00A831E7">
        <w:rPr>
          <w:rFonts w:eastAsia="Calibri"/>
        </w:rPr>
        <w:fldChar w:fldCharType="end"/>
      </w:r>
      <w:r w:rsidRPr="00A831E7">
        <w:rPr>
          <w:rFonts w:eastAsia="Calibri"/>
        </w:rPr>
        <w:t xml:space="preserve"> αξιολόγησαν </w:t>
      </w:r>
      <w:r w:rsidR="000F77E9" w:rsidRPr="00A831E7">
        <w:rPr>
          <w:rFonts w:eastAsia="Calibri"/>
        </w:rPr>
        <w:t>τα</w:t>
      </w:r>
      <w:r w:rsidRPr="00A831E7">
        <w:rPr>
          <w:rFonts w:eastAsia="Calibri"/>
        </w:rPr>
        <w:t xml:space="preserve"> </w:t>
      </w:r>
      <w:r w:rsidRPr="00A831E7">
        <w:rPr>
          <w:rFonts w:eastAsia="Calibri"/>
          <w:b/>
          <w:bCs/>
        </w:rPr>
        <w:t>microRNAs</w:t>
      </w:r>
      <w:r w:rsidRPr="00A831E7">
        <w:rPr>
          <w:rFonts w:eastAsia="Calibri"/>
        </w:rPr>
        <w:t xml:space="preserve"> ως ελάχιστα επεμβατικούς βιοδείκτες για τη διάγνωση ισχαιμικού εγκεφαλικού επεισοδίου (IS), συνδυάζοντας ποσοτική αλυσιδωτή αντίδραση πολυμεράσης σε πραγματικό χρόνο (qRT-PCR) με μεθόδους μηχανικής μάθησης. Η μελέτη ανέλυσε δείγματα αίματος από 50 ασθενείς με IS και 50 υγι</w:t>
      </w:r>
      <w:r w:rsidR="000F77E9" w:rsidRPr="00A831E7">
        <w:rPr>
          <w:rFonts w:eastAsia="Calibri"/>
        </w:rPr>
        <w:t>ή άτομα</w:t>
      </w:r>
      <w:r w:rsidRPr="00A831E7">
        <w:rPr>
          <w:rFonts w:eastAsia="Calibri"/>
        </w:rPr>
        <w:t>, εντοπίζοντας αυξημένη έκφραση των miR-19a, miR-148a, miR-320d και miR-342-3p σε περιπτώσεις εγκεφαλικού επεισοδίου. Μεταξύ αυτών, τα miR-148a και miR-342-3p εμφάνισαν την υψηλότερη διαγνωστική ακρίβεια, με AUCs 0.872 και 0.844 αντίστοιχα</w:t>
      </w:r>
      <w:r w:rsidR="00AA3EF8" w:rsidRPr="00A831E7">
        <w:rPr>
          <w:rFonts w:eastAsia="Calibri"/>
        </w:rPr>
        <w:t xml:space="preserve"> </w:t>
      </w:r>
      <w:r w:rsidR="00AA3EF8" w:rsidRPr="00A831E7">
        <w:rPr>
          <w:rFonts w:eastAsia="Calibri"/>
        </w:rPr>
        <w:fldChar w:fldCharType="begin"/>
      </w:r>
      <w:r w:rsidR="000264D2" w:rsidRPr="00A831E7">
        <w:rPr>
          <w:rFonts w:eastAsia="Calibri"/>
        </w:rPr>
        <w:instrText xml:space="preserve"> ADDIN ZOTERO_ITEM CSL_CITATION {"citationID":"QouD2a9b","properties":{"formattedCitation":"[21]","plainCitation":"[21]","noteIndex":0},"citationItems":[{"id":294,"uris":["http://zotero.org/users/local/mfHf28QG/items/YA2XYRNF"],"itemData":{"id":294,"type":"article-journal","abstract":"OBJECTIVES: Ischemic stroke (IS) is one of the leading causes of morbidity and mortality worldwide. Circulating microRNAs have a potential as minimally invasive biomarkers for disease prediction, diagnosis, and prognosis. In this study, we sought to use different machine learning algorithms to identify an optimal model of microRNA by integrating the expression data of pre-selected microRNAs for discriminating patients with IS from controls.\nMETHODS: The expression level of microRNAs in the peripheral blood of 50 patients with IS and 50 matched controls were assessed through real-time polymerase chain reaction (qRT-PCR). Machine learning algorithms, including artificial neural network, random forest, extreme gradient boosting, and support vector machine (SVM) were employed via R 3.6.3 software to establish diagnostic models for IS.\nRESULTS: The IS group had significantly increased expression levels of miR-19a (P &lt; 0.001), miR-148a (P &lt; 0.001), miR-320d (P = 0.003), and miR-342-3p (P &lt; 0.001) compared with the control group. MiR-148a, miR-342-3p, miR-19a, and miR-320d yielded areas under the receiver operating characteristic curve (AUC) of 0.872, 0.844, 0.721, and 0.673, respectively, with 0.740, 0.940, 0.740, and 0.840 sensitivity and 0.920, 0.640, 0.600, and 0.440 specificity, respectively. Model miR-148a + miR-342-3p + miR-19a had the best predictive value when analyzed via SVM algorithm with AUC, sensitivity, and specificity values of 0.958, 0.937, and 0.889, respectively.\nCONCLUSION: The diagnostic value of the combination of miR-148a, miR-342-3p, and miR-19a through SVM algorithm has the potential to serve as a feasible approach to promote the diagnosis of IS.","container-title":"Journal of Stroke and Cerebrovascular Diseases: The Official Journal of National Stroke Association","DOI":"10.1016/j.jstrokecerebrovasdis.2021.105825","ISSN":"1532-8511","issue":"8","journalAbbreviation":"J Stroke Cerebrovasc Dis","language":"eng","note":"PMID: 34022583","page":"105825","source":"PubMed","title":"Machine Learning Analysis of MicroRNA Expression Data Reveals Novel Diagnostic Biomarker for Ischemic Stroke","volume":"30","author":[{"family":"Zhao","given":"Xinyi"},{"family":"Chen","given":"Xingmei"},{"family":"Wu","given":"Xulong"},{"family":"Zhu","given":"Lulu"},{"family":"Long","given":"Jianxiong"},{"family":"Su","given":"Li"},{"family":"Gu","given":"Lian"}],"issued":{"date-parts":[["2021",8]]}}}],"schema":"https://github.com/citation-style-language/schema/raw/master/csl-citation.json"} </w:instrText>
      </w:r>
      <w:r w:rsidR="00AA3EF8" w:rsidRPr="00A831E7">
        <w:rPr>
          <w:rFonts w:eastAsia="Calibri"/>
        </w:rPr>
        <w:fldChar w:fldCharType="separate"/>
      </w:r>
      <w:r w:rsidR="00AA3EF8" w:rsidRPr="00A831E7">
        <w:rPr>
          <w:rFonts w:eastAsia="Calibri"/>
        </w:rPr>
        <w:t>[21]</w:t>
      </w:r>
      <w:r w:rsidR="00AA3EF8" w:rsidRPr="00A831E7">
        <w:rPr>
          <w:rFonts w:eastAsia="Calibri"/>
        </w:rPr>
        <w:fldChar w:fldCharType="end"/>
      </w:r>
      <w:r w:rsidRPr="00A831E7">
        <w:rPr>
          <w:rFonts w:eastAsia="Calibri"/>
        </w:rPr>
        <w:t>.</w:t>
      </w:r>
    </w:p>
    <w:p w14:paraId="31369C6B" w14:textId="0C805327" w:rsidR="005774B1" w:rsidRPr="00302ACF" w:rsidRDefault="00E66665" w:rsidP="0057069D">
      <w:pPr>
        <w:spacing w:line="360" w:lineRule="auto"/>
        <w:ind w:firstLine="720"/>
        <w:jc w:val="both"/>
        <w:rPr>
          <w:rFonts w:eastAsia="Calibri"/>
          <w:lang w:val="en-US"/>
        </w:rPr>
      </w:pPr>
      <w:r w:rsidRPr="00A831E7">
        <w:rPr>
          <w:rFonts w:eastAsia="Calibri"/>
        </w:rPr>
        <w:t>Για τη βελτιστοποίηση της επιλογής βιοδεικτών</w:t>
      </w:r>
      <w:r w:rsidR="00015C57" w:rsidRPr="00A831E7">
        <w:rPr>
          <w:rFonts w:eastAsia="Calibri"/>
        </w:rPr>
        <w:t xml:space="preserve"> και την ανάπτυξη διαγνωστικής μεθόδου</w:t>
      </w:r>
      <w:r w:rsidRPr="00A831E7">
        <w:rPr>
          <w:rFonts w:eastAsia="Calibri"/>
        </w:rPr>
        <w:t xml:space="preserve">, εφαρμόστηκαν αλγόριθμοι μηχανικής μάθησης, όπως τεχνητά νευρωνικά δίκτυα (ANN), τυχαία δάση (RF), extreme gradient boosting (XGBoost) και </w:t>
      </w:r>
      <w:r w:rsidR="000F77E9" w:rsidRPr="00A831E7">
        <w:rPr>
          <w:rFonts w:eastAsia="Calibri"/>
        </w:rPr>
        <w:t xml:space="preserve">διανύσματα μηχανών </w:t>
      </w:r>
      <w:r w:rsidRPr="00A831E7">
        <w:rPr>
          <w:rFonts w:eastAsia="Calibri"/>
        </w:rPr>
        <w:t xml:space="preserve">(SVM). </w:t>
      </w:r>
      <w:r w:rsidR="00302ACF">
        <w:rPr>
          <w:rFonts w:eastAsia="Calibri"/>
        </w:rPr>
        <w:t>Έγινε</w:t>
      </w:r>
      <w:r w:rsidR="00302ACF">
        <w:rPr>
          <w:rFonts w:eastAsia="Calibri"/>
          <w:lang w:val="en-US"/>
        </w:rPr>
        <w:t xml:space="preserve"> </w:t>
      </w:r>
      <w:r w:rsidR="00302ACF" w:rsidRPr="00302ACF">
        <w:rPr>
          <w:rFonts w:eastAsia="Calibri"/>
        </w:rPr>
        <w:t>10-fold cross-validation</w:t>
      </w:r>
      <w:r w:rsidR="00302ACF">
        <w:rPr>
          <w:rFonts w:eastAsia="Calibri"/>
          <w:lang w:val="en-US"/>
        </w:rPr>
        <w:t xml:space="preserve"> </w:t>
      </w:r>
      <w:r w:rsidR="00302ACF">
        <w:rPr>
          <w:rFonts w:eastAsia="Calibri"/>
        </w:rPr>
        <w:t xml:space="preserve">στο σετ εκπαίδευσης και μετά αξιολόγηση στο </w:t>
      </w:r>
      <w:r w:rsidR="00302ACF">
        <w:rPr>
          <w:rFonts w:eastAsia="Calibri"/>
          <w:lang w:val="en-US"/>
        </w:rPr>
        <w:t>validation set.</w:t>
      </w:r>
      <w:r w:rsidR="00302ACF">
        <w:rPr>
          <w:rFonts w:eastAsia="Calibri"/>
        </w:rPr>
        <w:t xml:space="preserve"> </w:t>
      </w:r>
      <w:r w:rsidRPr="00A831E7">
        <w:rPr>
          <w:rFonts w:eastAsia="Calibri"/>
        </w:rPr>
        <w:t xml:space="preserve">Ο συνδυασμός των miR-148a, miR-342-3p και miR-19a παρουσίασε την καλύτερη απόδοση υπό SVM, επιτυγχάνοντας </w:t>
      </w:r>
      <w:r w:rsidRPr="00A831E7">
        <w:rPr>
          <w:rFonts w:eastAsia="Calibri"/>
          <w:b/>
          <w:bCs/>
        </w:rPr>
        <w:t>AUC = 0.958</w:t>
      </w:r>
      <w:r w:rsidRPr="00A831E7">
        <w:rPr>
          <w:rFonts w:eastAsia="Calibri"/>
        </w:rPr>
        <w:t xml:space="preserve">, </w:t>
      </w:r>
      <w:r w:rsidR="000F77E9" w:rsidRPr="00A831E7">
        <w:rPr>
          <w:rFonts w:eastAsia="Calibri"/>
        </w:rPr>
        <w:t xml:space="preserve">sensitivity </w:t>
      </w:r>
      <w:r w:rsidRPr="00A831E7">
        <w:rPr>
          <w:rFonts w:eastAsia="Calibri"/>
        </w:rPr>
        <w:t xml:space="preserve">= 0.937 και </w:t>
      </w:r>
      <w:r w:rsidR="000F77E9" w:rsidRPr="00A831E7">
        <w:rPr>
          <w:rFonts w:eastAsia="Calibri"/>
        </w:rPr>
        <w:t>specificity</w:t>
      </w:r>
      <w:r w:rsidRPr="00A831E7">
        <w:rPr>
          <w:rFonts w:eastAsia="Calibri"/>
        </w:rPr>
        <w:t xml:space="preserve"> = 0.889, αποδεικνύοντας την αποτελεσματικότητά του για την ανίχνευση</w:t>
      </w:r>
      <w:r w:rsidR="00185741">
        <w:rPr>
          <w:rFonts w:eastAsia="Calibri"/>
          <w:lang w:val="en-US"/>
        </w:rPr>
        <w:t xml:space="preserve"> </w:t>
      </w:r>
      <w:r w:rsidR="00185741">
        <w:rPr>
          <w:rFonts w:eastAsia="Calibri"/>
        </w:rPr>
        <w:t>ισχαιμικού εγκεφαλικού (</w:t>
      </w:r>
      <w:r w:rsidR="00185741">
        <w:rPr>
          <w:rFonts w:eastAsia="Calibri"/>
          <w:lang w:val="en-US"/>
        </w:rPr>
        <w:t>IS)</w:t>
      </w:r>
      <w:r w:rsidRPr="00A831E7">
        <w:rPr>
          <w:rFonts w:eastAsia="Calibri"/>
        </w:rPr>
        <w:t xml:space="preserve">. </w:t>
      </w:r>
    </w:p>
    <w:p w14:paraId="5C0ADF1D" w14:textId="77777777" w:rsidR="000F77E9" w:rsidRPr="00A831E7" w:rsidRDefault="000F77E9" w:rsidP="0057069D">
      <w:pPr>
        <w:spacing w:line="360" w:lineRule="auto"/>
        <w:ind w:firstLine="720"/>
        <w:jc w:val="both"/>
        <w:rPr>
          <w:rFonts w:eastAsia="Calibri"/>
        </w:rPr>
      </w:pPr>
    </w:p>
    <w:p w14:paraId="289124C9" w14:textId="00AF599D" w:rsidR="000F77E9" w:rsidRPr="00A831E7" w:rsidRDefault="000F77E9" w:rsidP="0057069D">
      <w:pPr>
        <w:pStyle w:val="4"/>
        <w:spacing w:line="360" w:lineRule="auto"/>
        <w:rPr>
          <w:rFonts w:eastAsia="Calibri"/>
          <w:b w:val="0"/>
          <w:bCs/>
        </w:rPr>
      </w:pPr>
      <w:r w:rsidRPr="00A831E7">
        <w:rPr>
          <w:rFonts w:eastAsia="Calibri"/>
          <w:bCs/>
        </w:rPr>
        <w:t>Βιοδείκτης FCER1G για διάγνωση Καρδιοεμβολικού Εγκεφαλικού(CE)</w:t>
      </w:r>
    </w:p>
    <w:p w14:paraId="633D0092" w14:textId="2F9E147A" w:rsidR="000F77E9" w:rsidRPr="00A831E7" w:rsidRDefault="00806A90" w:rsidP="0057069D">
      <w:pPr>
        <w:spacing w:line="360" w:lineRule="auto"/>
        <w:ind w:firstLine="720"/>
        <w:jc w:val="both"/>
        <w:rPr>
          <w:rFonts w:eastAsia="Calibri"/>
        </w:rPr>
      </w:pPr>
      <w:r w:rsidRPr="00A831E7">
        <w:rPr>
          <w:rFonts w:eastAsia="Calibri"/>
        </w:rPr>
        <w:t>Οι</w:t>
      </w:r>
      <w:r w:rsidR="000F77E9" w:rsidRPr="00730D74">
        <w:rPr>
          <w:rFonts w:eastAsia="Calibri"/>
          <w:lang w:val="en-US"/>
        </w:rPr>
        <w:t xml:space="preserve"> Hu et al. </w:t>
      </w:r>
      <w:r w:rsidR="000F77E9" w:rsidRPr="00A831E7">
        <w:rPr>
          <w:rFonts w:eastAsia="Calibri"/>
        </w:rPr>
        <w:fldChar w:fldCharType="begin"/>
      </w:r>
      <w:r w:rsidR="00B22777" w:rsidRPr="00730D74">
        <w:rPr>
          <w:rFonts w:eastAsia="Calibri"/>
          <w:lang w:val="en-US"/>
        </w:rPr>
        <w:instrText xml:space="preserve"> ADDIN ZOTERO_ITEM CSL_CITATION {"citationID":"HTXYicwm","properties":{"formattedCitation":"[82]","plainCitation":"[82]","noteIndex":0},"citationItems":[{"id":845,"uris":["http://zotero.org/users/local/mfHf28QG/items/9FDH463P"],"itemData":{"id":845,"type":"article-journal","abstract":"Background\nCardioembolic stroke (CE) exhibits the highest recurrence rate and mortality rate among all subtypes of cerebral ischemic stroke (CIS), yet its pathogenesis remains uncertain. The immune system plays a pivotal role in the progression of CE. Growing evidence indicates that several immune-associated blood biomarkers may inform the causes of stroke. The study aimed to identify new immune-associated blood biomarkers in patients with CE and create an online predictive tool in distinguishing CE from noncardioembolic stroke (non-CE) in CIS.\nMethods\nGene expression profiles that were publicly available were obtained from the Gene Expression Omnibus (GEO). The identification of differentially expressed genes (DEGs) was conducted using the Limma package. The hub module and hub genes were identified through the application of weighted gene coexpression network analysis (WGCNA). In order to identify potential diagnostic biomarkers for CE, both the random forest (RF) model and least absolute shrinkage and selection operator (LASSO) regression analysis were employed. Concurrently, the CIBERSORT algorithm was employed to evaluate the infiltration of immune cells in CE samples and examine the correlation between the biomarkers and the infiltrating immune cells. The diagnostic gene expression in blood samples was confirmed using qRT-PCR in a self-constructed dataset. Univariate and multiple logistic regression analyses were used to identify the risk factors for CE. Subsequently, the mathematical model of the nomogram was employed via Java's \"Spring Boot\" framework to develop the corresponding online tool, which was then deployed on a cloud server utilizing \"nginx\".\nResults\nEleven differentially expressed genes (DEGs) that were upregulated and seven DEGs that were downregulated were identified. Through bioinformatics analysis and clinical sample verification, it was discovered that Fc Fragment of IgE Receptor Ig (FCER1G) could serve as a novel potential blood biomarker for CE. FCER1G, along with other risk factors associated with CE, were utilized to develop a nomogram. The training and validation sets, which consisted of 65 CIS patients, yielded areas under the curve (AUCs) of 0.9722 and 0.9689, respectively. These results indicate a high level of precision in risk delineation by the nomogram. Furthermore, the associated online predictive platform has the potential to serve as a more efficacious and appropriate predictive instrument (https://www.origingenetic.com/CardiogenicStroke-FCER1G) for distinguishing between CE and non-CE.\nConclusion\nBlood biomarker FCER1G has the potential to identify patients who are at a higher risk of cardioembolism and direct the search for occult AF.The utilization of this online tool is anticipated to yield significant implications in terms of distinguishing between CE and non-CE, as well as enhancing the optimization of treatment decision support.","container-title":"Heliyon","DOI":"10.1016/j.heliyon.2024.e33846","ISSN":"2405-8440","issue":"13","journalAbbreviation":"Heliyon","page":"e33846","source":"ScienceDirect","title":"FCER1G as a novel immune-associated blood biomarker in cardiogenic stroke","volume":"10","author":[{"family":"Hu","given":"Yuanzheng"},{"family":"Li","given":"Xiangxin"},{"family":"Hou","given":"Kaiqi"},{"family":"Zhang","given":"Shoudu"},{"family":"Zhong","given":"Siyi"},{"family":"Ding","given":"Qian"},{"family":"Xi","given":"Wuyang"},{"family":"Wang","given":"Zongqing"},{"family":"Xing","given":"Juan"},{"family":"Bai","given":"Fanghui"},{"family":"Xu","given":"Qian"}],"issued":{"date-parts":[["2024",7,15]]}}}],"schema":"https://github.com/citation-style-language/schema/raw/master/csl-citation.json"} </w:instrText>
      </w:r>
      <w:r w:rsidR="000F77E9" w:rsidRPr="00A831E7">
        <w:rPr>
          <w:rFonts w:eastAsia="Calibri"/>
        </w:rPr>
        <w:fldChar w:fldCharType="separate"/>
      </w:r>
      <w:r w:rsidR="00B22777" w:rsidRPr="00730D74">
        <w:rPr>
          <w:rFonts w:eastAsia="Calibri"/>
          <w:lang w:val="en-US"/>
        </w:rPr>
        <w:t>[82]</w:t>
      </w:r>
      <w:r w:rsidR="000F77E9" w:rsidRPr="00A831E7">
        <w:rPr>
          <w:rFonts w:eastAsia="Calibri"/>
        </w:rPr>
        <w:fldChar w:fldCharType="end"/>
      </w:r>
      <w:r w:rsidR="000F77E9" w:rsidRPr="00730D74">
        <w:rPr>
          <w:rFonts w:eastAsia="Calibri"/>
          <w:lang w:val="en-US"/>
        </w:rPr>
        <w:t xml:space="preserve"> </w:t>
      </w:r>
      <w:r w:rsidRPr="00A831E7">
        <w:rPr>
          <w:rFonts w:eastAsia="Calibri"/>
        </w:rPr>
        <w:t>εντόπισαν</w:t>
      </w:r>
      <w:r w:rsidRPr="00730D74">
        <w:rPr>
          <w:rFonts w:eastAsia="Calibri"/>
          <w:lang w:val="en-US"/>
        </w:rPr>
        <w:t xml:space="preserve"> </w:t>
      </w:r>
      <w:r w:rsidRPr="00A831E7">
        <w:rPr>
          <w:rFonts w:eastAsia="Calibri"/>
        </w:rPr>
        <w:t>το</w:t>
      </w:r>
      <w:r w:rsidR="000F77E9" w:rsidRPr="00730D74">
        <w:rPr>
          <w:rFonts w:eastAsia="Calibri"/>
          <w:lang w:val="en-US"/>
        </w:rPr>
        <w:t xml:space="preserve"> FCER1G </w:t>
      </w:r>
      <w:r w:rsidR="000F77E9" w:rsidRPr="00A831E7">
        <w:rPr>
          <w:rFonts w:eastAsia="Calibri"/>
        </w:rPr>
        <w:t>ως</w:t>
      </w:r>
      <w:r w:rsidR="000F77E9" w:rsidRPr="00730D74">
        <w:rPr>
          <w:rFonts w:eastAsia="Calibri"/>
          <w:lang w:val="en-US"/>
        </w:rPr>
        <w:t xml:space="preserve"> </w:t>
      </w:r>
      <w:r w:rsidR="000F77E9" w:rsidRPr="00A831E7">
        <w:rPr>
          <w:rFonts w:eastAsia="Calibri"/>
        </w:rPr>
        <w:t>νέο</w:t>
      </w:r>
      <w:r w:rsidR="000F77E9" w:rsidRPr="00730D74">
        <w:rPr>
          <w:rFonts w:eastAsia="Calibri"/>
          <w:lang w:val="en-US"/>
        </w:rPr>
        <w:t xml:space="preserve"> </w:t>
      </w:r>
      <w:r w:rsidR="000F77E9" w:rsidRPr="00A831E7">
        <w:rPr>
          <w:rFonts w:eastAsia="Calibri"/>
        </w:rPr>
        <w:t>αιματολογικό</w:t>
      </w:r>
      <w:r w:rsidR="000F77E9" w:rsidRPr="00730D74">
        <w:rPr>
          <w:rFonts w:eastAsia="Calibri"/>
          <w:lang w:val="en-US"/>
        </w:rPr>
        <w:t xml:space="preserve"> </w:t>
      </w:r>
      <w:r w:rsidR="000F77E9" w:rsidRPr="00A831E7">
        <w:rPr>
          <w:rFonts w:eastAsia="Calibri"/>
        </w:rPr>
        <w:t>βιοδείκτη</w:t>
      </w:r>
      <w:r w:rsidR="000F77E9" w:rsidRPr="00730D74">
        <w:rPr>
          <w:rFonts w:eastAsia="Calibri"/>
          <w:lang w:val="en-US"/>
        </w:rPr>
        <w:t xml:space="preserve"> </w:t>
      </w:r>
      <w:r w:rsidR="000F77E9" w:rsidRPr="00A831E7">
        <w:rPr>
          <w:rFonts w:eastAsia="Calibri"/>
        </w:rPr>
        <w:t>που</w:t>
      </w:r>
      <w:r w:rsidR="000F77E9" w:rsidRPr="00730D74">
        <w:rPr>
          <w:rFonts w:eastAsia="Calibri"/>
          <w:lang w:val="en-US"/>
        </w:rPr>
        <w:t xml:space="preserve"> </w:t>
      </w:r>
      <w:r w:rsidR="000F77E9" w:rsidRPr="00A831E7">
        <w:rPr>
          <w:rFonts w:eastAsia="Calibri"/>
        </w:rPr>
        <w:t>σχετίζεται</w:t>
      </w:r>
      <w:r w:rsidR="000F77E9" w:rsidRPr="00730D74">
        <w:rPr>
          <w:rFonts w:eastAsia="Calibri"/>
          <w:lang w:val="en-US"/>
        </w:rPr>
        <w:t xml:space="preserve"> </w:t>
      </w:r>
      <w:r w:rsidR="000F77E9" w:rsidRPr="00A831E7">
        <w:rPr>
          <w:rFonts w:eastAsia="Calibri"/>
        </w:rPr>
        <w:t>με</w:t>
      </w:r>
      <w:r w:rsidR="000F77E9" w:rsidRPr="00730D74">
        <w:rPr>
          <w:rFonts w:eastAsia="Calibri"/>
          <w:lang w:val="en-US"/>
        </w:rPr>
        <w:t xml:space="preserve"> </w:t>
      </w:r>
      <w:r w:rsidR="000F77E9" w:rsidRPr="00A831E7">
        <w:rPr>
          <w:rFonts w:eastAsia="Calibri"/>
        </w:rPr>
        <w:t>το</w:t>
      </w:r>
      <w:r w:rsidR="000F77E9" w:rsidRPr="00730D74">
        <w:rPr>
          <w:rFonts w:eastAsia="Calibri"/>
          <w:lang w:val="en-US"/>
        </w:rPr>
        <w:t xml:space="preserve"> </w:t>
      </w:r>
      <w:r w:rsidR="000F77E9" w:rsidRPr="00A831E7">
        <w:rPr>
          <w:rFonts w:eastAsia="Calibri"/>
        </w:rPr>
        <w:t>ανοσοποιητικό</w:t>
      </w:r>
      <w:r w:rsidR="000F77E9" w:rsidRPr="00730D74">
        <w:rPr>
          <w:rFonts w:eastAsia="Calibri"/>
          <w:lang w:val="en-US"/>
        </w:rPr>
        <w:t xml:space="preserve"> </w:t>
      </w:r>
      <w:r w:rsidR="000F77E9" w:rsidRPr="00A831E7">
        <w:rPr>
          <w:rFonts w:eastAsia="Calibri"/>
        </w:rPr>
        <w:t>σύστημα</w:t>
      </w:r>
      <w:r w:rsidR="000F77E9" w:rsidRPr="00730D74">
        <w:rPr>
          <w:rFonts w:eastAsia="Calibri"/>
          <w:lang w:val="en-US"/>
        </w:rPr>
        <w:t xml:space="preserve"> </w:t>
      </w:r>
      <w:r w:rsidR="000F77E9" w:rsidRPr="00A831E7">
        <w:rPr>
          <w:rFonts w:eastAsia="Calibri"/>
        </w:rPr>
        <w:t>για</w:t>
      </w:r>
      <w:r w:rsidR="000F77E9" w:rsidRPr="00730D74">
        <w:rPr>
          <w:rFonts w:eastAsia="Calibri"/>
          <w:lang w:val="en-US"/>
        </w:rPr>
        <w:t xml:space="preserve"> </w:t>
      </w:r>
      <w:r w:rsidR="000F77E9" w:rsidRPr="00A831E7">
        <w:rPr>
          <w:rFonts w:eastAsia="Calibri"/>
        </w:rPr>
        <w:t>το</w:t>
      </w:r>
      <w:r w:rsidR="000F77E9" w:rsidRPr="00730D74">
        <w:rPr>
          <w:rFonts w:eastAsia="Calibri"/>
          <w:lang w:val="en-US"/>
        </w:rPr>
        <w:t xml:space="preserve"> </w:t>
      </w:r>
      <w:r w:rsidR="000F77E9" w:rsidRPr="00A831E7">
        <w:rPr>
          <w:rFonts w:eastAsia="Calibri"/>
        </w:rPr>
        <w:t>καρδιοεμβολικό</w:t>
      </w:r>
      <w:r w:rsidR="000F77E9" w:rsidRPr="00730D74">
        <w:rPr>
          <w:rFonts w:eastAsia="Calibri"/>
          <w:lang w:val="en-US"/>
        </w:rPr>
        <w:t xml:space="preserve"> </w:t>
      </w:r>
      <w:r w:rsidR="000F77E9" w:rsidRPr="00A831E7">
        <w:rPr>
          <w:rFonts w:eastAsia="Calibri"/>
        </w:rPr>
        <w:t>εγκεφαλικό</w:t>
      </w:r>
      <w:r w:rsidR="000F77E9" w:rsidRPr="00730D74">
        <w:rPr>
          <w:rFonts w:eastAsia="Calibri"/>
          <w:lang w:val="en-US"/>
        </w:rPr>
        <w:t xml:space="preserve"> (CE), </w:t>
      </w:r>
      <w:r w:rsidR="000F77E9" w:rsidRPr="00A831E7">
        <w:rPr>
          <w:rFonts w:eastAsia="Calibri"/>
        </w:rPr>
        <w:t>αξιοποιώντας</w:t>
      </w:r>
      <w:r w:rsidR="000F77E9" w:rsidRPr="00730D74">
        <w:rPr>
          <w:rFonts w:eastAsia="Calibri"/>
          <w:lang w:val="en-US"/>
        </w:rPr>
        <w:t xml:space="preserve"> </w:t>
      </w:r>
      <w:r w:rsidR="000F77E9" w:rsidRPr="00A831E7">
        <w:rPr>
          <w:rFonts w:eastAsia="Calibri"/>
        </w:rPr>
        <w:t>ανάλυση</w:t>
      </w:r>
      <w:r w:rsidR="000F77E9" w:rsidRPr="00730D74">
        <w:rPr>
          <w:rFonts w:eastAsia="Calibri"/>
          <w:lang w:val="en-US"/>
        </w:rPr>
        <w:t xml:space="preserve"> </w:t>
      </w:r>
      <w:r w:rsidR="000F77E9" w:rsidRPr="00A831E7">
        <w:rPr>
          <w:rFonts w:eastAsia="Calibri"/>
        </w:rPr>
        <w:t>γονιδιακής</w:t>
      </w:r>
      <w:r w:rsidR="000F77E9" w:rsidRPr="00730D74">
        <w:rPr>
          <w:rFonts w:eastAsia="Calibri"/>
          <w:lang w:val="en-US"/>
        </w:rPr>
        <w:t xml:space="preserve"> </w:t>
      </w:r>
      <w:r w:rsidR="000F77E9" w:rsidRPr="00A831E7">
        <w:rPr>
          <w:rFonts w:eastAsia="Calibri"/>
        </w:rPr>
        <w:t>έκφρασης</w:t>
      </w:r>
      <w:r w:rsidR="000F77E9" w:rsidRPr="00730D74">
        <w:rPr>
          <w:rFonts w:eastAsia="Calibri"/>
          <w:lang w:val="en-US"/>
        </w:rPr>
        <w:t xml:space="preserve"> </w:t>
      </w:r>
      <w:r w:rsidR="000F77E9" w:rsidRPr="00A831E7">
        <w:rPr>
          <w:rFonts w:eastAsia="Calibri"/>
        </w:rPr>
        <w:t>και</w:t>
      </w:r>
      <w:r w:rsidR="000F77E9" w:rsidRPr="00730D74">
        <w:rPr>
          <w:rFonts w:eastAsia="Calibri"/>
          <w:lang w:val="en-US"/>
        </w:rPr>
        <w:t xml:space="preserve"> </w:t>
      </w:r>
      <w:r w:rsidR="000F77E9" w:rsidRPr="00A831E7">
        <w:rPr>
          <w:rFonts w:eastAsia="Calibri"/>
        </w:rPr>
        <w:t>τεχνικές</w:t>
      </w:r>
      <w:r w:rsidR="000F77E9" w:rsidRPr="00730D74">
        <w:rPr>
          <w:rFonts w:eastAsia="Calibri"/>
          <w:lang w:val="en-US"/>
        </w:rPr>
        <w:t xml:space="preserve"> </w:t>
      </w:r>
      <w:r w:rsidR="000F77E9" w:rsidRPr="00A831E7">
        <w:rPr>
          <w:rFonts w:eastAsia="Calibri"/>
        </w:rPr>
        <w:t>μηχανικής</w:t>
      </w:r>
      <w:r w:rsidR="000F77E9" w:rsidRPr="00730D74">
        <w:rPr>
          <w:rFonts w:eastAsia="Calibri"/>
          <w:lang w:val="en-US"/>
        </w:rPr>
        <w:t xml:space="preserve"> </w:t>
      </w:r>
      <w:r w:rsidR="000F77E9" w:rsidRPr="00A831E7">
        <w:rPr>
          <w:rFonts w:eastAsia="Calibri"/>
        </w:rPr>
        <w:t>μάθησης</w:t>
      </w:r>
      <w:r w:rsidR="000F77E9" w:rsidRPr="00730D74">
        <w:rPr>
          <w:rFonts w:eastAsia="Calibri"/>
          <w:lang w:val="en-US"/>
        </w:rPr>
        <w:t xml:space="preserve"> (ML). </w:t>
      </w:r>
      <w:r w:rsidR="000F77E9" w:rsidRPr="00A831E7">
        <w:rPr>
          <w:rFonts w:eastAsia="Calibri"/>
        </w:rPr>
        <w:t>Η μελέτη ανέλυσε δημόσια διαθέσιμα σύνολα δεδομένων από τ</w:t>
      </w:r>
      <w:r w:rsidR="00DF3B6E">
        <w:rPr>
          <w:rFonts w:eastAsia="Calibri"/>
        </w:rPr>
        <w:t>η βιβλιοθήκη</w:t>
      </w:r>
      <w:r w:rsidR="000F77E9" w:rsidRPr="00A831E7">
        <w:rPr>
          <w:rFonts w:eastAsia="Calibri"/>
        </w:rPr>
        <w:t xml:space="preserve"> Gene Expression Omnibus (GEO), εφαρμόζοντας ανάλυση δικτύου συνεκφραζόμενων γονιδίων (WGCNA) και αλγόριθμους ML για την ανάδειξη πιθανών διαγνωστικών βιοδεικτών.</w:t>
      </w:r>
    </w:p>
    <w:p w14:paraId="364BBACE" w14:textId="50DD07AE" w:rsidR="000F77E9" w:rsidRPr="00A831E7" w:rsidRDefault="000F77E9" w:rsidP="0057069D">
      <w:pPr>
        <w:spacing w:line="360" w:lineRule="auto"/>
        <w:ind w:firstLine="720"/>
        <w:jc w:val="both"/>
        <w:rPr>
          <w:rFonts w:eastAsia="Calibri"/>
        </w:rPr>
      </w:pPr>
      <w:r w:rsidRPr="00A831E7">
        <w:rPr>
          <w:rFonts w:eastAsia="Calibri"/>
        </w:rPr>
        <w:t>Μέσω των τυχαίων δασών (RF) και της LASSO παλινδρόμησης, το FCER1G αναδείχθηκε ως βασικό</w:t>
      </w:r>
      <w:r w:rsidR="006D54C3">
        <w:rPr>
          <w:rFonts w:eastAsia="Calibri"/>
        </w:rPr>
        <w:t>ς υποψήφιος βιοδείκτης</w:t>
      </w:r>
      <w:r w:rsidRPr="00A831E7">
        <w:rPr>
          <w:rFonts w:eastAsia="Calibri"/>
        </w:rPr>
        <w:t>, παρουσιάζοντας υψηλή διαγνωστική ακρίβεια. Η επικύρωση σε ανεξάρτητα σύνολα δεδομένων επιβεβαίωσε τη σημαντική διαφορική έκφρασή του σε ασθενείς</w:t>
      </w:r>
      <w:r w:rsidR="006D54C3">
        <w:rPr>
          <w:rFonts w:eastAsia="Calibri"/>
        </w:rPr>
        <w:t xml:space="preserve"> καρδιοεμβολικού εγκεφαλικού</w:t>
      </w:r>
      <w:r w:rsidRPr="00A831E7">
        <w:rPr>
          <w:rFonts w:eastAsia="Calibri"/>
        </w:rPr>
        <w:t xml:space="preserve"> </w:t>
      </w:r>
      <w:r w:rsidR="006D54C3">
        <w:rPr>
          <w:rFonts w:eastAsia="Calibri"/>
        </w:rPr>
        <w:t>(</w:t>
      </w:r>
      <w:r w:rsidRPr="00A831E7">
        <w:rPr>
          <w:rFonts w:eastAsia="Calibri"/>
        </w:rPr>
        <w:t>CE</w:t>
      </w:r>
      <w:r w:rsidR="006D54C3">
        <w:rPr>
          <w:rFonts w:eastAsia="Calibri"/>
        </w:rPr>
        <w:t>)</w:t>
      </w:r>
      <w:r w:rsidRPr="00A831E7">
        <w:rPr>
          <w:rFonts w:eastAsia="Calibri"/>
        </w:rPr>
        <w:t xml:space="preserve">, με AUCs 0.9722 και 0.9689 στα σύνολα εκπαίδευσης και επικύρωσης, αντίστοιχα. Επιπλέον, η επικύρωση πραγματοποιήθηκε μέσω qRT-PCR σε </w:t>
      </w:r>
      <w:r w:rsidR="00C45AC1" w:rsidRPr="00A831E7">
        <w:rPr>
          <w:rFonts w:eastAsia="Calibri"/>
        </w:rPr>
        <w:t xml:space="preserve">αποκλειστικά </w:t>
      </w:r>
      <w:r w:rsidRPr="00A831E7">
        <w:rPr>
          <w:rFonts w:eastAsia="Calibri"/>
        </w:rPr>
        <w:t>κλινικά δείγματα</w:t>
      </w:r>
      <w:r w:rsidR="00314698">
        <w:rPr>
          <w:rFonts w:eastAsia="Calibri"/>
          <w:lang w:val="en-US"/>
        </w:rPr>
        <w:t xml:space="preserve"> 98 </w:t>
      </w:r>
      <w:r w:rsidR="00314698">
        <w:rPr>
          <w:rFonts w:eastAsia="Calibri"/>
        </w:rPr>
        <w:t>ασθενών</w:t>
      </w:r>
      <w:r w:rsidRPr="00A831E7">
        <w:rPr>
          <w:rFonts w:eastAsia="Calibri"/>
        </w:rPr>
        <w:t xml:space="preserve">, όπου το FCER1G παρουσίασε </w:t>
      </w:r>
      <w:r w:rsidRPr="00A831E7">
        <w:rPr>
          <w:rFonts w:eastAsia="Calibri"/>
          <w:b/>
          <w:bCs/>
        </w:rPr>
        <w:t>AUC 0.9431</w:t>
      </w:r>
      <w:r w:rsidRPr="00A831E7">
        <w:rPr>
          <w:rFonts w:eastAsia="Calibri"/>
        </w:rPr>
        <w:t xml:space="preserve"> κατά τη σύγκριση ασθενών CE </w:t>
      </w:r>
      <w:r w:rsidRPr="00A831E7">
        <w:rPr>
          <w:rFonts w:eastAsia="Calibri"/>
        </w:rPr>
        <w:lastRenderedPageBreak/>
        <w:t>με υγι</w:t>
      </w:r>
      <w:r w:rsidR="00C45AC1" w:rsidRPr="00A831E7">
        <w:rPr>
          <w:rFonts w:eastAsia="Calibri"/>
        </w:rPr>
        <w:t>ή</w:t>
      </w:r>
      <w:r w:rsidR="00E607E9" w:rsidRPr="00A831E7">
        <w:rPr>
          <w:rFonts w:eastAsia="Calibri"/>
        </w:rPr>
        <w:t xml:space="preserve"> </w:t>
      </w:r>
      <w:r w:rsidR="00C45AC1" w:rsidRPr="00A831E7">
        <w:rPr>
          <w:rFonts w:eastAsia="Calibri"/>
        </w:rPr>
        <w:t>άτομα</w:t>
      </w:r>
      <w:r w:rsidRPr="00A831E7">
        <w:rPr>
          <w:rFonts w:eastAsia="Calibri"/>
        </w:rPr>
        <w:t>.</w:t>
      </w:r>
      <w:r w:rsidR="00E607E9" w:rsidRPr="00A831E7">
        <w:rPr>
          <w:rFonts w:eastAsia="Calibri"/>
        </w:rPr>
        <w:t xml:space="preserve"> Η μελέτη δεν χρησιμοποίησε ML για κάποιον διαγνωστικό αλγόριθμο.</w:t>
      </w:r>
      <w:r w:rsidRPr="00A831E7">
        <w:rPr>
          <w:rFonts w:eastAsia="Calibri"/>
        </w:rPr>
        <w:t xml:space="preserve"> Περαιτέρω ανάλυση ανέδειξε τον ρόλο του FCER1G στη ρύθμιση του ανοσοποιητικού, ιδιαίτερα στη δραστηριότητα των μονοκυττάρων/μακροφάγων και τις φλεγμονώδεις οδούς.</w:t>
      </w:r>
    </w:p>
    <w:p w14:paraId="124A3B8B" w14:textId="77777777" w:rsidR="000F77E9" w:rsidRPr="00A831E7" w:rsidRDefault="000F77E9" w:rsidP="0057069D">
      <w:pPr>
        <w:spacing w:line="360" w:lineRule="auto"/>
        <w:ind w:firstLine="720"/>
        <w:jc w:val="both"/>
        <w:rPr>
          <w:rFonts w:eastAsia="Calibri"/>
        </w:rPr>
      </w:pPr>
    </w:p>
    <w:p w14:paraId="2D3351D7" w14:textId="45887D1C" w:rsidR="00C45AC1" w:rsidRPr="00A831E7" w:rsidRDefault="00C45AC1" w:rsidP="0057069D">
      <w:pPr>
        <w:pStyle w:val="4"/>
        <w:spacing w:line="360" w:lineRule="auto"/>
        <w:rPr>
          <w:rFonts w:eastAsia="Calibri"/>
          <w:b w:val="0"/>
          <w:bCs/>
        </w:rPr>
      </w:pPr>
      <w:r w:rsidRPr="00A831E7">
        <w:rPr>
          <w:rFonts w:eastAsia="Calibri"/>
          <w:bCs/>
        </w:rPr>
        <w:t>Κυκλοφορούντα κύτταρα</w:t>
      </w:r>
    </w:p>
    <w:p w14:paraId="1FCE59CB" w14:textId="32AF6D57" w:rsidR="000F77E9" w:rsidRPr="00A831E7" w:rsidRDefault="000F77E9" w:rsidP="0057069D">
      <w:pPr>
        <w:spacing w:line="360" w:lineRule="auto"/>
        <w:ind w:firstLine="720"/>
        <w:jc w:val="both"/>
        <w:rPr>
          <w:rFonts w:eastAsia="Calibri"/>
        </w:rPr>
      </w:pPr>
      <w:r w:rsidRPr="00A831E7">
        <w:rPr>
          <w:rFonts w:eastAsia="Calibri"/>
        </w:rPr>
        <w:t>Οι O’Connell et al.</w:t>
      </w:r>
      <w:r w:rsidR="00C45AC1" w:rsidRPr="00A831E7">
        <w:rPr>
          <w:rFonts w:eastAsia="Calibri"/>
        </w:rPr>
        <w:t xml:space="preserve"> </w:t>
      </w:r>
      <w:r w:rsidR="00C45AC1" w:rsidRPr="00A831E7">
        <w:rPr>
          <w:rFonts w:eastAsia="Calibri"/>
        </w:rPr>
        <w:fldChar w:fldCharType="begin"/>
      </w:r>
      <w:r w:rsidR="00B22777" w:rsidRPr="00A831E7">
        <w:rPr>
          <w:rFonts w:eastAsia="Calibri"/>
        </w:rPr>
        <w:instrText xml:space="preserve"> ADDIN ZOTERO_ITEM CSL_CITATION {"citationID":"Lt7xOh7V","properties":{"formattedCitation":"[81]","plainCitation":"[81]","noteIndex":0},"citationItems":[{"id":119,"uris":["http://zotero.org/users/local/mfHf28QG/items/FJTDNHQJ"],"itemData":{"id":119,"type":"article-journal","abstract":"The development of tools that could help emergency department clinicians recognize stroke during triage could reduce treatment delays and improve patient outcomes. Growing evidence suggests that stroke is associated with several changes in ...","container-title":"BMC Neurology","DOI":"10.1186/s12883-022-02726-x","language":"en","note":"PMID: 35659609","page":"206","source":"pmc.ncbi.nlm.nih.gov","title":"Use of deep artificial neural networks to identify stroke during triage via subtle changes in circulating cell counts","volume":"22","author":[{"family":"O’Connell","given":"Grant C."},{"family":"Walsh","given":"Kyle B."},{"family":"Smothers","given":"Christine G."},{"family":"Ruksakulpiwat","given":"Suebsarn"},{"family":"Armentrout","given":"Bethany L."},{"family":"Winkelman","given":"Chris"},{"family":"Milling","given":"Truman J."},{"family":"Warach","given":"Steven J."},{"family":"Barr","given":"Taura L."}],"issued":{"date-parts":[["2022",6,3]]}}}],"schema":"https://github.com/citation-style-language/schema/raw/master/csl-citation.json"} </w:instrText>
      </w:r>
      <w:r w:rsidR="00C45AC1" w:rsidRPr="00A831E7">
        <w:rPr>
          <w:rFonts w:eastAsia="Calibri"/>
        </w:rPr>
        <w:fldChar w:fldCharType="separate"/>
      </w:r>
      <w:r w:rsidR="00B22777" w:rsidRPr="00A831E7">
        <w:rPr>
          <w:rFonts w:eastAsia="Calibri"/>
        </w:rPr>
        <w:t>[81]</w:t>
      </w:r>
      <w:r w:rsidR="00C45AC1" w:rsidRPr="00A831E7">
        <w:rPr>
          <w:rFonts w:eastAsia="Calibri"/>
        </w:rPr>
        <w:fldChar w:fldCharType="end"/>
      </w:r>
      <w:r w:rsidRPr="00A831E7">
        <w:rPr>
          <w:rFonts w:eastAsia="Calibri"/>
        </w:rPr>
        <w:t xml:space="preserve"> διερεύνησαν τη χρήση μηχανικής μάθησης (ML) για την ανίχνευση εγκεφαλικού κατά τη διαλογή σε τμήμα επειγόντων περιστατικών, αναλύοντας διακριτικές αλλαγές στις μετρήσεις κυκλοφορούντων αιμοσφαιρίων. Η μελέτη εξέτασε ερυθρά αιμοσφαίρια, αιμοπετάλια, ουδετερόφιλα, λεμφοκύτταρα, μονοκύτταρα, ηωσινόφιλα και βασεόφιλα σε δείγματα εισαγωγής από 160 ασθενείς με εγκεφαλικό και 116 ασθενείς με συμπτώματα παρόμοια με εγκεφαλικό (</w:t>
      </w:r>
      <w:r w:rsidR="00C45AC1" w:rsidRPr="00A831E7">
        <w:rPr>
          <w:rFonts w:eastAsia="Calibri"/>
        </w:rPr>
        <w:t>SMs</w:t>
      </w:r>
      <w:r w:rsidRPr="00A831E7">
        <w:rPr>
          <w:rFonts w:eastAsia="Calibri"/>
        </w:rPr>
        <w:t>), αναπτύσσοντας ένα συνδυαστικό μοντέλο τεχνητού νευρωνικού δικτύου για ταξινόμηση.</w:t>
      </w:r>
    </w:p>
    <w:p w14:paraId="68066B81" w14:textId="139A8D60" w:rsidR="00252223" w:rsidRDefault="000F77E9" w:rsidP="0057069D">
      <w:pPr>
        <w:spacing w:line="360" w:lineRule="auto"/>
        <w:ind w:firstLine="720"/>
        <w:jc w:val="both"/>
        <w:rPr>
          <w:rFonts w:eastAsia="Calibri"/>
        </w:rPr>
      </w:pPr>
      <w:r w:rsidRPr="00A831E7">
        <w:rPr>
          <w:rFonts w:eastAsia="Calibri"/>
        </w:rPr>
        <w:t xml:space="preserve">Παρόλο που οι μεμονωμένες μετρήσεις κυττάρων παρουσίασαν μέτριες διαφορές μεταξύ ασθενών με εγκεφαλικό και των </w:t>
      </w:r>
      <w:r w:rsidR="00C45AC1" w:rsidRPr="00A831E7">
        <w:rPr>
          <w:rFonts w:eastAsia="Calibri"/>
        </w:rPr>
        <w:t>SMs</w:t>
      </w:r>
      <w:r w:rsidRPr="00A831E7">
        <w:rPr>
          <w:rFonts w:eastAsia="Calibri"/>
        </w:rPr>
        <w:t>, η ML ανάλυση βελτίωσε σημαντικά την διαγνωστική ακρίβεια. Το συνδυαστικό νευρωνικό δίκτυο πέτυχε AUC</w:t>
      </w:r>
      <w:r w:rsidR="00C14CC6">
        <w:rPr>
          <w:rFonts w:eastAsia="Calibri"/>
        </w:rPr>
        <w:t xml:space="preserve"> = </w:t>
      </w:r>
      <w:r w:rsidRPr="00A831E7">
        <w:rPr>
          <w:rFonts w:eastAsia="Calibri"/>
        </w:rPr>
        <w:t>0.78 στο σύνολο ελέγχου, ξεπερνώντας παραδοσιακές κλίμακες εγκεφαλικού, όπως την Cincinnati Prehospital Stroke Scale (CPSS) και τη National Institutes of Health Stroke Scale (NIHSS). Η ανάλυση</w:t>
      </w:r>
      <w:r w:rsidR="00C45AC1" w:rsidRPr="00A831E7">
        <w:rPr>
          <w:rFonts w:eastAsia="Calibri"/>
        </w:rPr>
        <w:t xml:space="preserve"> της</w:t>
      </w:r>
      <w:r w:rsidRPr="00A831E7">
        <w:rPr>
          <w:rFonts w:eastAsia="Calibri"/>
        </w:rPr>
        <w:t xml:space="preserve"> καμπύλης</w:t>
      </w:r>
      <w:r w:rsidR="00C45AC1" w:rsidRPr="00A831E7">
        <w:rPr>
          <w:rFonts w:eastAsia="Calibri"/>
        </w:rPr>
        <w:t xml:space="preserve"> ROC-AUC</w:t>
      </w:r>
      <w:r w:rsidR="00CE20AF">
        <w:rPr>
          <w:rFonts w:eastAsia="Calibri"/>
          <w:lang w:val="en-US"/>
        </w:rPr>
        <w:t xml:space="preserve"> (AUC=0.78)</w:t>
      </w:r>
      <w:r w:rsidR="00C14CC6">
        <w:rPr>
          <w:rFonts w:eastAsia="Calibri"/>
        </w:rPr>
        <w:t xml:space="preserve"> </w:t>
      </w:r>
      <w:r w:rsidRPr="00A831E7">
        <w:rPr>
          <w:rFonts w:eastAsia="Calibri"/>
        </w:rPr>
        <w:t xml:space="preserve">επιβεβαίωσε την </w:t>
      </w:r>
      <w:r w:rsidR="007924A5">
        <w:rPr>
          <w:rFonts w:eastAsia="Calibri"/>
        </w:rPr>
        <w:t>ικανότητα</w:t>
      </w:r>
      <w:r w:rsidRPr="00A831E7">
        <w:rPr>
          <w:rFonts w:eastAsia="Calibri"/>
        </w:rPr>
        <w:t xml:space="preserve"> του ως εργαλείο διαλογής</w:t>
      </w:r>
      <w:r w:rsidR="007924A5">
        <w:rPr>
          <w:rFonts w:eastAsia="Calibri"/>
        </w:rPr>
        <w:t xml:space="preserve">. Η μελέτη κατέδειξε τη μελλοντική </w:t>
      </w:r>
      <w:r w:rsidRPr="00A831E7">
        <w:rPr>
          <w:rFonts w:eastAsia="Calibri"/>
        </w:rPr>
        <w:t>δυνατότητα ενσωμάτωσης</w:t>
      </w:r>
      <w:r w:rsidR="007924A5">
        <w:rPr>
          <w:rFonts w:eastAsia="Calibri"/>
        </w:rPr>
        <w:t xml:space="preserve"> αιματολογικών δεδομένων από αναλύσεις μηχανικής μάθησης,</w:t>
      </w:r>
      <w:r w:rsidRPr="00A831E7">
        <w:rPr>
          <w:rFonts w:eastAsia="Calibri"/>
        </w:rPr>
        <w:t xml:space="preserve"> σε αυτοματοποιημένα συστήματα ειδοποίησης εγκεφαλικού που βασίζονται σε ηλεκτρονικά ιατρικά αρχεία</w:t>
      </w:r>
      <w:r w:rsidR="00C45AC1" w:rsidRPr="00A831E7">
        <w:rPr>
          <w:rFonts w:eastAsia="Calibri"/>
        </w:rPr>
        <w:t xml:space="preserve"> </w:t>
      </w:r>
      <w:r w:rsidR="00C45AC1" w:rsidRPr="00A831E7">
        <w:rPr>
          <w:rFonts w:eastAsia="Calibri"/>
        </w:rPr>
        <w:fldChar w:fldCharType="begin"/>
      </w:r>
      <w:r w:rsidR="00B22777" w:rsidRPr="00A831E7">
        <w:rPr>
          <w:rFonts w:eastAsia="Calibri"/>
        </w:rPr>
        <w:instrText xml:space="preserve"> ADDIN ZOTERO_ITEM CSL_CITATION {"citationID":"kAUhFljs","properties":{"formattedCitation":"[81]","plainCitation":"[81]","noteIndex":0},"citationItems":[{"id":119,"uris":["http://zotero.org/users/local/mfHf28QG/items/FJTDNHQJ"],"itemData":{"id":119,"type":"article-journal","abstract":"The development of tools that could help emergency department clinicians recognize stroke during triage could reduce treatment delays and improve patient outcomes. Growing evidence suggests that stroke is associated with several changes in ...","container-title":"BMC Neurology","DOI":"10.1186/s12883-022-02726-x","language":"en","note":"PMID: 35659609","page":"206","source":"pmc.ncbi.nlm.nih.gov","title":"Use of deep artificial neural networks to identify stroke during triage via subtle changes in circulating cell counts","volume":"22","author":[{"family":"O’Connell","given":"Grant C."},{"family":"Walsh","given":"Kyle B."},{"family":"Smothers","given":"Christine G."},{"family":"Ruksakulpiwat","given":"Suebsarn"},{"family":"Armentrout","given":"Bethany L."},{"family":"Winkelman","given":"Chris"},{"family":"Milling","given":"Truman J."},{"family":"Warach","given":"Steven J."},{"family":"Barr","given":"Taura L."}],"issued":{"date-parts":[["2022",6,3]]}}}],"schema":"https://github.com/citation-style-language/schema/raw/master/csl-citation.json"} </w:instrText>
      </w:r>
      <w:r w:rsidR="00C45AC1" w:rsidRPr="00A831E7">
        <w:rPr>
          <w:rFonts w:eastAsia="Calibri"/>
        </w:rPr>
        <w:fldChar w:fldCharType="separate"/>
      </w:r>
      <w:r w:rsidR="00B22777" w:rsidRPr="00A831E7">
        <w:rPr>
          <w:rFonts w:eastAsia="Calibri"/>
        </w:rPr>
        <w:t>[81]</w:t>
      </w:r>
      <w:r w:rsidR="00C45AC1" w:rsidRPr="00A831E7">
        <w:rPr>
          <w:rFonts w:eastAsia="Calibri"/>
        </w:rPr>
        <w:fldChar w:fldCharType="end"/>
      </w:r>
      <w:r w:rsidRPr="00A831E7">
        <w:rPr>
          <w:rFonts w:eastAsia="Calibri"/>
        </w:rPr>
        <w:t>.</w:t>
      </w:r>
    </w:p>
    <w:p w14:paraId="505C1AD3" w14:textId="77777777" w:rsidR="00624E64" w:rsidRDefault="00624E64" w:rsidP="0057069D">
      <w:pPr>
        <w:spacing w:line="360" w:lineRule="auto"/>
        <w:ind w:firstLine="720"/>
        <w:jc w:val="both"/>
        <w:rPr>
          <w:rFonts w:eastAsia="Calibri"/>
        </w:rPr>
      </w:pPr>
    </w:p>
    <w:p w14:paraId="116664D2" w14:textId="5BBEA89B" w:rsidR="00624E64" w:rsidRDefault="00624E64" w:rsidP="00624E64">
      <w:pPr>
        <w:pStyle w:val="4"/>
        <w:spacing w:line="360" w:lineRule="auto"/>
        <w:rPr>
          <w:rFonts w:eastAsia="Calibri"/>
          <w:b w:val="0"/>
          <w:bCs/>
        </w:rPr>
      </w:pPr>
      <w:r w:rsidRPr="00624E64">
        <w:rPr>
          <w:rFonts w:eastAsia="Calibri"/>
          <w:bCs/>
        </w:rPr>
        <w:t>Κυκλοφορούντα αντισώματα σε μικροσυστοιχίες πεπτιδίων</w:t>
      </w:r>
    </w:p>
    <w:p w14:paraId="12C1C821" w14:textId="4E3395DB" w:rsidR="00624E64" w:rsidRPr="007519B8" w:rsidRDefault="00624E64" w:rsidP="0057069D">
      <w:pPr>
        <w:spacing w:line="360" w:lineRule="auto"/>
        <w:ind w:firstLine="720"/>
        <w:jc w:val="both"/>
        <w:rPr>
          <w:rFonts w:eastAsia="Calibri"/>
        </w:rPr>
      </w:pPr>
      <w:r>
        <w:rPr>
          <w:rFonts w:eastAsia="Calibri"/>
        </w:rPr>
        <w:t>Η μελέτη</w:t>
      </w:r>
      <w:r w:rsidR="006F6EE6">
        <w:rPr>
          <w:rFonts w:eastAsia="Calibri"/>
        </w:rPr>
        <w:t xml:space="preserve"> </w:t>
      </w:r>
      <w:r w:rsidR="006F6EE6">
        <w:rPr>
          <w:rFonts w:eastAsia="Calibri"/>
          <w:lang w:val="en-US"/>
        </w:rPr>
        <w:t>O’Connell et al.</w:t>
      </w:r>
      <w:r>
        <w:rPr>
          <w:rFonts w:eastAsia="Calibri"/>
        </w:rPr>
        <w:t xml:space="preserve"> </w:t>
      </w:r>
      <w:r>
        <w:rPr>
          <w:rFonts w:eastAsia="Calibri"/>
        </w:rPr>
        <w:fldChar w:fldCharType="begin"/>
      </w:r>
      <w:r w:rsidR="006F6EE6">
        <w:rPr>
          <w:rFonts w:eastAsia="Calibri"/>
        </w:rPr>
        <w:instrText xml:space="preserve"> ADDIN ZOTERO_ITEM CSL_CITATION {"citationID":"SOIWqOsr","properties":{"formattedCitation":"[74]","plainCitation":"[74]","noteIndex":0},"citationItems":[{"id":122,"uris":["http://zotero.org/users/local/mfHf28QG/items/6MA7QMM2"],"itemData":{"id":122,"type":"article-journal","abstract":"Accurate stroke recognition during triage can streamline care and afford patients earlier access to life-saving interventions. However, the tools currently available to clinicians for prehospital and early in-hospital identification of stroke are ...","container-title":"Neurotherapeutics","DOI":"10.1007/s13311-019-00720-9","issue":"3","language":"en","note":"PMID: 30783962","page":"868","source":"pmc.ncbi.nlm.nih.gov","title":"High-Throughput Profiling of Circulating Antibody Signatures for Stroke Diagnosis Using Small Volumes of Whole Blood","volume":"16","author":[{"family":"O’Connell","given":"Grant C."},{"family":"Stafford","given":"Phillip"},{"family":"Walsh","given":"Kyle B."},{"family":"Adeoye","given":"Opeolu"},{"family":"Barr","given":"Taura L."}],"issued":{"date-parts":[["2019",2,19]]}}}],"schema":"https://github.com/citation-style-language/schema/raw/master/csl-citation.json"} </w:instrText>
      </w:r>
      <w:r>
        <w:rPr>
          <w:rFonts w:eastAsia="Calibri"/>
        </w:rPr>
        <w:fldChar w:fldCharType="separate"/>
      </w:r>
      <w:r w:rsidR="006F6EE6" w:rsidRPr="006F6EE6">
        <w:rPr>
          <w:rFonts w:eastAsia="Calibri"/>
        </w:rPr>
        <w:t>[74]</w:t>
      </w:r>
      <w:r>
        <w:rPr>
          <w:rFonts w:eastAsia="Calibri"/>
        </w:rPr>
        <w:fldChar w:fldCharType="end"/>
      </w:r>
      <w:r w:rsidR="006F6EE6">
        <w:rPr>
          <w:rFonts w:eastAsia="Calibri"/>
        </w:rPr>
        <w:t xml:space="preserve"> παρουσιάζει υψηλά ε</w:t>
      </w:r>
      <w:r w:rsidR="006F6EE6" w:rsidRPr="006F6EE6">
        <w:rPr>
          <w:rFonts w:eastAsia="Calibri"/>
        </w:rPr>
        <w:t>πίπεδα διαγνωστικής ακρίβεια</w:t>
      </w:r>
      <w:r w:rsidR="006F6EE6">
        <w:rPr>
          <w:rFonts w:eastAsia="Calibri"/>
        </w:rPr>
        <w:t>ς,</w:t>
      </w:r>
      <w:r w:rsidR="006F6EE6" w:rsidRPr="006F6EE6">
        <w:rPr>
          <w:rFonts w:eastAsia="Calibri"/>
        </w:rPr>
        <w:t xml:space="preserve"> όσον αφορά τη διάκριση μεταξύ ασθενών με εγκεφαλικό επεισόδιο και απομιμήσεων </w:t>
      </w:r>
      <w:r w:rsidR="006F6EE6">
        <w:rPr>
          <w:rFonts w:eastAsia="Calibri"/>
        </w:rPr>
        <w:t>αυτού(</w:t>
      </w:r>
      <w:r w:rsidR="006F6EE6">
        <w:rPr>
          <w:rFonts w:eastAsia="Calibri"/>
          <w:lang w:val="en-US"/>
        </w:rPr>
        <w:t xml:space="preserve">SMs). </w:t>
      </w:r>
      <w:r w:rsidR="006F6EE6">
        <w:rPr>
          <w:rFonts w:eastAsia="Calibri"/>
        </w:rPr>
        <w:t xml:space="preserve">Σε δείγμα με </w:t>
      </w:r>
      <w:r w:rsidR="006F6EE6" w:rsidRPr="006F6EE6">
        <w:rPr>
          <w:rFonts w:eastAsia="Calibri"/>
        </w:rPr>
        <w:t>19 ασθενείς ισχαιμικ</w:t>
      </w:r>
      <w:r w:rsidR="006F6EE6">
        <w:rPr>
          <w:rFonts w:eastAsia="Calibri"/>
        </w:rPr>
        <w:t>ού</w:t>
      </w:r>
      <w:r w:rsidR="006F6EE6" w:rsidRPr="006F6EE6">
        <w:rPr>
          <w:rFonts w:eastAsia="Calibri"/>
        </w:rPr>
        <w:t xml:space="preserve"> εγκεφαλικ</w:t>
      </w:r>
      <w:r w:rsidR="006F6EE6">
        <w:rPr>
          <w:rFonts w:eastAsia="Calibri"/>
        </w:rPr>
        <w:t>ού</w:t>
      </w:r>
      <w:r w:rsidR="006F6EE6" w:rsidRPr="006F6EE6">
        <w:rPr>
          <w:rFonts w:eastAsia="Calibri"/>
        </w:rPr>
        <w:t xml:space="preserve">, 17 με αιμορραγικό και 20 </w:t>
      </w:r>
      <w:r w:rsidR="006F6EE6">
        <w:rPr>
          <w:rFonts w:eastAsia="Calibri"/>
          <w:lang w:val="en-US"/>
        </w:rPr>
        <w:t>mimics</w:t>
      </w:r>
      <w:r w:rsidR="006F6EE6">
        <w:rPr>
          <w:rFonts w:eastAsia="Calibri"/>
        </w:rPr>
        <w:t>, το πάνελ</w:t>
      </w:r>
      <w:r w:rsidR="006F6EE6" w:rsidRPr="006F6EE6">
        <w:rPr>
          <w:rFonts w:eastAsia="Calibri"/>
        </w:rPr>
        <w:t xml:space="preserve"> 17 πεπτιδικ</w:t>
      </w:r>
      <w:r w:rsidR="006F6EE6">
        <w:rPr>
          <w:rFonts w:eastAsia="Calibri"/>
        </w:rPr>
        <w:t>ών</w:t>
      </w:r>
      <w:r w:rsidR="006F6EE6" w:rsidRPr="006F6EE6">
        <w:rPr>
          <w:rFonts w:eastAsia="Calibri"/>
        </w:rPr>
        <w:t xml:space="preserve"> δε</w:t>
      </w:r>
      <w:r w:rsidR="008B782B">
        <w:rPr>
          <w:rFonts w:eastAsia="Calibri"/>
        </w:rPr>
        <w:t>ι</w:t>
      </w:r>
      <w:r w:rsidR="006F6EE6" w:rsidRPr="006F6EE6">
        <w:rPr>
          <w:rFonts w:eastAsia="Calibri"/>
        </w:rPr>
        <w:t>κτ</w:t>
      </w:r>
      <w:r w:rsidR="006F6EE6">
        <w:rPr>
          <w:rFonts w:eastAsia="Calibri"/>
        </w:rPr>
        <w:t>ών</w:t>
      </w:r>
      <w:r w:rsidR="006F6EE6" w:rsidRPr="006F6EE6">
        <w:rPr>
          <w:rFonts w:eastAsia="Calibri"/>
        </w:rPr>
        <w:t xml:space="preserve"> </w:t>
      </w:r>
      <w:r w:rsidR="006F6EE6">
        <w:rPr>
          <w:rFonts w:eastAsia="Calibri"/>
        </w:rPr>
        <w:t xml:space="preserve">– </w:t>
      </w:r>
      <w:r w:rsidR="006F6EE6" w:rsidRPr="006F6EE6">
        <w:rPr>
          <w:rFonts w:eastAsia="Calibri"/>
        </w:rPr>
        <w:t>που επιλέχθηκαν</w:t>
      </w:r>
      <w:r w:rsidR="00C953C1">
        <w:rPr>
          <w:rFonts w:eastAsia="Calibri"/>
          <w:lang w:val="en-US"/>
        </w:rPr>
        <w:t xml:space="preserve"> </w:t>
      </w:r>
      <w:r w:rsidR="00C953C1">
        <w:rPr>
          <w:rFonts w:eastAsia="Calibri"/>
        </w:rPr>
        <w:t>και αξιολογήθηκαν</w:t>
      </w:r>
      <w:r w:rsidR="00C953C1" w:rsidRPr="008F5904">
        <w:rPr>
          <w:rFonts w:eastAsia="Calibri"/>
          <w:lang w:val="en-US"/>
        </w:rPr>
        <w:t xml:space="preserve"> </w:t>
      </w:r>
      <w:r w:rsidR="006F6EE6" w:rsidRPr="006F6EE6">
        <w:rPr>
          <w:rFonts w:eastAsia="Calibri"/>
        </w:rPr>
        <w:t>με random forest</w:t>
      </w:r>
      <w:r w:rsidR="006F6EE6">
        <w:rPr>
          <w:rFonts w:eastAsia="Calibri"/>
        </w:rPr>
        <w:t xml:space="preserve"> αλγόριθμο –</w:t>
      </w:r>
      <w:r w:rsidR="006F6EE6" w:rsidRPr="006F6EE6">
        <w:rPr>
          <w:rFonts w:eastAsia="Calibri"/>
        </w:rPr>
        <w:t xml:space="preserve"> </w:t>
      </w:r>
      <w:r w:rsidR="008B782B" w:rsidRPr="008B782B">
        <w:rPr>
          <w:rFonts w:eastAsia="Calibri"/>
        </w:rPr>
        <w:t xml:space="preserve"> </w:t>
      </w:r>
      <w:r w:rsidR="008B782B">
        <w:rPr>
          <w:rFonts w:eastAsia="Calibri"/>
        </w:rPr>
        <w:t>πέτυχε</w:t>
      </w:r>
      <w:r w:rsidR="008B782B" w:rsidRPr="008B782B">
        <w:rPr>
          <w:rFonts w:eastAsia="Calibri"/>
        </w:rPr>
        <w:t xml:space="preserve"> AUC</w:t>
      </w:r>
      <w:r w:rsidR="008B782B">
        <w:rPr>
          <w:rFonts w:eastAsia="Calibri"/>
        </w:rPr>
        <w:t xml:space="preserve"> = </w:t>
      </w:r>
      <w:r w:rsidR="008B782B" w:rsidRPr="008B782B">
        <w:rPr>
          <w:rFonts w:eastAsia="Calibri"/>
        </w:rPr>
        <w:t>0.940, ευαισθησία 91.7% και ειδικότητα 90.0% στη διάκριση εγκεφαλικού</w:t>
      </w:r>
      <w:r w:rsidR="008B782B">
        <w:rPr>
          <w:rFonts w:eastAsia="Calibri"/>
        </w:rPr>
        <w:t xml:space="preserve"> </w:t>
      </w:r>
      <w:r w:rsidR="008B782B">
        <w:rPr>
          <w:rFonts w:eastAsia="Calibri"/>
          <w:lang w:val="en-US"/>
        </w:rPr>
        <w:t>(IS)</w:t>
      </w:r>
      <w:r w:rsidR="008B782B" w:rsidRPr="008B782B">
        <w:rPr>
          <w:rFonts w:eastAsia="Calibri"/>
        </w:rPr>
        <w:t xml:space="preserve"> από </w:t>
      </w:r>
      <w:r w:rsidR="008B782B">
        <w:rPr>
          <w:rFonts w:eastAsia="Calibri"/>
          <w:lang w:val="en-US"/>
        </w:rPr>
        <w:t>mimics (SMs)</w:t>
      </w:r>
      <w:r w:rsidR="008B782B" w:rsidRPr="008B782B">
        <w:rPr>
          <w:rFonts w:eastAsia="Calibri"/>
        </w:rPr>
        <w:t xml:space="preserve">, ενώ </w:t>
      </w:r>
      <w:r w:rsidR="008B782B">
        <w:rPr>
          <w:rFonts w:eastAsia="Calibri"/>
        </w:rPr>
        <w:t>για</w:t>
      </w:r>
      <w:r w:rsidR="008B782B" w:rsidRPr="008B782B">
        <w:rPr>
          <w:rFonts w:eastAsia="Calibri"/>
        </w:rPr>
        <w:t xml:space="preserve"> ανίχνευση αιμορραγ</w:t>
      </w:r>
      <w:r w:rsidR="008B782B">
        <w:rPr>
          <w:rFonts w:eastAsia="Calibri"/>
        </w:rPr>
        <w:t>ικού (</w:t>
      </w:r>
      <w:r w:rsidR="008B782B">
        <w:rPr>
          <w:rFonts w:eastAsia="Calibri"/>
          <w:lang w:val="en-US"/>
        </w:rPr>
        <w:t>HS)</w:t>
      </w:r>
      <w:r w:rsidR="008B782B" w:rsidRPr="008B782B">
        <w:rPr>
          <w:rFonts w:eastAsia="Calibri"/>
        </w:rPr>
        <w:t xml:space="preserve"> </w:t>
      </w:r>
      <w:r w:rsidR="008B782B">
        <w:rPr>
          <w:rFonts w:eastAsia="Calibri"/>
        </w:rPr>
        <w:t xml:space="preserve">είχε </w:t>
      </w:r>
      <w:r w:rsidR="008B782B" w:rsidRPr="008B782B">
        <w:rPr>
          <w:rFonts w:eastAsia="Calibri"/>
        </w:rPr>
        <w:t xml:space="preserve">AUC </w:t>
      </w:r>
      <w:r w:rsidR="008B782B">
        <w:rPr>
          <w:rFonts w:eastAsia="Calibri"/>
        </w:rPr>
        <w:t xml:space="preserve">= </w:t>
      </w:r>
      <w:r w:rsidR="008B782B" w:rsidRPr="008B782B">
        <w:rPr>
          <w:rFonts w:eastAsia="Calibri"/>
        </w:rPr>
        <w:t>0.940, ευαισθησία 88.2%</w:t>
      </w:r>
      <w:r w:rsidR="008B782B">
        <w:rPr>
          <w:rFonts w:eastAsia="Calibri"/>
        </w:rPr>
        <w:t xml:space="preserve"> και</w:t>
      </w:r>
      <w:r w:rsidR="008B782B" w:rsidRPr="008B782B">
        <w:rPr>
          <w:rFonts w:eastAsia="Calibri"/>
        </w:rPr>
        <w:t xml:space="preserve"> ειδικότητα </w:t>
      </w:r>
      <w:r w:rsidR="008B782B" w:rsidRPr="008B782B">
        <w:rPr>
          <w:rFonts w:eastAsia="Calibri"/>
        </w:rPr>
        <w:lastRenderedPageBreak/>
        <w:t>87.1%.</w:t>
      </w:r>
      <w:r w:rsidR="008B782B">
        <w:rPr>
          <w:rFonts w:eastAsia="Calibri"/>
        </w:rPr>
        <w:t xml:space="preserve"> Στην διάκριση δειγμάτων</w:t>
      </w:r>
      <w:r w:rsidR="008B782B" w:rsidRPr="008B782B">
        <w:rPr>
          <w:rFonts w:eastAsia="Calibri"/>
        </w:rPr>
        <w:t xml:space="preserve"> ICH </w:t>
      </w:r>
      <w:r w:rsidR="008B782B">
        <w:rPr>
          <w:rFonts w:eastAsia="Calibri"/>
        </w:rPr>
        <w:t>με</w:t>
      </w:r>
      <w:r w:rsidR="008B782B" w:rsidRPr="008B782B">
        <w:rPr>
          <w:rFonts w:eastAsia="Calibri"/>
        </w:rPr>
        <w:t xml:space="preserve"> IS απέδωσε AUC</w:t>
      </w:r>
      <w:r w:rsidR="008B782B">
        <w:rPr>
          <w:rFonts w:eastAsia="Calibri"/>
        </w:rPr>
        <w:t xml:space="preserve"> = </w:t>
      </w:r>
      <w:r w:rsidR="008B782B" w:rsidRPr="008B782B">
        <w:rPr>
          <w:rFonts w:eastAsia="Calibri"/>
        </w:rPr>
        <w:t>0.950, ευαισθησία 93.3%, ειδικότητα 90.0%, καταδεικνύοντας υψηλή ακρίβεια.</w:t>
      </w:r>
      <w:r w:rsidR="007519B8">
        <w:rPr>
          <w:rFonts w:eastAsia="Calibri"/>
          <w:lang w:val="en-US"/>
        </w:rPr>
        <w:t xml:space="preserve"> </w:t>
      </w:r>
      <w:r w:rsidR="007519B8">
        <w:rPr>
          <w:rFonts w:eastAsia="Calibri"/>
        </w:rPr>
        <w:t>Οι αλλαγές στα κυκλοφορούντα αντισώματα μπορούν να αξιοποιηθούν διαγνωστικά, ενώ η χρονική επιλογή για λήψη δειγμάτων</w:t>
      </w:r>
      <w:r w:rsidR="007519B8">
        <w:rPr>
          <w:rFonts w:eastAsia="Calibri"/>
          <w:lang w:val="en-US"/>
        </w:rPr>
        <w:t xml:space="preserve"> </w:t>
      </w:r>
      <w:r w:rsidR="007519B8">
        <w:rPr>
          <w:rFonts w:eastAsia="Calibri"/>
        </w:rPr>
        <w:t>(&lt;12</w:t>
      </w:r>
      <w:r w:rsidR="007519B8">
        <w:rPr>
          <w:rFonts w:eastAsia="Calibri"/>
          <w:lang w:val="en-US"/>
        </w:rPr>
        <w:t>h)</w:t>
      </w:r>
      <w:r w:rsidR="007519B8">
        <w:rPr>
          <w:rFonts w:eastAsia="Calibri"/>
        </w:rPr>
        <w:t xml:space="preserve"> καθιστά τα δεδομένα της μελέτης χρήσιμα για εφαρμογές στη διαλογή ασθενών. </w:t>
      </w:r>
    </w:p>
    <w:p w14:paraId="7BF8C113" w14:textId="77777777" w:rsidR="00C45AC1" w:rsidRPr="00A831E7" w:rsidRDefault="00C45AC1" w:rsidP="0057069D">
      <w:pPr>
        <w:spacing w:line="360" w:lineRule="auto"/>
        <w:jc w:val="both"/>
        <w:rPr>
          <w:rFonts w:eastAsia="Calibri"/>
        </w:rPr>
      </w:pPr>
    </w:p>
    <w:p w14:paraId="40F842C8" w14:textId="1B002087" w:rsidR="00C45AC1" w:rsidRPr="00A831E7" w:rsidRDefault="00C45AC1" w:rsidP="0057069D">
      <w:pPr>
        <w:pStyle w:val="4"/>
        <w:spacing w:line="360" w:lineRule="auto"/>
        <w:rPr>
          <w:rFonts w:eastAsia="Calibri"/>
          <w:b w:val="0"/>
          <w:bCs/>
        </w:rPr>
      </w:pPr>
      <w:r w:rsidRPr="00A831E7">
        <w:rPr>
          <w:rFonts w:eastAsia="Calibri"/>
          <w:bCs/>
        </w:rPr>
        <w:t>DEGs σχετιζόμενα με Φλεγμονή</w:t>
      </w:r>
    </w:p>
    <w:p w14:paraId="30C1A962" w14:textId="5E25948E" w:rsidR="00C45AC1" w:rsidRPr="00A831E7" w:rsidRDefault="00C45AC1" w:rsidP="0057069D">
      <w:pPr>
        <w:spacing w:line="360" w:lineRule="auto"/>
        <w:jc w:val="both"/>
        <w:rPr>
          <w:rFonts w:eastAsia="Calibri"/>
        </w:rPr>
      </w:pPr>
      <w:r w:rsidRPr="00A831E7">
        <w:rPr>
          <w:rFonts w:eastAsia="Calibri"/>
        </w:rPr>
        <w:tab/>
        <w:t xml:space="preserve">Οι Ren et al. </w:t>
      </w:r>
      <w:r w:rsidRPr="00A831E7">
        <w:rPr>
          <w:rFonts w:eastAsia="Calibri"/>
        </w:rPr>
        <w:fldChar w:fldCharType="begin"/>
      </w:r>
      <w:r w:rsidR="00B22777" w:rsidRPr="00A831E7">
        <w:rPr>
          <w:rFonts w:eastAsia="Calibri"/>
        </w:rPr>
        <w:instrText xml:space="preserve"> ADDIN ZOTERO_ITEM CSL_CITATION {"citationID":"TDZU0Yhy","properties":{"formattedCitation":"[76]","plainCitation":"[76]","noteIndex":0},"citationItems":[{"id":344,"uris":["http://zotero.org/users/local/mfHf28QG/items/G5Z5WKCE"],"itemData":{"id":344,"type":"article-journal","abstract":"Ischemic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schema":"https://github.com/citation-style-language/schema/raw/master/csl-citation.json"} </w:instrText>
      </w:r>
      <w:r w:rsidRPr="00A831E7">
        <w:rPr>
          <w:rFonts w:eastAsia="Calibri"/>
        </w:rPr>
        <w:fldChar w:fldCharType="separate"/>
      </w:r>
      <w:r w:rsidR="00B22777" w:rsidRPr="00A831E7">
        <w:rPr>
          <w:rFonts w:eastAsia="Calibri"/>
        </w:rPr>
        <w:t>[76]</w:t>
      </w:r>
      <w:r w:rsidRPr="00A831E7">
        <w:rPr>
          <w:rFonts w:eastAsia="Calibri"/>
        </w:rPr>
        <w:fldChar w:fldCharType="end"/>
      </w:r>
      <w:r w:rsidRPr="00A831E7">
        <w:rPr>
          <w:rFonts w:eastAsia="Calibri"/>
        </w:rPr>
        <w:t xml:space="preserve"> ανέπτυξαν ένα διαγνωστικό μοντέλο για το ισχαιμικό εγκεφαλικό επεισόδιο (IS), βασισμένο σε εννέα γονίδια που σχετίζονται με φλεγμονή, ενσωματώνοντας ανάλυση γονιδιακής έκφρασης και τεχνικές μηχανικής μάθησης (ML). Η μελέτη ανέλυσε δημόσια διαθέσιμα σύνολα δεδομένων από τ</w:t>
      </w:r>
      <w:r w:rsidR="00DF3B6E">
        <w:rPr>
          <w:rFonts w:eastAsia="Calibri"/>
        </w:rPr>
        <w:t>η βιβλιοθήκη</w:t>
      </w:r>
      <w:r w:rsidRPr="00A831E7">
        <w:rPr>
          <w:rFonts w:eastAsia="Calibri"/>
        </w:rPr>
        <w:t xml:space="preserve"> Gene Expression Omnibus (GEO) και εντόπισε 831 διαφορικά εκφραζόμενα γονίδια (DEGs) μεταξύ ασθενών με IS και υγιών ατόμων. Από αυτά, 54 DEGs είχαν σημαντική συσχέτιση με φλεγμονώδεις δείκτες, ενώ επιλέχθηκαν εννέα βασικά γονίδια: TNFSF10, ID1, PAQR8, OSR2, PDK4, PEX11B, TNIP1, FFAR2 και JUN για διαγνωστική μοντελοποίηση μέσω LASSO παλινδρόμησης.</w:t>
      </w:r>
    </w:p>
    <w:p w14:paraId="0F1613BC" w14:textId="4B7DD460" w:rsidR="004D11ED" w:rsidRPr="00A831E7" w:rsidRDefault="00C45AC1" w:rsidP="0057069D">
      <w:pPr>
        <w:spacing w:line="360" w:lineRule="auto"/>
        <w:ind w:firstLine="720"/>
        <w:jc w:val="both"/>
        <w:rPr>
          <w:rFonts w:eastAsia="Calibri"/>
        </w:rPr>
      </w:pPr>
      <w:r w:rsidRPr="00A831E7">
        <w:rPr>
          <w:rFonts w:eastAsia="Calibri"/>
        </w:rPr>
        <w:t>Το τελικό μοντέλο</w:t>
      </w:r>
      <w:r w:rsidR="00C14CC6">
        <w:rPr>
          <w:rFonts w:eastAsia="Calibri"/>
        </w:rPr>
        <w:t xml:space="preserve"> –</w:t>
      </w:r>
      <w:r w:rsidR="00E607E9" w:rsidRPr="00A831E7">
        <w:rPr>
          <w:rFonts w:eastAsia="Calibri"/>
        </w:rPr>
        <w:t xml:space="preserve"> χωρίς να αξιοποιεί ML μετά τη διαδικασία εύρεσης των </w:t>
      </w:r>
      <w:r w:rsidR="00E607E9" w:rsidRPr="00A831E7">
        <w:rPr>
          <w:rFonts w:eastAsia="Calibri"/>
          <w:b/>
          <w:bCs/>
        </w:rPr>
        <w:t>DEGs</w:t>
      </w:r>
      <w:r w:rsidR="00C14CC6">
        <w:rPr>
          <w:rFonts w:eastAsia="Calibri"/>
        </w:rPr>
        <w:t xml:space="preserve"> –</w:t>
      </w:r>
      <w:r w:rsidRPr="00A831E7">
        <w:rPr>
          <w:rFonts w:eastAsia="Calibri"/>
        </w:rPr>
        <w:t xml:space="preserve"> έδειξε υψηλή διαγνωστική ακρίβεια για το IS (</w:t>
      </w:r>
      <w:r w:rsidRPr="00A831E7">
        <w:rPr>
          <w:rFonts w:eastAsia="Calibri"/>
          <w:b/>
          <w:bCs/>
        </w:rPr>
        <w:t>AUC = 0.9</w:t>
      </w:r>
      <w:r w:rsidR="00AA3EF8" w:rsidRPr="00A831E7">
        <w:rPr>
          <w:rFonts w:eastAsia="Calibri"/>
          <w:b/>
          <w:bCs/>
        </w:rPr>
        <w:t>3</w:t>
      </w:r>
      <w:r w:rsidRPr="00A831E7">
        <w:rPr>
          <w:rFonts w:eastAsia="Calibri"/>
          <w:b/>
          <w:bCs/>
        </w:rPr>
        <w:t>3</w:t>
      </w:r>
      <w:r w:rsidRPr="00A831E7">
        <w:rPr>
          <w:rFonts w:eastAsia="Calibri"/>
        </w:rPr>
        <w:t xml:space="preserve">), ξεπερνώντας μεμονωμένους γονιδιακούς δείκτες. Η επικύρωση του συνδυαστικού μοντέλου σε ανεξάρτητα σύνολα δεδομένων επιβεβαίωσε την ειδικότητα του για το IS, αν και η διάκριση του από την εγκεφαλική αιμορραγία (CH) είχε χαμηλότερη διαγνωστική ακρίβεια (AUC = 0.733), η οποία δεν ήταν ανώτερη από οποιοδήποτε μεμονωμένο γονίδιο. Επιπλέον, η διαγνωστική βαθμολογία συσχετίστηκε με τα επίπεδα ανοσοκυττάρων, παρουσιάζοντας </w:t>
      </w:r>
      <w:r w:rsidR="000162D7">
        <w:rPr>
          <w:rFonts w:eastAsia="Calibri"/>
        </w:rPr>
        <w:t>μείωση</w:t>
      </w:r>
      <w:r w:rsidRPr="00A831E7">
        <w:rPr>
          <w:rFonts w:eastAsia="Calibri"/>
        </w:rPr>
        <w:t xml:space="preserve"> λεμφοκ</w:t>
      </w:r>
      <w:r w:rsidR="000162D7">
        <w:rPr>
          <w:rFonts w:eastAsia="Calibri"/>
        </w:rPr>
        <w:t>υ</w:t>
      </w:r>
      <w:r w:rsidRPr="00A831E7">
        <w:rPr>
          <w:rFonts w:eastAsia="Calibri"/>
        </w:rPr>
        <w:t>ττ</w:t>
      </w:r>
      <w:r w:rsidR="000162D7">
        <w:rPr>
          <w:rFonts w:eastAsia="Calibri"/>
        </w:rPr>
        <w:t>ά</w:t>
      </w:r>
      <w:r w:rsidRPr="00A831E7">
        <w:rPr>
          <w:rFonts w:eastAsia="Calibri"/>
        </w:rPr>
        <w:t>ρ</w:t>
      </w:r>
      <w:r w:rsidR="000162D7">
        <w:rPr>
          <w:rFonts w:eastAsia="Calibri"/>
        </w:rPr>
        <w:t>ων</w:t>
      </w:r>
      <w:r w:rsidRPr="00A831E7">
        <w:rPr>
          <w:rFonts w:eastAsia="Calibri"/>
        </w:rPr>
        <w:t xml:space="preserve"> και </w:t>
      </w:r>
      <w:r w:rsidR="000162D7">
        <w:rPr>
          <w:rFonts w:eastAsia="Calibri"/>
        </w:rPr>
        <w:t>αύξηση σε</w:t>
      </w:r>
      <w:r w:rsidRPr="00A831E7">
        <w:rPr>
          <w:rFonts w:eastAsia="Calibri"/>
        </w:rPr>
        <w:t xml:space="preserve"> μονοκύτταρα και ουδετερόφιλα</w:t>
      </w:r>
      <w:r w:rsidR="000162D7">
        <w:rPr>
          <w:rFonts w:eastAsia="Calibri"/>
        </w:rPr>
        <w:t xml:space="preserve"> σε ασθενείς ισχαιμικού εγκεφαλικού επεισοδίου</w:t>
      </w:r>
      <w:r w:rsidRPr="00A831E7">
        <w:rPr>
          <w:rFonts w:eastAsia="Calibri"/>
        </w:rPr>
        <w:t xml:space="preserve">, επιβεβαιώνοντας τη σχέση του μοντέλου με τις ανοσολογικές αποκρίσεις </w:t>
      </w:r>
      <w:bookmarkEnd w:id="113"/>
      <w:r w:rsidRPr="00A831E7">
        <w:rPr>
          <w:rFonts w:eastAsia="Calibri"/>
        </w:rPr>
        <w:fldChar w:fldCharType="begin"/>
      </w:r>
      <w:r w:rsidR="00B22777" w:rsidRPr="00A831E7">
        <w:rPr>
          <w:rFonts w:eastAsia="Calibri"/>
        </w:rPr>
        <w:instrText xml:space="preserve"> ADDIN ZOTERO_ITEM CSL_CITATION {"citationID":"cuZFxgPA","properties":{"formattedCitation":"[76]","plainCitation":"[76]","noteIndex":0},"citationItems":[{"id":344,"uris":["http://zotero.org/users/local/mfHf28QG/items/G5Z5WKCE"],"itemData":{"id":344,"type":"article-journal","abstract":"Ischemic cerebral infarction is the most common type of stroke with high rates of mortality, disability, and recurrence. However, the known diagnostic biomarkers and therapeutic targets for ischemic stroke (IS) are limited. In the current study, we ...","container-title":"Frontiers in Immunology","DOI":"10.3389/fimmu.2022.1046966","language":"en","note":"PMID: 36582228","page":"1046966","source":"pmc.ncbi.nlm.nih.gov","title":"Diagnostic model constructed by nine inflammation-related genes for diagnosing ischemic stroke and reflecting the condition of immune-related cells","volume":"13","author":[{"family":"Ren","given":"Peng"},{"family":"Wang","given":"Jing-Ya"},{"family":"Chen","given":"Hong-Lei"},{"family":"Lin","given":"Xiao-Wan"},{"family":"Zhao","given":"Yong-Qi"},{"family":"Guo","given":"Wen-Zhi"},{"family":"Zeng","given":"Zhi-Rui"},{"family":"Li","given":"Yun-Feng"}],"issued":{"date-parts":[["2022",12,13]]}}}],"schema":"https://github.com/citation-style-language/schema/raw/master/csl-citation.json"} </w:instrText>
      </w:r>
      <w:r w:rsidRPr="00A831E7">
        <w:rPr>
          <w:rFonts w:eastAsia="Calibri"/>
        </w:rPr>
        <w:fldChar w:fldCharType="separate"/>
      </w:r>
      <w:r w:rsidR="00B22777" w:rsidRPr="00A831E7">
        <w:rPr>
          <w:rFonts w:eastAsia="Calibri"/>
        </w:rPr>
        <w:t>[76]</w:t>
      </w:r>
      <w:r w:rsidRPr="00A831E7">
        <w:rPr>
          <w:rFonts w:eastAsia="Calibri"/>
        </w:rPr>
        <w:fldChar w:fldCharType="end"/>
      </w:r>
      <w:r w:rsidR="00E40BAE" w:rsidRPr="00A831E7">
        <w:rPr>
          <w:rFonts w:eastAsia="Calibri"/>
        </w:rPr>
        <w:t>.</w:t>
      </w:r>
    </w:p>
    <w:p w14:paraId="0D896F34" w14:textId="77777777" w:rsidR="00D33FD1" w:rsidRPr="00A831E7" w:rsidRDefault="00D33FD1" w:rsidP="0057069D">
      <w:pPr>
        <w:spacing w:line="360" w:lineRule="auto"/>
        <w:ind w:firstLine="720"/>
        <w:jc w:val="both"/>
        <w:rPr>
          <w:rFonts w:eastAsia="Calibri"/>
        </w:rPr>
      </w:pPr>
    </w:p>
    <w:p w14:paraId="3387FE02" w14:textId="06EB6E41" w:rsidR="004D11ED" w:rsidRPr="00A831E7" w:rsidRDefault="004D11ED" w:rsidP="0057069D">
      <w:pPr>
        <w:pStyle w:val="4"/>
        <w:spacing w:line="360" w:lineRule="auto"/>
        <w:rPr>
          <w:b w:val="0"/>
          <w:bCs/>
        </w:rPr>
      </w:pPr>
      <w:r w:rsidRPr="00A831E7">
        <w:rPr>
          <w:bCs/>
        </w:rPr>
        <w:t>PADGS (Γονίδια σχετιζόμενα με Αιμοπετάλια)</w:t>
      </w:r>
    </w:p>
    <w:p w14:paraId="7B811214" w14:textId="4F1B6F8D" w:rsidR="00252223" w:rsidRPr="00A831E7" w:rsidRDefault="00252223" w:rsidP="0057069D">
      <w:pPr>
        <w:spacing w:line="360" w:lineRule="auto"/>
        <w:ind w:firstLine="720"/>
        <w:jc w:val="both"/>
        <w:rPr>
          <w:rFonts w:eastAsia="Calibri"/>
        </w:rPr>
      </w:pPr>
      <w:r w:rsidRPr="00A831E7">
        <w:rPr>
          <w:rFonts w:eastAsia="Calibri"/>
        </w:rPr>
        <w:t>Η μελέτη Geng et al.</w:t>
      </w:r>
      <w:r w:rsidR="004D11ED" w:rsidRPr="00A831E7">
        <w:rPr>
          <w:rFonts w:eastAsia="Calibri"/>
        </w:rPr>
        <w:t xml:space="preserve"> </w:t>
      </w:r>
      <w:r w:rsidR="004D11ED" w:rsidRPr="00A831E7">
        <w:rPr>
          <w:rFonts w:eastAsia="Calibri"/>
        </w:rPr>
        <w:fldChar w:fldCharType="begin"/>
      </w:r>
      <w:r w:rsidR="00B22777" w:rsidRPr="00A831E7">
        <w:rPr>
          <w:rFonts w:eastAsia="Calibri"/>
        </w:rPr>
        <w:instrText xml:space="preserve"> ADDIN ZOTERO_ITEM CSL_CITATION {"citationID":"mlJUxw09","properties":{"formattedCitation":"[83]","plainCitation":"[83]","noteIndex":0},"citationItems":[{"id":322,"uris":["http://zotero.org/users/local/mfHf28QG/items/R7SK24M9"],"itemData":{"id":322,"type":"article-journal","abstract":"Ischemic stroke (IS), caused by blood and oxygen deprivation due to cerebral thrombosis, has links to activated and aggregated platelets. Discovering platelet-related biomarkers, developing diagnostic models, and screening antiplatelet drugs are ...","container-title":"Frontiers in Immunology","DOI":"10.3389/fimmu.2023.1320475","language":"en","note":"PMID: 38268925","page":"1320475","source":"pmc.ncbi.nlm.nih.gov","title":"Identification and validation of platelet-related diagnostic markers and potential drug screening in ischemic stroke by integrating comprehensive bioinformatics analysis and machine learning","volume":"14","author":[{"family":"Geng","given":"Yifei"},{"family":"Liu","given":"Yuchen"},{"family":"Wang","given":"Min"},{"family":"Dong","given":"Xi"},{"family":"Sun","given":"Xiao"},{"family":"Luo","given":"Yun"},{"family":"Sun","given":"Xiaobo"}],"issued":{"date-parts":[["2024",1,10]]}}}],"schema":"https://github.com/citation-style-language/schema/raw/master/csl-citation.json"} </w:instrText>
      </w:r>
      <w:r w:rsidR="004D11ED" w:rsidRPr="00A831E7">
        <w:rPr>
          <w:rFonts w:eastAsia="Calibri"/>
        </w:rPr>
        <w:fldChar w:fldCharType="separate"/>
      </w:r>
      <w:r w:rsidR="00B22777" w:rsidRPr="00A831E7">
        <w:rPr>
          <w:rFonts w:eastAsia="Calibri"/>
        </w:rPr>
        <w:t>[83]</w:t>
      </w:r>
      <w:r w:rsidR="004D11ED" w:rsidRPr="00A831E7">
        <w:rPr>
          <w:rFonts w:eastAsia="Calibri"/>
        </w:rPr>
        <w:fldChar w:fldCharType="end"/>
      </w:r>
      <w:r w:rsidRPr="00A831E7">
        <w:rPr>
          <w:rFonts w:eastAsia="Calibri"/>
        </w:rPr>
        <w:t xml:space="preserve"> επικεντρώνεται στην αναγνώριση και επικύρωση αιμοπεταλιακών διαγνωστικών δεικτών για το ισχαιμικό εγκεφαλικό επεισόδιο (IS), αξιοποιώντας μηχανική μάθηση (ML). Οι βασικοί βιοδείκτες που εντοπίστηκαν περιλαμβάνουν</w:t>
      </w:r>
      <w:r w:rsidR="004D11ED" w:rsidRPr="00A831E7">
        <w:rPr>
          <w:rFonts w:eastAsia="Calibri"/>
        </w:rPr>
        <w:t xml:space="preserve"> γονίδια σχετικά με αιμοπετάλια (</w:t>
      </w:r>
      <w:r w:rsidR="004D11ED" w:rsidRPr="00A831E7">
        <w:rPr>
          <w:rFonts w:eastAsia="Calibri"/>
          <w:b/>
          <w:bCs/>
        </w:rPr>
        <w:t>PADGS</w:t>
      </w:r>
      <w:r w:rsidR="004D11ED" w:rsidRPr="00A831E7">
        <w:rPr>
          <w:rFonts w:eastAsia="Calibri"/>
        </w:rPr>
        <w:t>) :</w:t>
      </w:r>
      <w:r w:rsidRPr="00A831E7">
        <w:rPr>
          <w:rFonts w:eastAsia="Calibri"/>
        </w:rPr>
        <w:t xml:space="preserve"> APP, THBS1, F13A1, SRC, PPBP και VCL, </w:t>
      </w:r>
      <w:r w:rsidR="004D11ED" w:rsidRPr="00A831E7">
        <w:rPr>
          <w:rFonts w:eastAsia="Calibri"/>
        </w:rPr>
        <w:t>τα</w:t>
      </w:r>
      <w:r w:rsidRPr="00A831E7">
        <w:rPr>
          <w:rFonts w:eastAsia="Calibri"/>
        </w:rPr>
        <w:t xml:space="preserve"> οποίοι χρησιμοποιήθηκαν για τη δημιουργία ενός μοντέλου </w:t>
      </w:r>
      <w:r w:rsidRPr="00A831E7">
        <w:rPr>
          <w:rFonts w:eastAsia="Calibri"/>
        </w:rPr>
        <w:lastRenderedPageBreak/>
        <w:t>πρόγνωσης κινδύνου</w:t>
      </w:r>
      <w:r w:rsidR="004D11ED" w:rsidRPr="00A831E7">
        <w:rPr>
          <w:rFonts w:eastAsia="Calibri"/>
        </w:rPr>
        <w:t xml:space="preserve">. Το μοντέλο διάγνωσης πέτυχε AUC = 0.841 στην ομάδα GSE16561 και AUC = 0.791 στην ομάδα GSE22255, επιδεικνύοντας υψηλή διαγνωστική ακρίβεια. Η </w:t>
      </w:r>
      <w:r w:rsidR="004D11ED" w:rsidRPr="00A831E7">
        <w:rPr>
          <w:rFonts w:eastAsia="Calibri"/>
          <w:b/>
          <w:bCs/>
        </w:rPr>
        <w:t>εξωτερική επικύρωση</w:t>
      </w:r>
      <w:r w:rsidR="004D11ED" w:rsidRPr="00A831E7">
        <w:rPr>
          <w:rFonts w:eastAsia="Calibri"/>
        </w:rPr>
        <w:t xml:space="preserve"> με δεδομένα από την ομάδα GSE202709 έδειξε </w:t>
      </w:r>
      <w:r w:rsidR="004D11ED" w:rsidRPr="00A831E7">
        <w:rPr>
          <w:rFonts w:eastAsia="Calibri"/>
          <w:b/>
          <w:bCs/>
        </w:rPr>
        <w:t>AUC = 0.917</w:t>
      </w:r>
      <w:r w:rsidR="004D11ED" w:rsidRPr="00A831E7">
        <w:rPr>
          <w:rFonts w:eastAsia="Calibri"/>
        </w:rPr>
        <w:t>, επιβεβαιώνοντας την αξιοπιστία του μοντέλου. Σε σύγκριση με μεμονωμένους δείκτες, οι τιμές AUC</w:t>
      </w:r>
      <w:r w:rsidR="00185741">
        <w:rPr>
          <w:rFonts w:eastAsia="Calibri"/>
          <w:lang w:val="en-US"/>
        </w:rPr>
        <w:t xml:space="preserve"> </w:t>
      </w:r>
      <w:r w:rsidR="00185741">
        <w:rPr>
          <w:rFonts w:eastAsia="Calibri"/>
        </w:rPr>
        <w:t>αυτών</w:t>
      </w:r>
      <w:r w:rsidR="004D11ED" w:rsidRPr="00A831E7">
        <w:rPr>
          <w:rFonts w:eastAsia="Calibri"/>
        </w:rPr>
        <w:t xml:space="preserve"> ήταν χαμηλότερες: SRC (AUC = 0.828), VCL (AUC = 0.809), THBS1 (AUC = 0.713), F13A1 (AUC = 0.704), PPBP (AUC = 0.578) (</w:t>
      </w:r>
      <w:r w:rsidR="004D11ED" w:rsidRPr="00A831E7">
        <w:rPr>
          <w:rFonts w:eastAsia="Calibri"/>
          <w:i/>
          <w:iCs/>
        </w:rPr>
        <w:t>Πίνακας 16</w:t>
      </w:r>
      <w:r w:rsidR="004D11ED" w:rsidRPr="00A831E7">
        <w:rPr>
          <w:rFonts w:eastAsia="Calibri"/>
        </w:rPr>
        <w:t xml:space="preserve">) </w:t>
      </w:r>
      <w:r w:rsidR="004D11ED" w:rsidRPr="00A831E7">
        <w:rPr>
          <w:rFonts w:eastAsia="Calibri"/>
        </w:rPr>
        <w:fldChar w:fldCharType="begin"/>
      </w:r>
      <w:r w:rsidR="00B22777" w:rsidRPr="00A831E7">
        <w:rPr>
          <w:rFonts w:eastAsia="Calibri"/>
        </w:rPr>
        <w:instrText xml:space="preserve"> ADDIN ZOTERO_ITEM CSL_CITATION {"citationID":"m4VHIpma","properties":{"formattedCitation":"[83]","plainCitation":"[83]","noteIndex":0},"citationItems":[{"id":322,"uris":["http://zotero.org/users/local/mfHf28QG/items/R7SK24M9"],"itemData":{"id":322,"type":"article-journal","abstract":"Ischemic stroke (IS), caused by blood and oxygen deprivation due to cerebral thrombosis, has links to activated and aggregated platelets. Discovering platelet-related biomarkers, developing diagnostic models, and screening antiplatelet drugs are ...","container-title":"Frontiers in Immunology","DOI":"10.3389/fimmu.2023.1320475","language":"en","note":"PMID: 38268925","page":"1320475","source":"pmc.ncbi.nlm.nih.gov","title":"Identification and validation of platelet-related diagnostic markers and potential drug screening in ischemic stroke by integrating comprehensive bioinformatics analysis and machine learning","volume":"14","author":[{"family":"Geng","given":"Yifei"},{"family":"Liu","given":"Yuchen"},{"family":"Wang","given":"Min"},{"family":"Dong","given":"Xi"},{"family":"Sun","given":"Xiao"},{"family":"Luo","given":"Yun"},{"family":"Sun","given":"Xiaobo"}],"issued":{"date-parts":[["2024",1,10]]}}}],"schema":"https://github.com/citation-style-language/schema/raw/master/csl-citation.json"} </w:instrText>
      </w:r>
      <w:r w:rsidR="004D11ED" w:rsidRPr="00A831E7">
        <w:rPr>
          <w:rFonts w:eastAsia="Calibri"/>
        </w:rPr>
        <w:fldChar w:fldCharType="separate"/>
      </w:r>
      <w:r w:rsidR="00B22777" w:rsidRPr="00A831E7">
        <w:rPr>
          <w:rFonts w:eastAsia="Calibri"/>
        </w:rPr>
        <w:t>[83]</w:t>
      </w:r>
      <w:r w:rsidR="004D11ED" w:rsidRPr="00A831E7">
        <w:rPr>
          <w:rFonts w:eastAsia="Calibri"/>
        </w:rPr>
        <w:fldChar w:fldCharType="end"/>
      </w:r>
      <w:r w:rsidR="004D11ED" w:rsidRPr="00A831E7">
        <w:rPr>
          <w:rFonts w:eastAsia="Calibri"/>
        </w:rPr>
        <w:t>.</w:t>
      </w:r>
      <w:r w:rsidRPr="00A831E7">
        <w:rPr>
          <w:rFonts w:eastAsia="Calibri"/>
        </w:rPr>
        <w:t xml:space="preserve"> </w:t>
      </w:r>
    </w:p>
    <w:p w14:paraId="21A233A0" w14:textId="77777777" w:rsidR="004D11ED" w:rsidRPr="00A831E7" w:rsidRDefault="004D11ED" w:rsidP="0057069D">
      <w:pPr>
        <w:spacing w:line="360" w:lineRule="auto"/>
        <w:ind w:firstLine="720"/>
        <w:jc w:val="both"/>
        <w:rPr>
          <w:rFonts w:eastAsia="Calibri"/>
        </w:rPr>
      </w:pPr>
    </w:p>
    <w:p w14:paraId="4A12DB4B" w14:textId="35FC5B42" w:rsidR="00E40BAE" w:rsidRPr="00A831E7" w:rsidRDefault="00E40BAE" w:rsidP="0057069D">
      <w:pPr>
        <w:pStyle w:val="4"/>
        <w:spacing w:line="360" w:lineRule="auto"/>
        <w:rPr>
          <w:rFonts w:eastAsia="Calibri"/>
          <w:b w:val="0"/>
          <w:bCs/>
        </w:rPr>
      </w:pPr>
      <w:r w:rsidRPr="00A831E7">
        <w:rPr>
          <w:rFonts w:eastAsia="Calibri"/>
          <w:bCs/>
        </w:rPr>
        <w:t>Υπόλοιποι Βιοδείκτες</w:t>
      </w:r>
    </w:p>
    <w:p w14:paraId="2EED58E7" w14:textId="70ABF10E" w:rsidR="00E40BAE" w:rsidRPr="00A831E7" w:rsidRDefault="00E40BAE" w:rsidP="0057069D">
      <w:pPr>
        <w:spacing w:line="360" w:lineRule="auto"/>
        <w:ind w:firstLine="720"/>
        <w:jc w:val="both"/>
        <w:rPr>
          <w:rFonts w:eastAsia="Calibri"/>
        </w:rPr>
      </w:pPr>
      <w:r w:rsidRPr="00A831E7">
        <w:rPr>
          <w:rFonts w:eastAsia="Calibri"/>
        </w:rPr>
        <w:t>Παρόλο που κάποια από τα υπόλοιπα μοντέλα δεν πέτυχαν τη μέγιστη προβλεπτική ακρίβεια, εξακολουθούν να προσφέρουν πολύτιμες γνώσεις σχετικά με την παθοφυσιολογία και ταξινόμηση των εγκεφαλικών επεισοδίων.</w:t>
      </w:r>
    </w:p>
    <w:p w14:paraId="627863FE" w14:textId="103903B7" w:rsidR="00E40BAE" w:rsidRPr="00C405CF" w:rsidRDefault="00E40BAE" w:rsidP="0057069D">
      <w:pPr>
        <w:spacing w:line="360" w:lineRule="auto"/>
        <w:ind w:firstLine="720"/>
        <w:jc w:val="both"/>
        <w:rPr>
          <w:rFonts w:eastAsia="Calibri"/>
          <w:lang w:val="en-US"/>
        </w:rPr>
      </w:pPr>
      <w:r w:rsidRPr="00A831E7">
        <w:rPr>
          <w:rFonts w:eastAsia="Calibri"/>
        </w:rPr>
        <w:t>Το γονίδιο F5 που σχετίζεται με την πήξη του αίματος έδειξε ισχυρή συσχέτιση με την ανίχνευση του ισχαιμικού εγκεφαλικού (IS), επιτυγχάνοντας AUC = 0.9</w:t>
      </w:r>
      <w:r w:rsidR="00AA3EF8" w:rsidRPr="00A831E7">
        <w:rPr>
          <w:rFonts w:eastAsia="Calibri"/>
        </w:rPr>
        <w:t>5</w:t>
      </w:r>
      <w:r w:rsidRPr="00A831E7">
        <w:rPr>
          <w:rFonts w:eastAsia="Calibri"/>
        </w:rPr>
        <w:t xml:space="preserve">5 </w:t>
      </w:r>
      <w:r w:rsidRPr="00A831E7">
        <w:rPr>
          <w:rFonts w:eastAsia="Calibri"/>
        </w:rPr>
        <w:fldChar w:fldCharType="begin"/>
      </w:r>
      <w:r w:rsidR="00B22777" w:rsidRPr="00A831E7">
        <w:rPr>
          <w:rFonts w:eastAsia="Calibri"/>
        </w:rPr>
        <w:instrText xml:space="preserve"> ADDIN ZOTERO_ITEM CSL_CITATION {"citationID":"jUOkUEnP","properties":{"formattedCitation":"[79]","plainCitation":"[79]","noteIndex":0},"citationItems":[{"id":270,"uris":["http://zotero.org/users/local/mfHf28QG/items/FSC92ZHB"],"itemData":{"id":270,"type":"article-journal","abstract":"Background: Coagulation system is currently known associated with the development of ischemic stroke (IS). Thus, the current study is designed to identify diagnostic value of coagulation genes (CGs) in IS and to explore their role in the immune ...","container-title":"Aging (Albany NY)","DOI":"10.18632/aging.205706","issue":"7","language":"en","note":"PMID: 38575196","page":"6314","source":"pmc.ncbi.nlm.nih.gov","title":"Machine learning identifies novel coagulation genes as diagnostic and immunological biomarkers in ischemic stroke","volume":"16","author":[{"family":"Liu","given":"Jinzhi"},{"family":"Si","given":"Zhihua"},{"family":"Liu","given":"Ju"},{"family":"Zhang","given":"Xu"},{"family":"Xie","given":"Cong"},{"family":"Zhao","given":"Wei"},{"family":"Wang","given":"Aihua"},{"family":"Xia","given":"Zhangyong"}],"issued":{"date-parts":[["2024",4,3]]}}}],"schema":"https://github.com/citation-style-language/schema/raw/master/csl-citation.json"} </w:instrText>
      </w:r>
      <w:r w:rsidRPr="00A831E7">
        <w:rPr>
          <w:rFonts w:eastAsia="Calibri"/>
        </w:rPr>
        <w:fldChar w:fldCharType="separate"/>
      </w:r>
      <w:r w:rsidR="00B22777" w:rsidRPr="00A831E7">
        <w:rPr>
          <w:rFonts w:eastAsia="Calibri"/>
        </w:rPr>
        <w:t>[79]</w:t>
      </w:r>
      <w:r w:rsidRPr="00A831E7">
        <w:rPr>
          <w:rFonts w:eastAsia="Calibri"/>
        </w:rPr>
        <w:fldChar w:fldCharType="end"/>
      </w:r>
      <w:r w:rsidRPr="00A831E7">
        <w:rPr>
          <w:rFonts w:eastAsia="Calibri"/>
        </w:rPr>
        <w:t>. Αντίστοιχα, το γονίδιο WAS, που εμπλέκεται στη ρύθμιση του κυτταροσκελετού, σημείωσε AUC = 0.9</w:t>
      </w:r>
      <w:r w:rsidR="00AA3EF8" w:rsidRPr="00A831E7">
        <w:rPr>
          <w:rFonts w:eastAsia="Calibri"/>
        </w:rPr>
        <w:t>09</w:t>
      </w:r>
      <w:r w:rsidRPr="00A831E7">
        <w:rPr>
          <w:rFonts w:eastAsia="Calibri"/>
        </w:rPr>
        <w:t xml:space="preserve">, ενισχύοντας τον πιθανό του ρόλο στους μηχανισμούς εγκεφαλικού που σχετίζονται με θρόμβωση </w:t>
      </w:r>
      <w:r w:rsidRPr="00A831E7">
        <w:rPr>
          <w:rFonts w:eastAsia="Calibri"/>
        </w:rPr>
        <w:fldChar w:fldCharType="begin"/>
      </w:r>
      <w:r w:rsidR="00B22777" w:rsidRPr="00A831E7">
        <w:rPr>
          <w:rFonts w:eastAsia="Calibri"/>
        </w:rPr>
        <w:instrText xml:space="preserve"> ADDIN ZOTERO_ITEM CSL_CITATION {"citationID":"fRbkMljv","properties":{"formattedCitation":"[79]","plainCitation":"[79]","noteIndex":0},"citationItems":[{"id":270,"uris":["http://zotero.org/users/local/mfHf28QG/items/FSC92ZHB"],"itemData":{"id":270,"type":"article-journal","abstract":"Background: Coagulation system is currently known associated with the development of ischemic stroke (IS). Thus, the current study is designed to identify diagnostic value of coagulation genes (CGs) in IS and to explore their role in the immune ...","container-title":"Aging (Albany NY)","DOI":"10.18632/aging.205706","issue":"7","language":"en","note":"PMID: 38575196","page":"6314","source":"pmc.ncbi.nlm.nih.gov","title":"Machine learning identifies novel coagulation genes as diagnostic and immunological biomarkers in ischemic stroke","volume":"16","author":[{"family":"Liu","given":"Jinzhi"},{"family":"Si","given":"Zhihua"},{"family":"Liu","given":"Ju"},{"family":"Zhang","given":"Xu"},{"family":"Xie","given":"Cong"},{"family":"Zhao","given":"Wei"},{"family":"Wang","given":"Aihua"},{"family":"Xia","given":"Zhangyong"}],"issued":{"date-parts":[["2024",4,3]]}}}],"schema":"https://github.com/citation-style-language/schema/raw/master/csl-citation.json"} </w:instrText>
      </w:r>
      <w:r w:rsidRPr="00A831E7">
        <w:rPr>
          <w:rFonts w:eastAsia="Calibri"/>
        </w:rPr>
        <w:fldChar w:fldCharType="separate"/>
      </w:r>
      <w:r w:rsidR="00B22777" w:rsidRPr="00A831E7">
        <w:rPr>
          <w:rFonts w:eastAsia="Calibri"/>
        </w:rPr>
        <w:t>[79]</w:t>
      </w:r>
      <w:r w:rsidRPr="00A831E7">
        <w:rPr>
          <w:rFonts w:eastAsia="Calibri"/>
        </w:rPr>
        <w:fldChar w:fldCharType="end"/>
      </w:r>
      <w:r w:rsidRPr="00A831E7">
        <w:rPr>
          <w:rFonts w:eastAsia="Calibri"/>
        </w:rPr>
        <w:t>.</w:t>
      </w:r>
      <w:r w:rsidR="005E22DD" w:rsidRPr="00A831E7">
        <w:rPr>
          <w:rFonts w:eastAsia="Calibri"/>
        </w:rPr>
        <w:t xml:space="preserve"> Και τα δύο είχαν ανιχνευτεί με χρήση μηχανικής μάθησης</w:t>
      </w:r>
      <w:r w:rsidR="007E76EB">
        <w:rPr>
          <w:rFonts w:eastAsia="Calibri"/>
        </w:rPr>
        <w:t xml:space="preserve"> και αξιολογήθηκαν με </w:t>
      </w:r>
      <w:r w:rsidR="007E76EB">
        <w:rPr>
          <w:rFonts w:eastAsia="Calibri"/>
          <w:lang w:val="en-US"/>
        </w:rPr>
        <w:t xml:space="preserve">qPCR </w:t>
      </w:r>
      <w:r w:rsidR="007E76EB">
        <w:rPr>
          <w:rFonts w:eastAsia="Calibri"/>
        </w:rPr>
        <w:t xml:space="preserve">σε δείγμα της βιβλιοθήκης </w:t>
      </w:r>
      <w:r w:rsidR="007E76EB">
        <w:rPr>
          <w:rFonts w:eastAsia="Calibri"/>
          <w:lang w:val="en-US"/>
        </w:rPr>
        <w:t>GEO (</w:t>
      </w:r>
      <w:hyperlink r:id="rId31" w:history="1">
        <w:r w:rsidR="007E76EB" w:rsidRPr="007E76EB">
          <w:rPr>
            <w:rStyle w:val="-"/>
            <w:rFonts w:eastAsia="Calibri"/>
            <w:b/>
            <w:bCs/>
          </w:rPr>
          <w:t>GSE58294</w:t>
        </w:r>
      </w:hyperlink>
      <w:r w:rsidR="007E76EB">
        <w:rPr>
          <w:rFonts w:eastAsia="Calibri"/>
        </w:rPr>
        <w:t xml:space="preserve">, </w:t>
      </w:r>
      <w:r w:rsidR="007E76EB">
        <w:rPr>
          <w:rFonts w:eastAsia="Calibri"/>
          <w:lang w:val="en-US"/>
        </w:rPr>
        <w:t>CE=</w:t>
      </w:r>
      <w:r w:rsidR="007E76EB">
        <w:rPr>
          <w:rFonts w:eastAsia="Calibri"/>
        </w:rPr>
        <w:t>69</w:t>
      </w:r>
      <w:r w:rsidR="007E76EB">
        <w:rPr>
          <w:rFonts w:eastAsia="Calibri"/>
          <w:lang w:val="en-US"/>
        </w:rPr>
        <w:t>, NC=23</w:t>
      </w:r>
      <w:r w:rsidR="007E76EB">
        <w:rPr>
          <w:rFonts w:eastAsia="Calibri"/>
        </w:rPr>
        <w:t>)</w:t>
      </w:r>
      <w:r w:rsidR="005E22DD" w:rsidRPr="00A831E7">
        <w:rPr>
          <w:rFonts w:eastAsia="Calibri"/>
        </w:rPr>
        <w:t>.</w:t>
      </w:r>
    </w:p>
    <w:p w14:paraId="7D8CD311" w14:textId="318BF79C" w:rsidR="00903A58" w:rsidRPr="00A831E7" w:rsidRDefault="00E40BAE" w:rsidP="0057069D">
      <w:pPr>
        <w:spacing w:line="360" w:lineRule="auto"/>
        <w:ind w:firstLine="720"/>
        <w:jc w:val="both"/>
        <w:rPr>
          <w:rFonts w:eastAsia="Calibri"/>
        </w:rPr>
      </w:pPr>
      <w:r w:rsidRPr="00A831E7">
        <w:rPr>
          <w:rFonts w:eastAsia="Calibri"/>
        </w:rPr>
        <w:t>Ένα πάνελ διαφοροποιημένα εκφραζόμενων microRNAs (hsa-miR-122, hsa-miR-99b, hsa-miR-339, hsa-miR-145, hsa-miR-3130-1) παρουσίασε AUC = 0.8</w:t>
      </w:r>
      <w:r w:rsidR="00AA3EF8" w:rsidRPr="00A831E7">
        <w:rPr>
          <w:rFonts w:eastAsia="Calibri"/>
        </w:rPr>
        <w:t>59</w:t>
      </w:r>
      <w:r w:rsidRPr="00A831E7">
        <w:rPr>
          <w:rFonts w:eastAsia="Calibri"/>
        </w:rPr>
        <w:t xml:space="preserve"> μέσω λογιστικής παλινδρόμησης, υποδεικνύοντας τη χρησιμότητά τους στην ταξινόμηση του I</w:t>
      </w:r>
      <w:r w:rsidR="00EB49C2" w:rsidRPr="00A831E7">
        <w:rPr>
          <w:rFonts w:eastAsia="Calibri"/>
        </w:rPr>
        <w:t xml:space="preserve">S </w:t>
      </w:r>
      <w:r w:rsidR="00EB49C2" w:rsidRPr="00A831E7">
        <w:rPr>
          <w:rFonts w:eastAsia="Calibri"/>
        </w:rPr>
        <w:fldChar w:fldCharType="begin"/>
      </w:r>
      <w:r w:rsidR="00B22777" w:rsidRPr="00A831E7">
        <w:rPr>
          <w:rFonts w:eastAsia="Calibri"/>
        </w:rPr>
        <w:instrText xml:space="preserve"> ADDIN ZOTERO_ITEM CSL_CITATION {"citationID":"BHkJNxZX","properties":{"formattedCitation":"[77]","plainCitation":"[77]","noteIndex":0},"citationItems":[{"id":585,"uris":["http://zotero.org/users/local/mfHf28QG/items/PHBIWPGX"],"itemData":{"id":585,"type":"article-journal","abstract":"Purpose: The present study aimed to investigate the comprehensive differential expression profile of microRNAs (miRNAs) by screening for miRNA expression in ischemic stroke and normal samples., Methods: Differentially expressed miRNA (DEM) analysis was conducted using limma R Bioconductor package. Target genes of DEMs were identified from TargetScanHuman and miRTarBase databases. Functional enrichment analysis of the target genes was performed using clusterProfiler R Bioconductor package. The miRNA-based ischemic stroke diagnostic signature was constructed via logistic regression analysis., Results: Compared with the normal cohort, a total of 14 DEMs, including 5 up-regulated miRNAs and 9 down-regulated miRNAs, were identified in ischemic stroke patients. These DEMs have 1600 regulatory targets. Using a logistic regression model, the top five miRNAs were screened for constructing an miRNA-based ischemic stroke diagnostic signature. Using the miRNA–mRNA interaction pairs, two target genes (specificity protein 1 (SP1) and Argonaute 1 (AGO1)) were speculated to be the primary genes of ischemic stroke., Discussion and conclusion: Here, several potential miRNAs biomarkers were identified and an miRNA-based diagnostic signature for ischemic stroke was established, which can be a valuable reference for future clinical researches.","container-title":"Bioscience Reports","DOI":"10.1042/BSR20201154","ISSN":"0144-8463","issue":"8","journalAbbreviation":"Biosci Rep","note":"PMID: 32744319\nPMCID: PMC7432999","page":"BSR20201154","source":"PubMed Central","title":"Bioinformatics method combined with logistic regression analysis reveal potentially important miRNAs in ischemic stroke","volume":"40","author":[{"family":"Wei","given":"Zhiqiang"},{"family":"Qi","given":"Xingdi"},{"family":"Chen","given":"Yan"},{"family":"Xia","given":"Xiaoshuang"},{"family":"Zheng","given":"Boyu"},{"family":"Sun","given":"Xugang"},{"family":"Zhang","given":"Guangming"},{"family":"Wang","given":"Ling"},{"family":"Zhang","given":"Qi"},{"family":"Xu","given":"Chen"},{"family":"Jiang","given":"Shihe"},{"family":"Li","given":"Xiulian"},{"family":"Xie","given":"Bingxin"},{"family":"Liao","given":"Xiaohui"},{"family":"Zhu","given":"Ai"}],"issued":{"date-parts":[["2020",8,17]]}}}],"schema":"https://github.com/citation-style-language/schema/raw/master/csl-citation.json"} </w:instrText>
      </w:r>
      <w:r w:rsidR="00EB49C2" w:rsidRPr="00A831E7">
        <w:rPr>
          <w:rFonts w:eastAsia="Calibri"/>
        </w:rPr>
        <w:fldChar w:fldCharType="separate"/>
      </w:r>
      <w:r w:rsidR="00B22777" w:rsidRPr="00A831E7">
        <w:rPr>
          <w:rFonts w:eastAsia="Calibri"/>
        </w:rPr>
        <w:t>[77]</w:t>
      </w:r>
      <w:r w:rsidR="00EB49C2" w:rsidRPr="00A831E7">
        <w:rPr>
          <w:rFonts w:eastAsia="Calibri"/>
        </w:rPr>
        <w:fldChar w:fldCharType="end"/>
      </w:r>
      <w:r w:rsidRPr="00A831E7">
        <w:rPr>
          <w:rFonts w:eastAsia="Calibri"/>
        </w:rPr>
        <w:t>.</w:t>
      </w:r>
      <w:r w:rsidR="00903A58" w:rsidRPr="00A831E7">
        <w:t xml:space="preserve"> </w:t>
      </w:r>
      <w:r w:rsidR="00903A58" w:rsidRPr="00A831E7">
        <w:rPr>
          <w:rFonts w:eastAsia="Calibri"/>
        </w:rPr>
        <w:t xml:space="preserve">Παρότι η μελέτη των Wei et al. </w:t>
      </w:r>
      <w:r w:rsidR="00903A58" w:rsidRPr="00A831E7">
        <w:rPr>
          <w:rFonts w:eastAsia="Calibri"/>
        </w:rPr>
        <w:fldChar w:fldCharType="begin"/>
      </w:r>
      <w:r w:rsidR="00B22777" w:rsidRPr="00A831E7">
        <w:rPr>
          <w:rFonts w:eastAsia="Calibri"/>
        </w:rPr>
        <w:instrText xml:space="preserve"> ADDIN ZOTERO_ITEM CSL_CITATION {"citationID":"T4nRmC0E","properties":{"formattedCitation":"[77]","plainCitation":"[77]","noteIndex":0},"citationItems":[{"id":585,"uris":["http://zotero.org/users/local/mfHf28QG/items/PHBIWPGX"],"itemData":{"id":585,"type":"article-journal","abstract":"Purpose: The present study aimed to investigate the comprehensive differential expression profile of microRNAs (miRNAs) by screening for miRNA expression in ischemic stroke and normal samples., Methods: Differentially expressed miRNA (DEM) analysis was conducted using limma R Bioconductor package. Target genes of DEMs were identified from TargetScanHuman and miRTarBase databases. Functional enrichment analysis of the target genes was performed using clusterProfiler R Bioconductor package. The miRNA-based ischemic stroke diagnostic signature was constructed via logistic regression analysis., Results: Compared with the normal cohort, a total of 14 DEMs, including 5 up-regulated miRNAs and 9 down-regulated miRNAs, were identified in ischemic stroke patients. These DEMs have 1600 regulatory targets. Using a logistic regression model, the top five miRNAs were screened for constructing an miRNA-based ischemic stroke diagnostic signature. Using the miRNA–mRNA interaction pairs, two target genes (specificity protein 1 (SP1) and Argonaute 1 (AGO1)) were speculated to be the primary genes of ischemic stroke., Discussion and conclusion: Here, several potential miRNAs biomarkers were identified and an miRNA-based diagnostic signature for ischemic stroke was established, which can be a valuable reference for future clinical researches.","container-title":"Bioscience Reports","DOI":"10.1042/BSR20201154","ISSN":"0144-8463","issue":"8","journalAbbreviation":"Biosci Rep","note":"PMID: 32744319\nPMCID: PMC7432999","page":"BSR20201154","source":"PubMed Central","title":"Bioinformatics method combined with logistic regression analysis reveal potentially important miRNAs in ischemic stroke","volume":"40","author":[{"family":"Wei","given":"Zhiqiang"},{"family":"Qi","given":"Xingdi"},{"family":"Chen","given":"Yan"},{"family":"Xia","given":"Xiaoshuang"},{"family":"Zheng","given":"Boyu"},{"family":"Sun","given":"Xugang"},{"family":"Zhang","given":"Guangming"},{"family":"Wang","given":"Ling"},{"family":"Zhang","given":"Qi"},{"family":"Xu","given":"Chen"},{"family":"Jiang","given":"Shihe"},{"family":"Li","given":"Xiulian"},{"family":"Xie","given":"Bingxin"},{"family":"Liao","given":"Xiaohui"},{"family":"Zhu","given":"Ai"}],"issued":{"date-parts":[["2020",8,17]]}}}],"schema":"https://github.com/citation-style-language/schema/raw/master/csl-citation.json"} </w:instrText>
      </w:r>
      <w:r w:rsidR="00903A58" w:rsidRPr="00A831E7">
        <w:rPr>
          <w:rFonts w:eastAsia="Calibri"/>
        </w:rPr>
        <w:fldChar w:fldCharType="separate"/>
      </w:r>
      <w:r w:rsidR="00B22777" w:rsidRPr="00A831E7">
        <w:rPr>
          <w:rFonts w:eastAsia="Calibri"/>
        </w:rPr>
        <w:t>[77]</w:t>
      </w:r>
      <w:r w:rsidR="00903A58" w:rsidRPr="00A831E7">
        <w:rPr>
          <w:rFonts w:eastAsia="Calibri"/>
        </w:rPr>
        <w:fldChar w:fldCharType="end"/>
      </w:r>
      <w:r w:rsidR="00903A58" w:rsidRPr="00A831E7">
        <w:rPr>
          <w:rFonts w:eastAsia="Calibri"/>
        </w:rPr>
        <w:t xml:space="preserve"> χρησιμοποιεί βιοπληροφορική και στατιστική ανάλυση, η ενσωμάτωση της λογιστικής παλινδρόμησης, της διασταυρούμενης επικύρωσης και της προβλεπτικής μοντελοποίησης την καθιστά μέρος της μεθοδολογίας μηχανικής μάθησης.</w:t>
      </w:r>
      <w:r w:rsidRPr="00A831E7">
        <w:rPr>
          <w:rFonts w:eastAsia="Calibri"/>
        </w:rPr>
        <w:t xml:space="preserve"> </w:t>
      </w:r>
    </w:p>
    <w:p w14:paraId="3FA0EB74" w14:textId="7CD2C2F5" w:rsidR="00E40BAE" w:rsidRPr="00A831E7" w:rsidRDefault="00E40BAE" w:rsidP="0057069D">
      <w:pPr>
        <w:spacing w:line="360" w:lineRule="auto"/>
        <w:ind w:firstLine="720"/>
        <w:jc w:val="both"/>
        <w:rPr>
          <w:rFonts w:eastAsia="Calibri"/>
        </w:rPr>
      </w:pPr>
      <w:r w:rsidRPr="00A831E7">
        <w:rPr>
          <w:rFonts w:eastAsia="Calibri"/>
        </w:rPr>
        <w:t>Επιπλέον, οι δείκτες μεταβολισμού NAD+ (SESN3, HBQ1, PROS1, RFX2, κ.λπ.) πέτυχαν AUC = 0.7</w:t>
      </w:r>
      <w:r w:rsidR="00AA3EF8" w:rsidRPr="00A831E7">
        <w:rPr>
          <w:rFonts w:eastAsia="Calibri"/>
        </w:rPr>
        <w:t>3</w:t>
      </w:r>
      <w:r w:rsidRPr="00A831E7">
        <w:rPr>
          <w:rFonts w:eastAsia="Calibri"/>
        </w:rPr>
        <w:t>3, υποδηλώνοντας έναν μεταβολικό παράγοντα στην παθολογία του εγκεφαλικού</w:t>
      </w:r>
      <w:r w:rsidR="001D33A1">
        <w:rPr>
          <w:rFonts w:eastAsia="Calibri"/>
        </w:rPr>
        <w:t>,</w:t>
      </w:r>
      <w:r w:rsidR="001D33A1">
        <w:rPr>
          <w:rFonts w:eastAsia="Calibri"/>
          <w:lang w:val="en-US"/>
        </w:rPr>
        <w:t xml:space="preserve"> </w:t>
      </w:r>
      <w:r w:rsidR="001D33A1">
        <w:rPr>
          <w:rFonts w:eastAsia="Calibri"/>
        </w:rPr>
        <w:t>αλλά το μικρό σύνολο δοκιμής επιβάλει περαιτέρω επικύρωση</w:t>
      </w:r>
      <w:r w:rsidRPr="00A831E7">
        <w:rPr>
          <w:rFonts w:eastAsia="Calibri"/>
        </w:rPr>
        <w:t xml:space="preserve"> </w:t>
      </w:r>
      <w:r w:rsidR="00EB49C2" w:rsidRPr="00A831E7">
        <w:rPr>
          <w:rFonts w:eastAsia="Calibri"/>
        </w:rPr>
        <w:fldChar w:fldCharType="begin"/>
      </w:r>
      <w:r w:rsidR="00B22777" w:rsidRPr="00A831E7">
        <w:rPr>
          <w:rFonts w:eastAsia="Calibri"/>
        </w:rPr>
        <w:instrText xml:space="preserve"> ADDIN ZOTERO_ITEM CSL_CITATION {"citationID":"kTQ54Gfu","properties":{"formattedCitation":"[78]","plainCitation":"[78]","noteIndex":0},"citationItems":[{"id":359,"uris":["http://zotero.org/users/local/mfHf28QG/items/684W7TJH"],"itemData":{"id":359,"type":"article-journal","abstract":"Ischemic stroke (IS) is a severe condition regulated by complex molecular alterations. This study aimed to identify potential nicotinamide adenine dinucleotide (NAD+) metabolism-associated diagnostic markers of IS and explore their associations with immune dynamics. Weighted Gene Co-expression Network Analysis and single-sample gene set enrichment analysis (ssGSEA) were employed to identify key gene modules on the GEO dataset (GSE16561). LASSO regression was used to identify diagnostic genes. A diagnostic model was then developed using the training dataset, and its performance was assessed using a validation dataset (GSE22255 dataset). Associations between hub genes and immune cells, immune response genes, and human leukocyte antigen (HLA) genes were assessed by ssGSEA. A regulatory network was constructed using mirBase and TRRUST databases. A total of 20 NAD+ metabolic genes exhibited noteworthy expression variations. Within the module notably associated with NAD+ metabolism, 19 specific genes were included in the diagnostic model, which was validated on the GSE22255 dataset (AUC: 0.733). There were significant disparities in immune cell populations, immune response genes, and HLA gene expression, all of which were associated with the hub genes. A regulatory network composed of 153 edges and 103 nodes was constructed. This study advances our understanding of IS by providing insights into NAD+ metabolism and gene interactions, contributing to potential diagnostic innovations in IS.","container-title":"Experimental Gerontology","DOI":"10.1016/j.exger.2024.112584","ISSN":"0531-5565","journalAbbreviation":"Experimental Gerontology","page":"112584","source":"ScienceDirect","title":"Employ machine learning to identify NAD+ metabolism-related diagnostic markers for ischemic stroke and develop a diagnostic model","volume":"196","author":[{"family":"Sun","given":"Yameng"},{"family":"Ding","given":"Shenghao"},{"family":"Shen","given":"Fei"},{"family":"Yang","given":"Xiaolan"},{"family":"Sun","given":"Wenhua"},{"family":"Wan","given":"Jieqing"}],"issued":{"date-parts":[["2024",10,15]]}}}],"schema":"https://github.com/citation-style-language/schema/raw/master/csl-citation.json"} </w:instrText>
      </w:r>
      <w:r w:rsidR="00EB49C2" w:rsidRPr="00A831E7">
        <w:rPr>
          <w:rFonts w:eastAsia="Calibri"/>
        </w:rPr>
        <w:fldChar w:fldCharType="separate"/>
      </w:r>
      <w:r w:rsidR="00B22777" w:rsidRPr="00A831E7">
        <w:rPr>
          <w:rFonts w:eastAsia="Calibri"/>
        </w:rPr>
        <w:t>[78]</w:t>
      </w:r>
      <w:r w:rsidR="00EB49C2" w:rsidRPr="00A831E7">
        <w:rPr>
          <w:rFonts w:eastAsia="Calibri"/>
        </w:rPr>
        <w:fldChar w:fldCharType="end"/>
      </w:r>
      <w:r w:rsidRPr="00A831E7">
        <w:rPr>
          <w:rFonts w:eastAsia="Calibri"/>
        </w:rPr>
        <w:t>.</w:t>
      </w:r>
      <w:r w:rsidR="00903A58" w:rsidRPr="00A831E7">
        <w:rPr>
          <w:rFonts w:eastAsia="Calibri"/>
        </w:rPr>
        <w:t xml:space="preserve"> </w:t>
      </w:r>
      <w:r w:rsidR="009E7915" w:rsidRPr="00A831E7">
        <w:rPr>
          <w:rFonts w:eastAsia="Calibri"/>
        </w:rPr>
        <w:t xml:space="preserve">Η μελέτη χρησιμοποιεί τεχνικές μηχανικής μάθησης (ML), όπως WGCNA και LASSO </w:t>
      </w:r>
      <w:r w:rsidR="00185741">
        <w:rPr>
          <w:rFonts w:eastAsia="Calibri"/>
        </w:rPr>
        <w:t>παλινδρόμησης</w:t>
      </w:r>
      <w:r w:rsidR="009E7915" w:rsidRPr="00A831E7">
        <w:rPr>
          <w:rFonts w:eastAsia="Calibri"/>
        </w:rPr>
        <w:t>, για την επιλογή χαρακτηριστικών και ταξινόμηση. Επιπλέον, ενσωματώνει ssGSEA</w:t>
      </w:r>
      <w:r w:rsidR="00C405CF">
        <w:rPr>
          <w:rFonts w:eastAsia="Calibri"/>
          <w:lang w:val="en-US"/>
        </w:rPr>
        <w:t>(</w:t>
      </w:r>
      <w:r w:rsidR="00C405CF" w:rsidRPr="00C405CF">
        <w:rPr>
          <w:rFonts w:eastAsia="Calibri"/>
          <w:lang w:val="en-US"/>
        </w:rPr>
        <w:t>Single-sample Gene Set Enrichment Analysis</w:t>
      </w:r>
      <w:r w:rsidR="00C405CF">
        <w:rPr>
          <w:rFonts w:eastAsia="Calibri"/>
          <w:lang w:val="en-US"/>
        </w:rPr>
        <w:t>)</w:t>
      </w:r>
      <w:r w:rsidR="009E7915" w:rsidRPr="00A831E7">
        <w:rPr>
          <w:rFonts w:eastAsia="Calibri"/>
        </w:rPr>
        <w:t xml:space="preserve"> και διασταυρούμενη επικύρωση για τη βελτιστοποίηση προβλεπτικών </w:t>
      </w:r>
      <w:r w:rsidR="009E7915" w:rsidRPr="00A831E7">
        <w:rPr>
          <w:rFonts w:eastAsia="Calibri"/>
        </w:rPr>
        <w:lastRenderedPageBreak/>
        <w:t>μοντέλων, ενώ το διαγνωστικό μοντέλο των 19 γονιδίων μεταβολισμού NAD+ ενισχύει περαιτέρω την ML προσέγγιση της μελέτης.</w:t>
      </w:r>
    </w:p>
    <w:p w14:paraId="424C5E5D" w14:textId="35495266" w:rsidR="00E1623D" w:rsidRPr="00A831E7" w:rsidRDefault="00E40BAE" w:rsidP="0057069D">
      <w:pPr>
        <w:spacing w:line="360" w:lineRule="auto"/>
        <w:ind w:firstLine="720"/>
        <w:jc w:val="both"/>
        <w:rPr>
          <w:rFonts w:eastAsia="Calibri"/>
        </w:rPr>
      </w:pPr>
      <w:r w:rsidRPr="00A831E7">
        <w:rPr>
          <w:rFonts w:eastAsia="Calibri"/>
        </w:rPr>
        <w:t>Τέλος, ένα δικτυακό πάνελ έξι DEGs (ID3, MBTPS1, NOG, SFXN2, BMX, SLC22A1) αναλύθηκε μέσω υποστηρικτικών μηχανών (SVM), επιτυγχάνοντας προβλεπτική ακρίβεια 0.8</w:t>
      </w:r>
      <w:r w:rsidR="00AA3EF8" w:rsidRPr="00A831E7">
        <w:rPr>
          <w:rFonts w:eastAsia="Calibri"/>
        </w:rPr>
        <w:t>207</w:t>
      </w:r>
      <w:r w:rsidRPr="00A831E7">
        <w:rPr>
          <w:rFonts w:eastAsia="Calibri"/>
        </w:rPr>
        <w:t>, αν και η συγκρισιμότητ</w:t>
      </w:r>
      <w:r w:rsidR="001D6FFA">
        <w:rPr>
          <w:rFonts w:eastAsia="Calibri"/>
        </w:rPr>
        <w:t>ά</w:t>
      </w:r>
      <w:r w:rsidRPr="00A831E7">
        <w:rPr>
          <w:rFonts w:eastAsia="Calibri"/>
        </w:rPr>
        <w:t xml:space="preserve"> του με άλλα μοντέλα παραμένει περιορισμένη</w:t>
      </w:r>
      <w:r w:rsidR="00736941">
        <w:rPr>
          <w:rFonts w:eastAsia="Calibri"/>
          <w:lang w:val="en-US"/>
        </w:rPr>
        <w:t xml:space="preserve"> </w:t>
      </w:r>
      <w:r w:rsidR="00185741">
        <w:rPr>
          <w:rFonts w:eastAsia="Calibri"/>
        </w:rPr>
        <w:t xml:space="preserve">ενώ </w:t>
      </w:r>
      <w:r w:rsidR="00736941">
        <w:rPr>
          <w:rFonts w:eastAsia="Calibri"/>
        </w:rPr>
        <w:t xml:space="preserve">τα αποτελέσματα προέκυψαν από </w:t>
      </w:r>
      <w:r w:rsidR="00736941">
        <w:rPr>
          <w:rFonts w:eastAsia="Calibri"/>
          <w:lang w:val="en-US"/>
        </w:rPr>
        <w:t xml:space="preserve">cross-validation </w:t>
      </w:r>
      <w:r w:rsidR="00736941">
        <w:rPr>
          <w:rFonts w:eastAsia="Calibri"/>
        </w:rPr>
        <w:t>μέσα στο ίδιο σετ</w:t>
      </w:r>
      <w:r w:rsidRPr="00A831E7">
        <w:rPr>
          <w:rFonts w:eastAsia="Calibri"/>
        </w:rPr>
        <w:t xml:space="preserve"> </w:t>
      </w:r>
      <w:r w:rsidR="00EB49C2" w:rsidRPr="00A831E7">
        <w:rPr>
          <w:rFonts w:eastAsia="Calibri"/>
        </w:rPr>
        <w:fldChar w:fldCharType="begin"/>
      </w:r>
      <w:r w:rsidR="00B22777" w:rsidRPr="00A831E7">
        <w:rPr>
          <w:rFonts w:eastAsia="Calibri"/>
        </w:rPr>
        <w:instrText xml:space="preserve"> ADDIN ZOTERO_ITEM CSL_CITATION {"citationID":"h191hHvK","properties":{"formattedCitation":"[80]","plainCitation":"[80]","noteIndex":0},"citationItems":[{"id":510,"uris":["http://zotero.org/users/local/mfHf28QG/items/62MEESIZ"],"itemData":{"id":510,"type":"article-journal","abstract":"Identifying molecular biomarkers characteristic of ischemic stroke has the potential to aid in distinguishing stroke cases from stroke mimicking symptoms, as well as advancing the understanding of the physiological changes that underlie the body’s ...","container-title":"BMC Medical Genomics","DOI":"10.1186/s12920-019-0566-8","language":"en","note":"PMID: 31391037","page":"118","source":"pmc.ncbi.nlm.nih.gov","title":"Discovery of stroke-related blood biomarkers from gene expression network models","volume":"12","author":[{"family":"Theofilatos","given":"Konstantinos"},{"family":"Korfiati","given":"Aigli"},{"family":"Mavroudi","given":"Seferina"},{"family":"Cowperthwaite","given":"Matthew C."},{"family":"Shpak","given":"Max"}],"issued":{"date-parts":[["2019",8,7]]}}}],"schema":"https://github.com/citation-style-language/schema/raw/master/csl-citation.json"} </w:instrText>
      </w:r>
      <w:r w:rsidR="00EB49C2" w:rsidRPr="00A831E7">
        <w:rPr>
          <w:rFonts w:eastAsia="Calibri"/>
        </w:rPr>
        <w:fldChar w:fldCharType="separate"/>
      </w:r>
      <w:r w:rsidR="00B22777" w:rsidRPr="00A831E7">
        <w:rPr>
          <w:rFonts w:eastAsia="Calibri"/>
        </w:rPr>
        <w:t>[80]</w:t>
      </w:r>
      <w:r w:rsidR="00EB49C2" w:rsidRPr="00A831E7">
        <w:rPr>
          <w:rFonts w:eastAsia="Calibri"/>
        </w:rPr>
        <w:fldChar w:fldCharType="end"/>
      </w:r>
      <w:r w:rsidRPr="00A831E7">
        <w:rPr>
          <w:rFonts w:eastAsia="Calibri"/>
        </w:rPr>
        <w:t>.</w:t>
      </w:r>
      <w:r w:rsidR="009E7915" w:rsidRPr="00A831E7">
        <w:t xml:space="preserve"> </w:t>
      </w:r>
      <w:r w:rsidR="009E7915" w:rsidRPr="00A831E7">
        <w:rPr>
          <w:rFonts w:eastAsia="Calibri"/>
        </w:rPr>
        <w:t>Η μελέτη ενσωματώνει αλγόριθμους μηχανικής μάθησης (SVM, γενετική βελτιστοποίηση), διασταυρούμενη επικύρωση, ανάλυση δικτύου και επιλογή χαρακτηριστικών για τη βελτίωση της ανακάλυψης βιοδεικτών εγκεφαλικού επεισοδίου και της ταξινόμησής τους.</w:t>
      </w:r>
    </w:p>
    <w:p w14:paraId="4C211BF1" w14:textId="77777777" w:rsidR="00E1623D" w:rsidRPr="00A831E7" w:rsidRDefault="00E1623D" w:rsidP="00C7272A">
      <w:pPr>
        <w:spacing w:line="360" w:lineRule="auto"/>
        <w:jc w:val="both"/>
        <w:rPr>
          <w:rFonts w:eastAsia="Calibri"/>
        </w:rPr>
      </w:pPr>
    </w:p>
    <w:p w14:paraId="345AF1FF" w14:textId="1C922AA6" w:rsidR="00296CEA" w:rsidRPr="00A831E7" w:rsidRDefault="00296CEA" w:rsidP="0057069D">
      <w:pPr>
        <w:pStyle w:val="2"/>
        <w:spacing w:line="360" w:lineRule="auto"/>
        <w:rPr>
          <w:rFonts w:ascii="Times New Roman" w:hAnsi="Times New Roman" w:cs="Times New Roman"/>
          <w:b/>
          <w:bCs/>
          <w:i/>
          <w:iCs/>
          <w:color w:val="auto"/>
          <w:sz w:val="28"/>
          <w:szCs w:val="28"/>
        </w:rPr>
      </w:pPr>
      <w:bookmarkStart w:id="125" w:name="_Toc199787409"/>
      <w:bookmarkStart w:id="126" w:name="_Toc199946480"/>
      <w:r w:rsidRPr="00A831E7">
        <w:rPr>
          <w:rFonts w:ascii="Times New Roman" w:hAnsi="Times New Roman" w:cs="Times New Roman"/>
          <w:b/>
          <w:bCs/>
          <w:i/>
          <w:iCs/>
          <w:color w:val="auto"/>
          <w:sz w:val="28"/>
          <w:szCs w:val="28"/>
        </w:rPr>
        <w:t>4.4 Βιοδείκτες σε εφαρμογές Point-of-Care(PoC)</w:t>
      </w:r>
      <w:bookmarkEnd w:id="125"/>
      <w:bookmarkEnd w:id="126"/>
    </w:p>
    <w:p w14:paraId="1841549D" w14:textId="5CF7E3AF" w:rsidR="00E9361A" w:rsidRPr="00A831E7" w:rsidRDefault="00E9361A" w:rsidP="0057069D">
      <w:pPr>
        <w:spacing w:line="360" w:lineRule="auto"/>
        <w:ind w:firstLine="720"/>
        <w:jc w:val="both"/>
        <w:rPr>
          <w:rFonts w:eastAsia="Calibri"/>
        </w:rPr>
      </w:pPr>
      <w:r w:rsidRPr="00A831E7">
        <w:rPr>
          <w:rFonts w:eastAsia="Calibri"/>
        </w:rPr>
        <w:t>Οι τεχνολογίες Point-of-Care (PoC) έχουν αναδειχθεί ως μια καινοτόμος λύση στη διάγνωση εγκεφαλικού επεισοδίου, παρέχοντας άμεση ανίχνευση βιοδεικτών που συμπληρώνει τις παραδοσιακές μεθόδους νευροαπεικόνισης</w:t>
      </w:r>
      <w:r w:rsidR="00141AA4" w:rsidRPr="00A831E7">
        <w:rPr>
          <w:rFonts w:eastAsia="Calibri"/>
        </w:rPr>
        <w:t xml:space="preserve"> </w:t>
      </w:r>
      <w:r w:rsidR="00141AA4" w:rsidRPr="00A831E7">
        <w:rPr>
          <w:rFonts w:eastAsia="Calibri"/>
        </w:rPr>
        <w:fldChar w:fldCharType="begin"/>
      </w:r>
      <w:r w:rsidR="00141AA4" w:rsidRPr="00A831E7">
        <w:rPr>
          <w:rFonts w:eastAsia="Calibri"/>
        </w:rPr>
        <w:instrText xml:space="preserve"> ADDIN ZOTERO_ITEM CSL_CITATION {"citationID":"H7ORWF2j","properties":{"formattedCitation":"[12]","plainCitation":"[12]","noteIndex":0},"citationItems":[{"id":266,"uris":["http://zotero.org/users/local/mfHf28QG/items/7WV47UKH"],"itemData":{"id":266,"type":"article-journal","abstract":"Stroke,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Y."}],"issued":{"date-parts":[["2017",8,3]]}}}],"schema":"https://github.com/citation-style-language/schema/raw/master/csl-citation.json"} </w:instrText>
      </w:r>
      <w:r w:rsidR="00141AA4" w:rsidRPr="00A831E7">
        <w:rPr>
          <w:rFonts w:eastAsia="Calibri"/>
        </w:rPr>
        <w:fldChar w:fldCharType="separate"/>
      </w:r>
      <w:r w:rsidR="00141AA4" w:rsidRPr="00A831E7">
        <w:rPr>
          <w:rFonts w:eastAsia="Calibri"/>
        </w:rPr>
        <w:t>[12]</w:t>
      </w:r>
      <w:r w:rsidR="00141AA4" w:rsidRPr="00A831E7">
        <w:rPr>
          <w:rFonts w:eastAsia="Calibri"/>
        </w:rPr>
        <w:fldChar w:fldCharType="end"/>
      </w:r>
      <w:r w:rsidRPr="00A831E7">
        <w:rPr>
          <w:rFonts w:eastAsia="Calibri"/>
        </w:rPr>
        <w:t xml:space="preserve">. Δεδομένου ότι η έγκαιρη διάγνωση </w:t>
      </w:r>
      <w:r w:rsidR="0027217E" w:rsidRPr="00A831E7">
        <w:rPr>
          <w:rFonts w:eastAsia="Calibri"/>
        </w:rPr>
        <w:t>είναι</w:t>
      </w:r>
      <w:r w:rsidRPr="00A831E7">
        <w:rPr>
          <w:rFonts w:eastAsia="Calibri"/>
        </w:rPr>
        <w:t xml:space="preserve"> κρίσιμη  στη θεραπεία του εγκεφαλικού, οι PoC συσκευές προσφέρουν έναν αποτελεσματικό τρόπο πρώιμης ταξινόμησης </w:t>
      </w:r>
      <w:r w:rsidR="00F81FAC">
        <w:rPr>
          <w:rFonts w:eastAsia="Calibri"/>
        </w:rPr>
        <w:t xml:space="preserve">εγκεφαλικών επεισοδίων </w:t>
      </w:r>
      <w:r w:rsidR="00141AA4" w:rsidRPr="00A831E7">
        <w:rPr>
          <w:rFonts w:eastAsia="Calibri"/>
        </w:rPr>
        <w:fldChar w:fldCharType="begin"/>
      </w:r>
      <w:r w:rsidR="00141AA4" w:rsidRPr="00A831E7">
        <w:rPr>
          <w:rFonts w:eastAsia="Calibri"/>
        </w:rPr>
        <w:instrText xml:space="preserve"> ADDIN ZOTERO_ITEM CSL_CITATION {"citationID":"q3dDD0mC","properties":{"formattedCitation":"[12]","plainCitation":"[12]","noteIndex":0},"citationItems":[{"id":266,"uris":["http://zotero.org/users/local/mfHf28QG/items/7WV47UKH"],"itemData":{"id":266,"type":"article-journal","abstract":"Stroke,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Y."}],"issued":{"date-parts":[["2017",8,3]]}}}],"schema":"https://github.com/citation-style-language/schema/raw/master/csl-citation.json"} </w:instrText>
      </w:r>
      <w:r w:rsidR="00141AA4" w:rsidRPr="00A831E7">
        <w:rPr>
          <w:rFonts w:eastAsia="Calibri"/>
        </w:rPr>
        <w:fldChar w:fldCharType="separate"/>
      </w:r>
      <w:r w:rsidR="00141AA4" w:rsidRPr="00A831E7">
        <w:rPr>
          <w:rFonts w:eastAsia="Calibri"/>
        </w:rPr>
        <w:t>[12]</w:t>
      </w:r>
      <w:r w:rsidR="00141AA4" w:rsidRPr="00A831E7">
        <w:rPr>
          <w:rFonts w:eastAsia="Calibri"/>
        </w:rPr>
        <w:fldChar w:fldCharType="end"/>
      </w:r>
      <w:r w:rsidRPr="00A831E7">
        <w:rPr>
          <w:rFonts w:eastAsia="Calibri"/>
        </w:rPr>
        <w:t>.</w:t>
      </w:r>
    </w:p>
    <w:p w14:paraId="1D57D751" w14:textId="68E0B447" w:rsidR="00E9361A" w:rsidRPr="00A831E7" w:rsidRDefault="00E9361A" w:rsidP="0057069D">
      <w:pPr>
        <w:spacing w:line="360" w:lineRule="auto"/>
        <w:ind w:firstLine="720"/>
        <w:jc w:val="both"/>
        <w:rPr>
          <w:rFonts w:eastAsia="Calibri"/>
        </w:rPr>
      </w:pPr>
      <w:r w:rsidRPr="00A831E7">
        <w:rPr>
          <w:rFonts w:eastAsia="Calibri"/>
        </w:rPr>
        <w:t>Οι κλινικές μελέτες δείχνουν ότι οι PoC τεχνολογίες έχουν σημαντικό αντίκτυπο στην προνοσοκομειακή διαλογή εγκεφαλικών επεισοδίων, ιδιαίτερα μέσω της ενσωμάτωσής τους σε MSUs</w:t>
      </w:r>
      <w:r w:rsidR="00D43012" w:rsidRPr="00A831E7">
        <w:rPr>
          <w:rFonts w:eastAsia="Calibri"/>
        </w:rPr>
        <w:t xml:space="preserve"> και ασθενοφόρα</w:t>
      </w:r>
      <w:r w:rsidRPr="00A831E7">
        <w:rPr>
          <w:rFonts w:eastAsia="Calibri"/>
        </w:rPr>
        <w:t xml:space="preserve"> </w:t>
      </w:r>
      <w:r w:rsidR="00141AA4" w:rsidRPr="00A831E7">
        <w:rPr>
          <w:rFonts w:eastAsia="Calibri"/>
        </w:rPr>
        <w:fldChar w:fldCharType="begin"/>
      </w:r>
      <w:r w:rsidR="00141AA4" w:rsidRPr="00A831E7">
        <w:rPr>
          <w:rFonts w:eastAsia="Calibri"/>
        </w:rPr>
        <w:instrText xml:space="preserve"> ADDIN ZOTERO_ITEM CSL_CITATION {"citationID":"HkTWZdQz","properties":{"formattedCitation":"[12], [19]","plainCitation":"[12], [19]","noteIndex":0},"citationItems":[{"id":266,"uris":["http://zotero.org/users/local/mfHf28QG/items/7WV47UKH"],"itemData":{"id":266,"type":"article-journal","abstract":"Stroke,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MSU","volume":"24","author":[{"family":"Röhrs","given":"Kian","dropping-particle":"j"},{"family":"Audebert","given":"Heinrich"}],"issued":{"date-parts":[["2024",6,22]]}}}],"schema":"https://github.com/citation-style-language/schema/raw/master/csl-citation.json"} </w:instrText>
      </w:r>
      <w:r w:rsidR="00141AA4" w:rsidRPr="00A831E7">
        <w:rPr>
          <w:rFonts w:eastAsia="Calibri"/>
        </w:rPr>
        <w:fldChar w:fldCharType="separate"/>
      </w:r>
      <w:r w:rsidR="00141AA4" w:rsidRPr="00A831E7">
        <w:rPr>
          <w:rFonts w:eastAsia="Calibri"/>
        </w:rPr>
        <w:t>[12], [19]</w:t>
      </w:r>
      <w:r w:rsidR="00141AA4" w:rsidRPr="00A831E7">
        <w:rPr>
          <w:rFonts w:eastAsia="Calibri"/>
        </w:rPr>
        <w:fldChar w:fldCharType="end"/>
      </w:r>
      <w:r w:rsidRPr="00A831E7">
        <w:rPr>
          <w:rFonts w:eastAsia="Calibri"/>
        </w:rPr>
        <w:t xml:space="preserve">. Η δυνατότητα μέτρησης βιοδεικτών σε πραγματικό χρόνο έχει βελτιώσει περαιτέρω την ταξινόμηση εγκεφαλικών επεισοδίων, διευκολύνοντας τη διάκριση μεταξύ διαφορετικών υποτύπων και μειώνοντας τον κίνδυνο λανθασμένης διάγνωσης </w:t>
      </w:r>
      <w:r w:rsidR="00141AA4" w:rsidRPr="00A831E7">
        <w:rPr>
          <w:rFonts w:eastAsia="Calibri"/>
        </w:rPr>
        <w:fldChar w:fldCharType="begin"/>
      </w:r>
      <w:r w:rsidR="00141AA4" w:rsidRPr="00A831E7">
        <w:rPr>
          <w:rFonts w:eastAsia="Calibri"/>
        </w:rPr>
        <w:instrText xml:space="preserve"> ADDIN ZOTERO_ITEM CSL_CITATION {"citationID":"KsCutk9W","properties":{"formattedCitation":"[12], [19]","plainCitation":"[12], [19]","noteIndex":0},"citationItems":[{"id":266,"uris":["http://zotero.org/users/local/mfHf28QG/items/7WV47UKH"],"itemData":{"id":266,"type":"article-journal","abstract":"Stroke,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MSU","volume":"24","author":[{"family":"Röhrs","given":"Kian","dropping-particle":"j"},{"family":"Audebert","given":"Heinrich"}],"issued":{"date-parts":[["2024",6,22]]}}}],"schema":"https://github.com/citation-style-language/schema/raw/master/csl-citation.json"} </w:instrText>
      </w:r>
      <w:r w:rsidR="00141AA4" w:rsidRPr="00A831E7">
        <w:rPr>
          <w:rFonts w:eastAsia="Calibri"/>
        </w:rPr>
        <w:fldChar w:fldCharType="separate"/>
      </w:r>
      <w:r w:rsidR="00141AA4" w:rsidRPr="00A831E7">
        <w:rPr>
          <w:rFonts w:eastAsia="Calibri"/>
        </w:rPr>
        <w:t>[12], [19]</w:t>
      </w:r>
      <w:r w:rsidR="00141AA4" w:rsidRPr="00A831E7">
        <w:rPr>
          <w:rFonts w:eastAsia="Calibri"/>
        </w:rPr>
        <w:fldChar w:fldCharType="end"/>
      </w:r>
      <w:r w:rsidRPr="00A831E7">
        <w:rPr>
          <w:rFonts w:eastAsia="Calibri"/>
        </w:rPr>
        <w:t>.</w:t>
      </w:r>
    </w:p>
    <w:p w14:paraId="0D6446A9" w14:textId="110BD19A" w:rsidR="00E9361A" w:rsidRPr="00A831E7" w:rsidRDefault="00806A90" w:rsidP="0057069D">
      <w:pPr>
        <w:spacing w:line="360" w:lineRule="auto"/>
        <w:ind w:firstLine="720"/>
        <w:jc w:val="both"/>
        <w:rPr>
          <w:rFonts w:eastAsia="Calibri"/>
        </w:rPr>
      </w:pPr>
      <w:r w:rsidRPr="00A831E7">
        <w:rPr>
          <w:rFonts w:eastAsia="Calibri"/>
        </w:rPr>
        <w:t>Στις</w:t>
      </w:r>
      <w:r w:rsidR="00E9361A" w:rsidRPr="00A831E7">
        <w:rPr>
          <w:rFonts w:eastAsia="Calibri"/>
        </w:rPr>
        <w:t xml:space="preserve"> </w:t>
      </w:r>
      <w:r w:rsidRPr="00A831E7">
        <w:rPr>
          <w:rFonts w:eastAsia="Calibri"/>
        </w:rPr>
        <w:t>περιπτώσεις</w:t>
      </w:r>
      <w:r w:rsidR="00E9361A" w:rsidRPr="00A831E7">
        <w:rPr>
          <w:rFonts w:eastAsia="Calibri"/>
        </w:rPr>
        <w:t xml:space="preserve"> </w:t>
      </w:r>
      <w:r w:rsidRPr="00A831E7">
        <w:rPr>
          <w:rFonts w:eastAsia="Calibri"/>
        </w:rPr>
        <w:t xml:space="preserve">ισχαιμικού επεισοδίου όπου χρειάζεται χορήγηση </w:t>
      </w:r>
      <w:r w:rsidR="00E9361A" w:rsidRPr="00A831E7">
        <w:rPr>
          <w:rFonts w:eastAsia="Calibri"/>
        </w:rPr>
        <w:t xml:space="preserve">IV-tPA, </w:t>
      </w:r>
      <w:r w:rsidRPr="00A831E7">
        <w:rPr>
          <w:rFonts w:eastAsia="Calibri"/>
        </w:rPr>
        <w:t>απαιτούνται</w:t>
      </w:r>
      <w:r w:rsidR="00E9361A" w:rsidRPr="00A831E7">
        <w:rPr>
          <w:rFonts w:eastAsia="Calibri"/>
        </w:rPr>
        <w:t xml:space="preserve"> </w:t>
      </w:r>
      <w:r w:rsidRPr="00A831E7">
        <w:rPr>
          <w:rFonts w:eastAsia="Calibri"/>
        </w:rPr>
        <w:t>βασικές εργαστηριακές εξετάσεις όπως</w:t>
      </w:r>
      <w:r w:rsidR="00E9361A" w:rsidRPr="00A831E7">
        <w:rPr>
          <w:rFonts w:eastAsia="Calibri"/>
        </w:rPr>
        <w:t xml:space="preserve"> INR (international normalized ratio) και APTT (activated partial thromboplastin time), </w:t>
      </w:r>
      <w:r w:rsidRPr="00A831E7">
        <w:rPr>
          <w:rFonts w:eastAsia="Calibri"/>
        </w:rPr>
        <w:t>γενική αίματος (αριθμός αιμοπεταλίων, λευκών και ερυθρών</w:t>
      </w:r>
      <w:r w:rsidR="00C14CC6">
        <w:rPr>
          <w:rFonts w:eastAsia="Calibri"/>
        </w:rPr>
        <w:t xml:space="preserve"> αιμοσφαιρίων</w:t>
      </w:r>
      <w:r w:rsidRPr="00A831E7">
        <w:rPr>
          <w:rFonts w:eastAsia="Calibri"/>
        </w:rPr>
        <w:t>) και βιοχημικές αναλύσεις (αιμοσφαιρίνη, γλυκόζη, γ-γλουταμυλτρανσφεράση και παγκρεατική αμυλάση).</w:t>
      </w:r>
      <w:r w:rsidR="0027217E" w:rsidRPr="00A831E7">
        <w:rPr>
          <w:rFonts w:eastAsia="Calibri"/>
        </w:rPr>
        <w:t xml:space="preserve"> </w:t>
      </w:r>
      <w:r w:rsidR="00E9361A" w:rsidRPr="00A831E7">
        <w:rPr>
          <w:rFonts w:eastAsia="Calibri"/>
        </w:rPr>
        <w:t xml:space="preserve">Συχνά στο νοσοκομειακό περιβάλλον δεν γίνονται όλες και ενδέχεται να χορηγηθεί θρομβολυτική θεραπεία βασισμένη σε διάγνωση με απλές κλίμακες, όπως η NIHSS, πριν ολοκληρωθούν οι εξετάσεις </w:t>
      </w:r>
      <w:r w:rsidR="00141AA4" w:rsidRPr="00A831E7">
        <w:rPr>
          <w:rFonts w:eastAsia="Calibri"/>
        </w:rPr>
        <w:fldChar w:fldCharType="begin"/>
      </w:r>
      <w:r w:rsidR="00141AA4" w:rsidRPr="00A831E7">
        <w:rPr>
          <w:rFonts w:eastAsia="Calibri"/>
        </w:rPr>
        <w:instrText xml:space="preserve"> ADDIN ZOTERO_ITEM CSL_CITATION {"citationID":"Id8zPEX2","properties":{"formattedCitation":"[12]","plainCitation":"[12]","noteIndex":0},"citationItems":[{"id":266,"uris":["http://zotero.org/users/local/mfHf28QG/items/7WV47UKH"],"itemData":{"id":266,"type":"article-journal","abstract":"Stroke,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Y."}],"issued":{"date-parts":[["2017",8,3]]}}}],"schema":"https://github.com/citation-style-language/schema/raw/master/csl-citation.json"} </w:instrText>
      </w:r>
      <w:r w:rsidR="00141AA4" w:rsidRPr="00A831E7">
        <w:rPr>
          <w:rFonts w:eastAsia="Calibri"/>
        </w:rPr>
        <w:fldChar w:fldCharType="separate"/>
      </w:r>
      <w:r w:rsidR="00141AA4" w:rsidRPr="00A831E7">
        <w:rPr>
          <w:rFonts w:eastAsia="Calibri"/>
        </w:rPr>
        <w:t>[12]</w:t>
      </w:r>
      <w:r w:rsidR="00141AA4" w:rsidRPr="00A831E7">
        <w:rPr>
          <w:rFonts w:eastAsia="Calibri"/>
        </w:rPr>
        <w:fldChar w:fldCharType="end"/>
      </w:r>
      <w:r w:rsidR="00E9361A" w:rsidRPr="00A831E7">
        <w:rPr>
          <w:rFonts w:eastAsia="Calibri"/>
        </w:rPr>
        <w:t>.</w:t>
      </w:r>
      <w:r w:rsidR="009A631D" w:rsidRPr="00A831E7">
        <w:rPr>
          <w:rFonts w:eastAsia="Calibri"/>
        </w:rPr>
        <w:t xml:space="preserve"> Σε κάποιες περιπτώσεις αυτή η πρακτική οδηγεί σε λάθος διάγνωση</w:t>
      </w:r>
      <w:r w:rsidR="00141AA4" w:rsidRPr="00A831E7">
        <w:rPr>
          <w:rFonts w:eastAsia="Calibri"/>
        </w:rPr>
        <w:t xml:space="preserve"> </w:t>
      </w:r>
      <w:r w:rsidR="00141AA4" w:rsidRPr="00A831E7">
        <w:rPr>
          <w:rFonts w:eastAsia="Calibri"/>
        </w:rPr>
        <w:fldChar w:fldCharType="begin"/>
      </w:r>
      <w:r w:rsidR="00141AA4" w:rsidRPr="00A831E7">
        <w:rPr>
          <w:rFonts w:eastAsia="Calibri"/>
        </w:rPr>
        <w:instrText xml:space="preserve"> ADDIN ZOTERO_ITEM CSL_CITATION {"citationID":"EMEOAUJK","properties":{"formattedCitation":"[12]","plainCitation":"[12]","noteIndex":0},"citationItems":[{"id":266,"uris":["http://zotero.org/users/local/mfHf28QG/items/7WV47UKH"],"itemData":{"id":266,"type":"article-journal","abstract":"Stroke,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Y."}],"issued":{"date-parts":[["2017",8,3]]}}}],"schema":"https://github.com/citation-style-language/schema/raw/master/csl-citation.json"} </w:instrText>
      </w:r>
      <w:r w:rsidR="00141AA4" w:rsidRPr="00A831E7">
        <w:rPr>
          <w:rFonts w:eastAsia="Calibri"/>
        </w:rPr>
        <w:fldChar w:fldCharType="separate"/>
      </w:r>
      <w:r w:rsidR="00141AA4" w:rsidRPr="00A831E7">
        <w:rPr>
          <w:rFonts w:eastAsia="Calibri"/>
        </w:rPr>
        <w:t>[12]</w:t>
      </w:r>
      <w:r w:rsidR="00141AA4" w:rsidRPr="00A831E7">
        <w:rPr>
          <w:rFonts w:eastAsia="Calibri"/>
        </w:rPr>
        <w:fldChar w:fldCharType="end"/>
      </w:r>
      <w:r w:rsidR="009A631D" w:rsidRPr="00A831E7">
        <w:rPr>
          <w:rFonts w:eastAsia="Calibri"/>
        </w:rPr>
        <w:t>.</w:t>
      </w:r>
      <w:r w:rsidR="00E9361A" w:rsidRPr="00A831E7">
        <w:rPr>
          <w:rFonts w:eastAsia="Calibri"/>
        </w:rPr>
        <w:t xml:space="preserve"> Επομένως είναι κρίσιμο οι εξετάσεις αυτές ή η διάγνωση με </w:t>
      </w:r>
      <w:r w:rsidR="00E9361A" w:rsidRPr="00A831E7">
        <w:rPr>
          <w:rFonts w:eastAsia="Calibri"/>
        </w:rPr>
        <w:lastRenderedPageBreak/>
        <w:t>βιοδείκτες να γίνει πριν από την άφιξη στο νοσοκομείο σε MSUs ή με χρήση PoCT συσκευών σε ασθενοφόρα ή και</w:t>
      </w:r>
      <w:r w:rsidR="00F81FAC">
        <w:rPr>
          <w:rFonts w:eastAsia="Calibri"/>
        </w:rPr>
        <w:t xml:space="preserve"> </w:t>
      </w:r>
      <w:r w:rsidR="00F81FAC" w:rsidRPr="00A831E7">
        <w:rPr>
          <w:rFonts w:eastAsia="Calibri"/>
        </w:rPr>
        <w:t>«bedside»</w:t>
      </w:r>
      <w:r w:rsidR="00E9361A" w:rsidRPr="00A831E7">
        <w:rPr>
          <w:rFonts w:eastAsia="Calibri"/>
        </w:rPr>
        <w:t xml:space="preserve"> στην μονάδα </w:t>
      </w:r>
      <w:r w:rsidR="00445BD0" w:rsidRPr="00A831E7">
        <w:rPr>
          <w:rFonts w:eastAsia="Calibri"/>
        </w:rPr>
        <w:t>επειγόντων</w:t>
      </w:r>
      <w:r w:rsidR="00E9361A" w:rsidRPr="00A831E7">
        <w:rPr>
          <w:rFonts w:eastAsia="Calibri"/>
        </w:rPr>
        <w:t xml:space="preserve"> περιστατικών</w:t>
      </w:r>
      <w:r w:rsidR="00C14CC6">
        <w:rPr>
          <w:rFonts w:eastAsia="Calibri"/>
        </w:rPr>
        <w:t>, δηλαδή</w:t>
      </w:r>
      <w:r w:rsidR="00E9361A" w:rsidRPr="00A831E7">
        <w:rPr>
          <w:rFonts w:eastAsia="Calibri"/>
        </w:rPr>
        <w:t xml:space="preserve"> δίπλα στον ασθενή. Σε </w:t>
      </w:r>
      <w:r w:rsidR="00141AA4" w:rsidRPr="00A831E7">
        <w:rPr>
          <w:rFonts w:eastAsia="Calibri"/>
        </w:rPr>
        <w:t>μια</w:t>
      </w:r>
      <w:r w:rsidR="00E9361A" w:rsidRPr="00A831E7">
        <w:rPr>
          <w:rFonts w:eastAsia="Calibri"/>
        </w:rPr>
        <w:t xml:space="preserve"> μελέτη, οι ερευνητές</w:t>
      </w:r>
      <w:r w:rsidR="00F81FAC">
        <w:rPr>
          <w:rFonts w:eastAsia="Calibri"/>
        </w:rPr>
        <w:t xml:space="preserve"> πραγματοποίησαν σύγκριση </w:t>
      </w:r>
      <w:r w:rsidR="00E9361A" w:rsidRPr="00A831E7">
        <w:rPr>
          <w:rFonts w:eastAsia="Calibri"/>
        </w:rPr>
        <w:t xml:space="preserve"> τ</w:t>
      </w:r>
      <w:r w:rsidR="00F81FAC">
        <w:rPr>
          <w:rFonts w:eastAsia="Calibri"/>
        </w:rPr>
        <w:t>ων</w:t>
      </w:r>
      <w:r w:rsidR="00E9361A" w:rsidRPr="00A831E7">
        <w:rPr>
          <w:rFonts w:eastAsia="Calibri"/>
        </w:rPr>
        <w:t xml:space="preserve"> αποτελ</w:t>
      </w:r>
      <w:r w:rsidR="00F81FAC">
        <w:rPr>
          <w:rFonts w:eastAsia="Calibri"/>
        </w:rPr>
        <w:t>ε</w:t>
      </w:r>
      <w:r w:rsidR="00E9361A" w:rsidRPr="00A831E7">
        <w:rPr>
          <w:rFonts w:eastAsia="Calibri"/>
        </w:rPr>
        <w:t>σμ</w:t>
      </w:r>
      <w:r w:rsidR="00F81FAC">
        <w:rPr>
          <w:rFonts w:eastAsia="Calibri"/>
        </w:rPr>
        <w:t>ά</w:t>
      </w:r>
      <w:r w:rsidR="00E9361A" w:rsidRPr="00A831E7">
        <w:rPr>
          <w:rFonts w:eastAsia="Calibri"/>
        </w:rPr>
        <w:t>τ</w:t>
      </w:r>
      <w:r w:rsidR="00F81FAC">
        <w:rPr>
          <w:rFonts w:eastAsia="Calibri"/>
        </w:rPr>
        <w:t>ων</w:t>
      </w:r>
      <w:r w:rsidR="00E9361A" w:rsidRPr="00A831E7">
        <w:rPr>
          <w:rFonts w:eastAsia="Calibri"/>
        </w:rPr>
        <w:t xml:space="preserve"> PoCT</w:t>
      </w:r>
      <w:r w:rsidR="00F81FAC">
        <w:rPr>
          <w:rFonts w:eastAsia="Calibri"/>
        </w:rPr>
        <w:t xml:space="preserve"> συσκευών</w:t>
      </w:r>
      <w:r w:rsidR="00E9361A" w:rsidRPr="00A831E7">
        <w:rPr>
          <w:rFonts w:eastAsia="Calibri"/>
        </w:rPr>
        <w:t xml:space="preserve"> με εκείνα του κεντρικού</w:t>
      </w:r>
      <w:r w:rsidR="00F81FAC">
        <w:rPr>
          <w:rFonts w:eastAsia="Calibri"/>
        </w:rPr>
        <w:t xml:space="preserve"> νοσοκομειακού</w:t>
      </w:r>
      <w:r w:rsidR="00E9361A" w:rsidRPr="00A831E7">
        <w:rPr>
          <w:rFonts w:eastAsia="Calibri"/>
        </w:rPr>
        <w:t xml:space="preserve"> εργαστηρίου </w:t>
      </w:r>
      <w:r w:rsidR="00141AA4" w:rsidRPr="00A831E7">
        <w:rPr>
          <w:rFonts w:eastAsia="Calibri"/>
        </w:rPr>
        <w:t>και</w:t>
      </w:r>
      <w:r w:rsidR="00E9361A" w:rsidRPr="00A831E7">
        <w:rPr>
          <w:rFonts w:eastAsia="Calibri"/>
        </w:rPr>
        <w:t xml:space="preserve"> </w:t>
      </w:r>
      <w:r w:rsidR="00141AA4" w:rsidRPr="00A831E7">
        <w:rPr>
          <w:rFonts w:eastAsia="Calibri"/>
        </w:rPr>
        <w:t>δ</w:t>
      </w:r>
      <w:r w:rsidR="00E9361A" w:rsidRPr="00A831E7">
        <w:rPr>
          <w:rFonts w:eastAsia="Calibri"/>
        </w:rPr>
        <w:t>ιαπίστωσαν ότι η χρήση PoCT αντί του κεντρικού εργαστηρίου μείωσε τον χρόνο έναρξης θεραπείας από 84 ± 26 σε 40 ± 24 λεπτά (p &lt; 0.001), ενώ τα αποτελέσματα των περισσότερων εργαστηριακών εξετάσεων (εκτός από APTT και INR) ήταν σχεδόν ταυτόσημα με εκείνα του κλα</w:t>
      </w:r>
      <w:r w:rsidR="00F81FAC">
        <w:rPr>
          <w:rFonts w:eastAsia="Calibri"/>
        </w:rPr>
        <w:t>σ</w:t>
      </w:r>
      <w:r w:rsidR="00E9361A" w:rsidRPr="00A831E7">
        <w:rPr>
          <w:rFonts w:eastAsia="Calibri"/>
        </w:rPr>
        <w:t xml:space="preserve">σικού </w:t>
      </w:r>
      <w:r w:rsidR="00F81FAC">
        <w:rPr>
          <w:rFonts w:eastAsia="Calibri"/>
        </w:rPr>
        <w:t xml:space="preserve">κλινικού </w:t>
      </w:r>
      <w:r w:rsidR="00E9361A" w:rsidRPr="00A831E7">
        <w:rPr>
          <w:rFonts w:eastAsia="Calibri"/>
        </w:rPr>
        <w:t>εργαστηρίου</w:t>
      </w:r>
      <w:r w:rsidR="00141AA4" w:rsidRPr="00A831E7">
        <w:rPr>
          <w:rFonts w:eastAsia="Calibri"/>
        </w:rPr>
        <w:t xml:space="preserve"> </w:t>
      </w:r>
      <w:r w:rsidR="00141AA4" w:rsidRPr="00A831E7">
        <w:rPr>
          <w:rFonts w:eastAsia="Calibri"/>
        </w:rPr>
        <w:fldChar w:fldCharType="begin"/>
      </w:r>
      <w:r w:rsidR="00B22777" w:rsidRPr="00A831E7">
        <w:rPr>
          <w:rFonts w:eastAsia="Calibri"/>
        </w:rPr>
        <w:instrText xml:space="preserve"> ADDIN ZOTERO_ITEM CSL_CITATION {"citationID":"jcsTOOyf","properties":{"formattedCitation":"[84]","plainCitation":"[84]","noteIndex":0},"citationItems":[{"id":1731,"uris":["http://zotero.org/users/local/mfHf28QG/items/SUAH3VUA"],"itemData":{"id":1731,"type":"article-journal","abstract":"PURPOSE: Our goal is to provide an overview of the current evidence about components of the evaluation and treatment of adults with acute ischemic stroke. The intended audience is physicians and other emergency healthcare providers who treat patients within the first 48 hours after stroke. In addition, information for healthcare policy makers is included.\nMETHODS: Members of the panel were appointed by the American Heart Association Stroke Council's Scientific Statement Oversight Committee and represented different areas of expertise. The panel reviewed the relevant literature with an emphasis on reports published since 2003 and used the American Heart Association Stroke Council's Levels of Evidence grading algorithm to rate the evidence and to make recommendations. After approval of the statement by the panel, it underwent peer review and approval by the American Heart Association Science Advisory and Coordinating Committee. It is intended that this guideline be fully updated in 3 years.\nRESULTS: Management of patients with acute ischemic stroke remains multifaceted and includes several aspects of care that have not been tested in clinical trials. This statement includes recommendations for management from the first contact by emergency medical services personnel through initial admission to the hospital. Intravenous administration of recombinant tissue plasminogen activator remains the most beneficial proven intervention for emergency treatment of stroke. Several interventions, including intra-arterial administration of thrombolytic agents and mechanical interventions, show promise. Because many of the recommendations are based on limited data, additional research on treatment of acute ischemic stroke is needed.","container-title":"Circulation","DOI":"10.1161/CIRCULATIONAHA.107.181486","ISSN":"1524-4539","issue":"20","journalAbbreviation":"Circulation","language":"eng","note":"PMID: 17515473","page":"e478-534","source":"PubMed","title":"Guidelines for the early management of adults with ischemic stroke: a guideline from the American Heart Association/American Stroke Association Stroke Council, Clinical Cardiology Council, Cardiovascular Radiology and Intervention Council, and the Atherosclerotic Peripheral Vascular Disease and Quality of Care Outcomes in Research Interdisciplinary Working Groups: The American Academy of Neurology affirms the value of this guideline as an educational tool for neurologists","title-short":"Guidelines for the early management of adults with ischemic stroke","volume":"115","author":[{"family":"Adams","given":"Harold P."},{"family":"Zoppo","given":"Gregory","non-dropping-particle":"del"},{"family":"Alberts","given":"Mark J."},{"family":"Bhatt","given":"Deepak L."},{"family":"Brass","given":"Lawrence"},{"family":"Furlan","given":"Anthony"},{"family":"Grubb","given":"Robert L."},{"family":"Higashida","given":"Randall T."},{"family":"Jauch","given":"Edward C."},{"family":"Kidwell","given":"Chelsea"},{"family":"Lyden","given":"Patrick D."},{"family":"Morgenstern","given":"Lewis B."},{"family":"Qureshi","given":"Adnan I."},{"family":"Rosenwasser","given":"Robert H."},{"family":"Scott","given":"Phillip A."},{"family":"Wijdicks","given":"Eelco F. M."},{"literal":"American Heart Association/American Stroke Association Stroke Council"},{"literal":"American Heart Association/American Stroke Association Clinical Cardiology Council"},{"literal":"American Heart Association/American Stroke Association Cardiovascular Radiology and Intervention Council"},{"literal":"Atherosclerotic Peripheral Vascular Disease Working Group"},{"literal":"Quality of Care Outcomes in Research Interdisciplinary Working Group"}],"issued":{"date-parts":[["2007",5,22]]}}}],"schema":"https://github.com/citation-style-language/schema/raw/master/csl-citation.json"} </w:instrText>
      </w:r>
      <w:r w:rsidR="00141AA4" w:rsidRPr="00A831E7">
        <w:rPr>
          <w:rFonts w:eastAsia="Calibri"/>
        </w:rPr>
        <w:fldChar w:fldCharType="separate"/>
      </w:r>
      <w:r w:rsidR="00B22777" w:rsidRPr="00A831E7">
        <w:rPr>
          <w:rFonts w:eastAsia="Calibri"/>
        </w:rPr>
        <w:t>[84]</w:t>
      </w:r>
      <w:r w:rsidR="00141AA4" w:rsidRPr="00A831E7">
        <w:rPr>
          <w:rFonts w:eastAsia="Calibri"/>
        </w:rPr>
        <w:fldChar w:fldCharType="end"/>
      </w:r>
      <w:r w:rsidR="00E9361A" w:rsidRPr="00A831E7">
        <w:rPr>
          <w:rFonts w:eastAsia="Calibri"/>
        </w:rPr>
        <w:t>.</w:t>
      </w:r>
    </w:p>
    <w:p w14:paraId="3DC4D2FF" w14:textId="46BEAA71" w:rsidR="003E2610" w:rsidRPr="00A831E7" w:rsidRDefault="00E9361A" w:rsidP="0057069D">
      <w:pPr>
        <w:spacing w:line="360" w:lineRule="auto"/>
        <w:ind w:firstLine="720"/>
        <w:jc w:val="both"/>
        <w:rPr>
          <w:rFonts w:eastAsia="Calibri"/>
        </w:rPr>
      </w:pPr>
      <w:r w:rsidRPr="00A831E7">
        <w:rPr>
          <w:rFonts w:eastAsia="Calibri"/>
        </w:rPr>
        <w:t>Το εγκεφαλικό επεισόδιο περιλαμβάνει πολύπλοκες βιοχημικές διεργασίες, οδηγώντας σε ένα ευρύ φάσμα πιθανών βιοδεικτών</w:t>
      </w:r>
      <w:r w:rsidR="003E2610" w:rsidRPr="00A831E7">
        <w:rPr>
          <w:rFonts w:eastAsia="Calibri"/>
        </w:rPr>
        <w:t xml:space="preserve"> </w:t>
      </w:r>
      <w:r w:rsidR="00141AA4" w:rsidRPr="00A831E7">
        <w:rPr>
          <w:rFonts w:eastAsia="Calibri"/>
        </w:rPr>
        <w:t xml:space="preserve"> </w:t>
      </w:r>
      <w:r w:rsidR="003E2610" w:rsidRPr="00A831E7">
        <w:rPr>
          <w:rFonts w:eastAsia="Calibri"/>
        </w:rPr>
        <w:t>(</w:t>
      </w:r>
      <w:r w:rsidR="003E2610" w:rsidRPr="00A831E7">
        <w:rPr>
          <w:rFonts w:eastAsia="Calibri"/>
          <w:i/>
          <w:iCs/>
        </w:rPr>
        <w:t>Πίνακες 15 &amp; 16</w:t>
      </w:r>
      <w:r w:rsidR="003E2610" w:rsidRPr="00A831E7">
        <w:rPr>
          <w:rFonts w:eastAsia="Calibri"/>
        </w:rPr>
        <w:t>)</w:t>
      </w:r>
      <w:r w:rsidRPr="00A831E7">
        <w:rPr>
          <w:rFonts w:eastAsia="Calibri"/>
        </w:rPr>
        <w:t xml:space="preserve">, των οποίων η κλινική αξία εξακολουθεί να διερευνάται. </w:t>
      </w:r>
      <w:r w:rsidR="00C14CC6">
        <w:rPr>
          <w:rFonts w:eastAsia="Calibri"/>
        </w:rPr>
        <w:t>Οι</w:t>
      </w:r>
      <w:r w:rsidR="003E2610" w:rsidRPr="00A831E7">
        <w:rPr>
          <w:rFonts w:eastAsia="Calibri"/>
        </w:rPr>
        <w:t xml:space="preserve"> νεότερες εξελίξεις δείχνουν ότι η ενσωμάτωση καινοτόμων βιοδεικτών σε PoCT συσκευές</w:t>
      </w:r>
      <w:r w:rsidR="00141AA4" w:rsidRPr="00A831E7">
        <w:rPr>
          <w:rFonts w:eastAsia="Calibri"/>
        </w:rPr>
        <w:t xml:space="preserve"> αποτελεί έναν αναδυόμενο ερευνητικό τομέα</w:t>
      </w:r>
      <w:r w:rsidR="003E2610" w:rsidRPr="00A831E7">
        <w:rPr>
          <w:rFonts w:eastAsia="Calibri"/>
        </w:rPr>
        <w:t>. Σύμφωνα με πρόσφατες μελέτες</w:t>
      </w:r>
      <w:r w:rsidR="00141AA4" w:rsidRPr="00A831E7">
        <w:rPr>
          <w:rFonts w:eastAsia="Calibri"/>
        </w:rPr>
        <w:t xml:space="preserve"> </w:t>
      </w:r>
      <w:r w:rsidR="00141AA4" w:rsidRPr="00A831E7">
        <w:rPr>
          <w:rFonts w:eastAsia="Calibri"/>
        </w:rPr>
        <w:fldChar w:fldCharType="begin"/>
      </w:r>
      <w:r w:rsidR="00B22777" w:rsidRPr="00A831E7">
        <w:rPr>
          <w:rFonts w:eastAsia="Calibri"/>
        </w:rPr>
        <w:instrText xml:space="preserve"> ADDIN ZOTERO_ITEM CSL_CITATION {"citationID":"Yiq5KUeQ","properties":{"formattedCitation":"[12], [64], [85]","plainCitation":"[12], [64], [85]","noteIndex":0},"citationItems":[{"id":266,"uris":["http://zotero.org/users/local/mfHf28QG/items/7WV47UKH"],"itemData":{"id":266,"type":"article-journal","abstract":"Stroke,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Y."}],"issued":{"date-parts":[["2017",8,3]]}}},{"id":355,"uris":["http://zotero.org/users/local/mfHf28QG/items/ZGPB4CMC"],"itemData":{"id":355,"type":"article-journal","abstract":"Surface-plasmon-resonance (SPR) is a quantum-electromagnetic phenomenon arising from the interaction of light with free electrons at a metal-dielectric interface. At a specific angle/wavelength of light, the photon’s energy is transferred to excite ...","container-title":"Sensors (Basel, Switzerland)","DOI":"10.3390/s19112533","issue":"11","language":"en","note":"PMID: 31163612","page":"2533","source":"pmc.ncbi.nlm.nih.gov","title":"Point-of-Care Surface Plasmon Resonance Biosensor for Stroke Biomarkers NT-proBNP and S100β Using a Functionalized Gold Chip with Specific Antibody","volume":"19","author":[{"family":"Harpaz","given":"Dorin"},{"family":"Koh","given":"Brescia"},{"family":"Marks","given":"Robert S."},{"family":"Seet","given":"Raymond CS"},{"family":"Abdulhalim","given":"Ibrahim"},{"family":"Tok","given":"Alfred IY"}],"issued":{"date-parts":[["2019",6,3]]}}},{"id":125,"uris":["http://zotero.org/users/local/mfHf28QG/items/44DISKZG"],"itemData":{"id":125,"type":"article-journal","abstract":"Stroke ranks as the second leading cause of disability and mortality globally. Biomarker detection represents a promising avenue for predicting disease severity and prognosis. The expression levels of metalloproteinase-9 (MMP-9), neuron-specific enolase (NSE), and N-terminal pro-brain natriuretic peptide (NT-pro BNP) in blood correlate with stroke severity. Hence, monitoring these biomarkers is crucial for stroke diagnosis and management. Point-of-care testing (POCT) offers on-site diagnostic capabilities, with lateral flow immunoassay (LFIA) being the most widely used method currently. However, traditional LFIA sensitivity requires enhancement. This study introduces an ultra-sensitive surface-enhanced Raman scattering-based lateral flow immunoassay (SERS-based LFIA) strip for simultaneous detection of the three stroke biomarkers using SERS immune tags. Bimetallic core-shell structured SERS immune tags leverage the advantages of two metals, ensuring stability and enhancing Raman signals through plasmon resonance. This development of a POCT based on SERS-based LFIA strips offers rapid, sensitive, and multiplex detection of stroke biomarkers. The limits of detection (LODs) for MMP-9, NSE, and NT-pro BNP were 0.00020 ng mL−1, 0.00016 ng mL−1, and 0.00012 ng mL−1, respectively. Furthermore, enzyme-linked immunosorbent assay (ELISA) validated the accuracy of SERS-based LFIA. Clinical sample analysis demonstrated consistency between outcomes obtained by SERS-based LFIA and ELISA. Thus, SERS-based LFIA presents a novel POCT approach for stroke diagnosis.","container-title":"Talanta","DOI":"10.1016/j.talanta.2024.127166","ISSN":"0039-9140","journalAbbreviation":"Talanta","page":"127166","source":"ScienceDirect","title":"A colorimetric and SERS-based LFIA for sensitive and simultaneous detection of three stroke biomarkers: An ultra-fast and sensitive point-of-care testing platform","title-short":"A colorimetric and SERS-based LFIA for sensitive and simultaneous detection of three stroke biomarkers","volume":"283","author":[{"family":"Wang","given":"Yutong"},{"family":"Zhang","given":"Qianchun"},{"family":"Huang","given":"Mengping"},{"family":"Ai","given":"Ganggang"},{"family":"Liu","given":"Xiaofeng"},{"family":"Zhang","given":"Yuqi"},{"family":"Li","given":"Ran"},{"family":"Wu","given":"Jie"}],"issued":{"date-parts":[["2025",2,1]]}}}],"schema":"https://github.com/citation-style-language/schema/raw/master/csl-citation.json"} </w:instrText>
      </w:r>
      <w:r w:rsidR="00141AA4" w:rsidRPr="00A831E7">
        <w:rPr>
          <w:rFonts w:eastAsia="Calibri"/>
        </w:rPr>
        <w:fldChar w:fldCharType="separate"/>
      </w:r>
      <w:r w:rsidR="00B22777" w:rsidRPr="00A831E7">
        <w:rPr>
          <w:rFonts w:eastAsia="Calibri"/>
        </w:rPr>
        <w:t>[12], [64], [85]</w:t>
      </w:r>
      <w:r w:rsidR="00141AA4" w:rsidRPr="00A831E7">
        <w:rPr>
          <w:rFonts w:eastAsia="Calibri"/>
        </w:rPr>
        <w:fldChar w:fldCharType="end"/>
      </w:r>
      <w:r w:rsidR="003E2610" w:rsidRPr="00A831E7">
        <w:rPr>
          <w:rFonts w:eastAsia="Calibri"/>
        </w:rPr>
        <w:t xml:space="preserve">, η χρήση </w:t>
      </w:r>
      <w:r w:rsidR="002F0951">
        <w:rPr>
          <w:rFonts w:eastAsia="Calibri"/>
        </w:rPr>
        <w:t>«</w:t>
      </w:r>
      <w:r w:rsidR="003E2610" w:rsidRPr="00A831E7">
        <w:rPr>
          <w:rFonts w:eastAsia="Calibri"/>
        </w:rPr>
        <w:t>πολυ-βιοδεικτικών</w:t>
      </w:r>
      <w:r w:rsidR="002F0951">
        <w:rPr>
          <w:rFonts w:eastAsia="Calibri"/>
        </w:rPr>
        <w:t>»</w:t>
      </w:r>
      <w:r w:rsidR="003E2610" w:rsidRPr="00A831E7">
        <w:rPr>
          <w:rFonts w:eastAsia="Calibri"/>
        </w:rPr>
        <w:t xml:space="preserve"> πάνελ σε PoC</w:t>
      </w:r>
      <w:r w:rsidR="00F81FAC">
        <w:rPr>
          <w:rFonts w:eastAsia="Calibri"/>
        </w:rPr>
        <w:t xml:space="preserve"> συσκευές</w:t>
      </w:r>
      <w:r w:rsidR="003E2610" w:rsidRPr="00A831E7">
        <w:rPr>
          <w:rFonts w:eastAsia="Calibri"/>
        </w:rPr>
        <w:t xml:space="preserve"> έχει αρχίσει να δοκιμάζεται, με στόχο τη βελτίωση της ταξινόμησης του εγκεφαλικού και την ακριβέστερη πρόβλεψη της πορείας της νόσου.</w:t>
      </w:r>
    </w:p>
    <w:p w14:paraId="7D1B46B8" w14:textId="40868D6E" w:rsidR="00D43012" w:rsidRPr="00A831E7" w:rsidRDefault="003E2610" w:rsidP="0057069D">
      <w:pPr>
        <w:spacing w:line="360" w:lineRule="auto"/>
        <w:ind w:firstLine="720"/>
        <w:jc w:val="both"/>
        <w:rPr>
          <w:rFonts w:eastAsia="Calibri"/>
        </w:rPr>
      </w:pPr>
      <w:r w:rsidRPr="00A831E7">
        <w:rPr>
          <w:rFonts w:eastAsia="Calibri"/>
        </w:rPr>
        <w:t>Ωστόσο, η πλήρης κλινική εφαρμογή αυτών των τεχνολογιών παραμένει περιορισμένη, καθώς οι περισσότερες</w:t>
      </w:r>
      <w:r w:rsidR="00D43012" w:rsidRPr="00A831E7">
        <w:rPr>
          <w:rFonts w:eastAsia="Calibri"/>
        </w:rPr>
        <w:t xml:space="preserve"> εμπορικά διαθέσιμες</w:t>
      </w:r>
      <w:r w:rsidRPr="00A831E7">
        <w:rPr>
          <w:rFonts w:eastAsia="Calibri"/>
        </w:rPr>
        <w:t xml:space="preserve"> PoCT συσκευές</w:t>
      </w:r>
      <w:r w:rsidR="00D43012" w:rsidRPr="00A831E7">
        <w:rPr>
          <w:rFonts w:eastAsia="Calibri"/>
        </w:rPr>
        <w:t>, που χρησιμοποιούνται αυτή τη στιγμή,</w:t>
      </w:r>
      <w:r w:rsidRPr="00A831E7">
        <w:rPr>
          <w:rFonts w:eastAsia="Calibri"/>
        </w:rPr>
        <w:t xml:space="preserve"> επικεντρώνονται σ</w:t>
      </w:r>
      <w:r w:rsidR="00D43012" w:rsidRPr="00A831E7">
        <w:rPr>
          <w:rFonts w:eastAsia="Calibri"/>
        </w:rPr>
        <w:t>ε</w:t>
      </w:r>
      <w:r w:rsidRPr="00A831E7">
        <w:rPr>
          <w:rFonts w:eastAsia="Calibri"/>
        </w:rPr>
        <w:t xml:space="preserve"> βασικ</w:t>
      </w:r>
      <w:r w:rsidR="00D43012" w:rsidRPr="00A831E7">
        <w:rPr>
          <w:rFonts w:eastAsia="Calibri"/>
        </w:rPr>
        <w:t>ές</w:t>
      </w:r>
      <w:r w:rsidRPr="00A831E7">
        <w:rPr>
          <w:rFonts w:eastAsia="Calibri"/>
        </w:rPr>
        <w:t xml:space="preserve"> βιοχημ</w:t>
      </w:r>
      <w:r w:rsidR="00D43012" w:rsidRPr="00A831E7">
        <w:rPr>
          <w:rFonts w:eastAsia="Calibri"/>
        </w:rPr>
        <w:t>ικές εξετάσεις</w:t>
      </w:r>
      <w:r w:rsidRPr="00A831E7">
        <w:rPr>
          <w:rFonts w:eastAsia="Calibri"/>
        </w:rPr>
        <w:t xml:space="preserve"> και </w:t>
      </w:r>
      <w:r w:rsidR="00D43012" w:rsidRPr="00A831E7">
        <w:rPr>
          <w:rFonts w:eastAsia="Calibri"/>
        </w:rPr>
        <w:t>στην</w:t>
      </w:r>
      <w:r w:rsidRPr="00A831E7">
        <w:rPr>
          <w:rFonts w:eastAsia="Calibri"/>
        </w:rPr>
        <w:t xml:space="preserve"> πήξη του αίματος </w:t>
      </w:r>
      <w:r w:rsidR="00141AA4" w:rsidRPr="00A831E7">
        <w:rPr>
          <w:rFonts w:eastAsia="Calibri"/>
        </w:rPr>
        <w:fldChar w:fldCharType="begin"/>
      </w:r>
      <w:r w:rsidR="00141AA4" w:rsidRPr="00A831E7">
        <w:rPr>
          <w:rFonts w:eastAsia="Calibri"/>
        </w:rPr>
        <w:instrText xml:space="preserve"> ADDIN ZOTERO_ITEM CSL_CITATION {"citationID":"LAKSTbDO","properties":{"formattedCitation":"[12]","plainCitation":"[12]","noteIndex":0},"citationItems":[{"id":266,"uris":["http://zotero.org/users/local/mfHf28QG/items/7WV47UKH"],"itemData":{"id":266,"type":"article-journal","abstract":"Stroke,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Y."}],"issued":{"date-parts":[["2017",8,3]]}}}],"schema":"https://github.com/citation-style-language/schema/raw/master/csl-citation.json"} </w:instrText>
      </w:r>
      <w:r w:rsidR="00141AA4" w:rsidRPr="00A831E7">
        <w:rPr>
          <w:rFonts w:eastAsia="Calibri"/>
        </w:rPr>
        <w:fldChar w:fldCharType="separate"/>
      </w:r>
      <w:r w:rsidR="00141AA4" w:rsidRPr="00A831E7">
        <w:rPr>
          <w:rFonts w:eastAsia="Calibri"/>
        </w:rPr>
        <w:t>[12]</w:t>
      </w:r>
      <w:r w:rsidR="00141AA4" w:rsidRPr="00A831E7">
        <w:rPr>
          <w:rFonts w:eastAsia="Calibri"/>
        </w:rPr>
        <w:fldChar w:fldCharType="end"/>
      </w:r>
      <w:r w:rsidRPr="00A831E7">
        <w:rPr>
          <w:rFonts w:eastAsia="Calibri"/>
        </w:rPr>
        <w:t>. Η ενσωμάτωση εξειδικευμένων βιοδεικτών θα μπορούσε να βελτιώσει σημαντικά την ακρίβεια της διάγνωσης, επιτρέποντας εξατομικευμένες θεραπευτικές προσεγγίσεις και ταχύτερη παρέμβαση σε επείγοντα περιστατικά.</w:t>
      </w:r>
    </w:p>
    <w:p w14:paraId="598B9A6A" w14:textId="77777777" w:rsidR="001D613C" w:rsidRPr="00A831E7" w:rsidRDefault="001D613C" w:rsidP="0057069D">
      <w:pPr>
        <w:spacing w:line="360" w:lineRule="auto"/>
        <w:ind w:firstLine="720"/>
        <w:jc w:val="both"/>
        <w:rPr>
          <w:rFonts w:eastAsia="Calibri"/>
        </w:rPr>
      </w:pPr>
    </w:p>
    <w:p w14:paraId="75AF0041" w14:textId="764F9089" w:rsidR="003E2610" w:rsidRPr="008F5904" w:rsidRDefault="00D33FD1" w:rsidP="008F5904">
      <w:pPr>
        <w:pStyle w:val="3"/>
      </w:pPr>
      <w:bookmarkStart w:id="127" w:name="_Toc199787410"/>
      <w:bookmarkStart w:id="128" w:name="_Toc199946481"/>
      <w:r w:rsidRPr="008F5904">
        <w:t xml:space="preserve">4.4.1 </w:t>
      </w:r>
      <w:r w:rsidR="001D613C" w:rsidRPr="008F5904">
        <w:t>Καθιερωμένες PoCT συσκευές</w:t>
      </w:r>
      <w:bookmarkEnd w:id="127"/>
      <w:bookmarkEnd w:id="128"/>
    </w:p>
    <w:p w14:paraId="63E155B6" w14:textId="09E68892" w:rsidR="001D613C" w:rsidRPr="00A831E7" w:rsidRDefault="009A631D" w:rsidP="0057069D">
      <w:pPr>
        <w:spacing w:line="360" w:lineRule="auto"/>
        <w:ind w:firstLine="720"/>
        <w:jc w:val="both"/>
        <w:rPr>
          <w:rFonts w:eastAsia="Calibri"/>
        </w:rPr>
      </w:pPr>
      <w:r w:rsidRPr="00A831E7">
        <w:rPr>
          <w:rFonts w:eastAsia="Calibri"/>
        </w:rPr>
        <w:t>Σήμερα κάποιες συσκευές Point-of-Care</w:t>
      </w:r>
      <w:r w:rsidR="00DF3B6E">
        <w:rPr>
          <w:rFonts w:eastAsia="Calibri"/>
        </w:rPr>
        <w:t>-</w:t>
      </w:r>
      <w:r w:rsidR="00DF3B6E">
        <w:rPr>
          <w:rFonts w:eastAsia="Calibri"/>
          <w:lang w:val="en-US"/>
        </w:rPr>
        <w:t>Testing</w:t>
      </w:r>
      <w:r w:rsidRPr="00A831E7">
        <w:rPr>
          <w:rFonts w:eastAsia="Calibri"/>
        </w:rPr>
        <w:t xml:space="preserve"> χρησιμοποιούνται εκτενώς για την παρακολούθηση πήξης του αίματος, την αξιολόγηση αιμοπεταλίων, τη διάγνωση εγκεφαλικών επεισοδίων και άλλων κρίσιμων καταστάσεων, προσφέροντας άμεσα αποτελέσματα χωρίς την ανάγκη για χρονοβόρες ενδονοσοκομειακές εργαστηριακές αναλύσεις. Η φορητότητα, η ευκολία χρήσης και η δυνατότητα «bedside» εφαρμογών καθιστούν αυτές τις συσκευές ιδιαίτερα χρήσιμες στη βελτίωση της κλινικής λήψης αποφάσεων και στη μείωση του χρόνου θεραπείας.</w:t>
      </w:r>
    </w:p>
    <w:p w14:paraId="7819BE9B" w14:textId="2DB77D99" w:rsidR="00F32EEE" w:rsidRPr="00A831E7" w:rsidRDefault="009A631D" w:rsidP="00F07772">
      <w:pPr>
        <w:spacing w:line="360" w:lineRule="auto"/>
        <w:ind w:firstLine="720"/>
        <w:jc w:val="both"/>
        <w:rPr>
          <w:rFonts w:eastAsia="Calibri"/>
        </w:rPr>
      </w:pPr>
      <w:r w:rsidRPr="00A831E7">
        <w:rPr>
          <w:rFonts w:eastAsia="Calibri"/>
        </w:rPr>
        <w:lastRenderedPageBreak/>
        <w:t xml:space="preserve">Μερικές από τις καθιερωμένες και εμπορικά διαθέσιμες συσκευές παρουσιάζονται στον </w:t>
      </w:r>
      <w:r w:rsidRPr="00A831E7">
        <w:rPr>
          <w:rFonts w:eastAsia="Calibri"/>
          <w:i/>
          <w:iCs/>
        </w:rPr>
        <w:t xml:space="preserve">Πίνακα 17 </w:t>
      </w:r>
      <w:r w:rsidRPr="00A831E7">
        <w:rPr>
          <w:rFonts w:eastAsia="Calibri"/>
        </w:rPr>
        <w:t>και αναλύονται παρακάτω.</w:t>
      </w:r>
    </w:p>
    <w:p w14:paraId="089E5AFC" w14:textId="77777777" w:rsidR="00F07772" w:rsidRPr="00A831E7" w:rsidRDefault="00F07772" w:rsidP="00F07772">
      <w:pPr>
        <w:spacing w:line="360" w:lineRule="auto"/>
        <w:ind w:firstLine="720"/>
        <w:jc w:val="both"/>
        <w:rPr>
          <w:rFonts w:eastAsia="Calibri"/>
        </w:rPr>
      </w:pPr>
    </w:p>
    <w:p w14:paraId="34221152" w14:textId="4EE10B79" w:rsidR="001D613C" w:rsidRPr="00A831E7" w:rsidRDefault="003F3425" w:rsidP="0057069D">
      <w:pPr>
        <w:pStyle w:val="af5"/>
        <w:spacing w:line="360" w:lineRule="auto"/>
        <w:jc w:val="center"/>
        <w:rPr>
          <w:rFonts w:eastAsia="Calibri"/>
          <w:b/>
          <w:bCs/>
          <w:color w:val="auto"/>
          <w:sz w:val="20"/>
          <w:szCs w:val="20"/>
        </w:rPr>
      </w:pPr>
      <w:bookmarkStart w:id="129" w:name="_Toc199787752"/>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17</w:t>
      </w:r>
      <w:r w:rsidRPr="00A831E7">
        <w:rPr>
          <w:b/>
          <w:bCs/>
          <w:color w:val="auto"/>
          <w:sz w:val="20"/>
          <w:szCs w:val="20"/>
        </w:rPr>
        <w:fldChar w:fldCharType="end"/>
      </w:r>
      <w:r w:rsidRPr="00A831E7">
        <w:rPr>
          <w:b/>
          <w:bCs/>
          <w:color w:val="auto"/>
          <w:sz w:val="20"/>
          <w:szCs w:val="20"/>
        </w:rPr>
        <w:t>:</w:t>
      </w:r>
      <w:r w:rsidRPr="00A831E7">
        <w:rPr>
          <w:rFonts w:eastAsia="Calibri"/>
          <w:b/>
          <w:bCs/>
          <w:color w:val="auto"/>
          <w:sz w:val="20"/>
          <w:szCs w:val="20"/>
        </w:rPr>
        <w:t xml:space="preserve"> Καθιερωμένες PoCT συσκευές</w:t>
      </w:r>
      <w:r w:rsidRPr="00A831E7">
        <w:rPr>
          <w:rFonts w:eastAsia="Calibri"/>
          <w:b/>
          <w:bCs/>
          <w:color w:val="auto"/>
        </w:rPr>
        <w:t xml:space="preserve"> </w:t>
      </w:r>
      <w:r w:rsidRPr="00A831E7">
        <w:rPr>
          <w:rFonts w:eastAsia="Calibri"/>
          <w:b/>
          <w:bCs/>
          <w:color w:val="auto"/>
        </w:rPr>
        <w:fldChar w:fldCharType="begin"/>
      </w:r>
      <w:r w:rsidRPr="00A831E7">
        <w:rPr>
          <w:rFonts w:eastAsia="Calibri"/>
          <w:b/>
          <w:bCs/>
          <w:color w:val="auto"/>
        </w:rPr>
        <w:instrText xml:space="preserve"> ADDIN ZOTERO_ITEM CSL_CITATION {"citationID":"bbjuEgPq","properties":{"formattedCitation":"[12]","plainCitation":"[12]","noteIndex":0},"citationItems":[{"id":266,"uris":["http://zotero.org/users/local/mfHf28QG/items/7WV47UKH"],"itemData":{"id":266,"type":"article-journal","abstract":"Stroke,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Y."}],"issued":{"date-parts":[["2017",8,3]]}}}],"schema":"https://github.com/citation-style-language/schema/raw/master/csl-citation.json"} </w:instrText>
      </w:r>
      <w:r w:rsidRPr="00A831E7">
        <w:rPr>
          <w:rFonts w:eastAsia="Calibri"/>
          <w:b/>
          <w:bCs/>
          <w:color w:val="auto"/>
        </w:rPr>
        <w:fldChar w:fldCharType="separate"/>
      </w:r>
      <w:r w:rsidRPr="00A831E7">
        <w:rPr>
          <w:rFonts w:eastAsia="Calibri"/>
          <w:b/>
          <w:bCs/>
          <w:color w:val="auto"/>
          <w:szCs w:val="16"/>
        </w:rPr>
        <w:t>[12]</w:t>
      </w:r>
      <w:bookmarkEnd w:id="129"/>
      <w:r w:rsidRPr="00A831E7">
        <w:rPr>
          <w:rFonts w:eastAsia="Calibri"/>
          <w:b/>
          <w:bCs/>
          <w:color w:val="auto"/>
        </w:rPr>
        <w:fldChar w:fldCharType="end"/>
      </w:r>
    </w:p>
    <w:tbl>
      <w:tblPr>
        <w:tblStyle w:val="af0"/>
        <w:tblW w:w="0" w:type="auto"/>
        <w:tblLook w:val="04A0" w:firstRow="1" w:lastRow="0" w:firstColumn="1" w:lastColumn="0" w:noHBand="0" w:noVBand="1"/>
      </w:tblPr>
      <w:tblGrid>
        <w:gridCol w:w="1313"/>
        <w:gridCol w:w="3378"/>
        <w:gridCol w:w="2825"/>
        <w:gridCol w:w="786"/>
      </w:tblGrid>
      <w:tr w:rsidR="00095321" w:rsidRPr="00A831E7" w14:paraId="3DA10549" w14:textId="77777777" w:rsidTr="006A467F">
        <w:trPr>
          <w:trHeight w:val="205"/>
        </w:trPr>
        <w:tc>
          <w:tcPr>
            <w:tcW w:w="1313" w:type="dxa"/>
            <w:shd w:val="clear" w:color="auto" w:fill="D9D9D9" w:themeFill="background1" w:themeFillShade="D9"/>
          </w:tcPr>
          <w:p w14:paraId="1627B05C" w14:textId="0E7D1754" w:rsidR="00095321" w:rsidRPr="00A831E7" w:rsidRDefault="00095321" w:rsidP="00095321">
            <w:pPr>
              <w:spacing w:line="360" w:lineRule="auto"/>
              <w:jc w:val="center"/>
              <w:rPr>
                <w:rFonts w:eastAsia="Calibri"/>
                <w:b/>
                <w:bCs/>
                <w:i/>
                <w:iCs/>
                <w:sz w:val="20"/>
                <w:szCs w:val="20"/>
              </w:rPr>
            </w:pPr>
            <w:r w:rsidRPr="00A831E7">
              <w:rPr>
                <w:rFonts w:eastAsia="Calibri"/>
                <w:b/>
                <w:bCs/>
                <w:i/>
                <w:iCs/>
                <w:sz w:val="20"/>
                <w:szCs w:val="20"/>
              </w:rPr>
              <w:t>PoCT</w:t>
            </w:r>
          </w:p>
        </w:tc>
        <w:tc>
          <w:tcPr>
            <w:tcW w:w="3378" w:type="dxa"/>
            <w:shd w:val="clear" w:color="auto" w:fill="D9D9D9" w:themeFill="background1" w:themeFillShade="D9"/>
          </w:tcPr>
          <w:p w14:paraId="65F38970" w14:textId="1EF725C5" w:rsidR="00095321" w:rsidRPr="00A831E7" w:rsidRDefault="00095321" w:rsidP="00095321">
            <w:pPr>
              <w:spacing w:line="360" w:lineRule="auto"/>
              <w:jc w:val="center"/>
              <w:rPr>
                <w:rFonts w:eastAsia="Calibri"/>
                <w:b/>
                <w:bCs/>
                <w:i/>
                <w:iCs/>
                <w:sz w:val="20"/>
                <w:szCs w:val="20"/>
              </w:rPr>
            </w:pPr>
            <w:r w:rsidRPr="00A831E7">
              <w:rPr>
                <w:rFonts w:eastAsia="Calibri"/>
                <w:b/>
                <w:bCs/>
                <w:i/>
                <w:iCs/>
                <w:sz w:val="20"/>
                <w:szCs w:val="20"/>
              </w:rPr>
              <w:t>Περιγραφή</w:t>
            </w:r>
          </w:p>
        </w:tc>
        <w:tc>
          <w:tcPr>
            <w:tcW w:w="2825" w:type="dxa"/>
            <w:shd w:val="clear" w:color="auto" w:fill="D9D9D9" w:themeFill="background1" w:themeFillShade="D9"/>
          </w:tcPr>
          <w:p w14:paraId="0BA58195" w14:textId="51E88C76" w:rsidR="00095321" w:rsidRPr="00A831E7" w:rsidRDefault="00095321" w:rsidP="00095321">
            <w:pPr>
              <w:spacing w:line="360" w:lineRule="auto"/>
              <w:jc w:val="center"/>
              <w:rPr>
                <w:rFonts w:eastAsia="Calibri"/>
                <w:b/>
                <w:bCs/>
                <w:i/>
                <w:iCs/>
                <w:sz w:val="20"/>
                <w:szCs w:val="20"/>
              </w:rPr>
            </w:pPr>
            <w:r w:rsidRPr="00A831E7">
              <w:rPr>
                <w:rFonts w:eastAsia="Calibri"/>
                <w:b/>
                <w:bCs/>
                <w:i/>
                <w:iCs/>
                <w:sz w:val="20"/>
                <w:szCs w:val="20"/>
              </w:rPr>
              <w:t>Εφαρμογή</w:t>
            </w:r>
          </w:p>
        </w:tc>
        <w:tc>
          <w:tcPr>
            <w:tcW w:w="786" w:type="dxa"/>
            <w:shd w:val="clear" w:color="auto" w:fill="D9D9D9" w:themeFill="background1" w:themeFillShade="D9"/>
          </w:tcPr>
          <w:p w14:paraId="6768E188" w14:textId="522B4CB8" w:rsidR="00095321" w:rsidRPr="00A831E7" w:rsidRDefault="003F3425" w:rsidP="00095321">
            <w:pPr>
              <w:spacing w:line="360" w:lineRule="auto"/>
              <w:jc w:val="center"/>
              <w:rPr>
                <w:rFonts w:eastAsia="Calibri"/>
                <w:b/>
                <w:bCs/>
                <w:i/>
                <w:iCs/>
                <w:sz w:val="20"/>
                <w:szCs w:val="20"/>
              </w:rPr>
            </w:pPr>
            <w:r w:rsidRPr="00A831E7">
              <w:rPr>
                <w:rFonts w:eastAsia="Calibri"/>
                <w:b/>
                <w:bCs/>
                <w:i/>
                <w:iCs/>
                <w:sz w:val="20"/>
                <w:szCs w:val="20"/>
              </w:rPr>
              <w:t>Χρήση</w:t>
            </w:r>
          </w:p>
        </w:tc>
      </w:tr>
      <w:tr w:rsidR="00095321" w:rsidRPr="00A831E7" w14:paraId="4D48D743" w14:textId="77777777" w:rsidTr="003F3425">
        <w:tc>
          <w:tcPr>
            <w:tcW w:w="1313" w:type="dxa"/>
          </w:tcPr>
          <w:p w14:paraId="1EFBD7EA" w14:textId="77777777" w:rsidR="00095321" w:rsidRPr="00A831E7" w:rsidRDefault="00095321" w:rsidP="006A467F">
            <w:pPr>
              <w:jc w:val="center"/>
              <w:rPr>
                <w:rFonts w:eastAsia="Calibri"/>
                <w:sz w:val="20"/>
                <w:szCs w:val="20"/>
              </w:rPr>
            </w:pPr>
            <w:r w:rsidRPr="00A831E7">
              <w:rPr>
                <w:rFonts w:eastAsia="Calibri"/>
                <w:sz w:val="20"/>
                <w:szCs w:val="20"/>
              </w:rPr>
              <w:t>CoaguChek® (Roche)</w:t>
            </w:r>
          </w:p>
          <w:p w14:paraId="2B0F54C4" w14:textId="77777777" w:rsidR="00095321" w:rsidRPr="00A831E7" w:rsidRDefault="00095321" w:rsidP="006A467F">
            <w:pPr>
              <w:jc w:val="center"/>
              <w:rPr>
                <w:rFonts w:eastAsia="Calibri"/>
                <w:sz w:val="20"/>
                <w:szCs w:val="20"/>
              </w:rPr>
            </w:pPr>
          </w:p>
        </w:tc>
        <w:tc>
          <w:tcPr>
            <w:tcW w:w="3378" w:type="dxa"/>
          </w:tcPr>
          <w:p w14:paraId="6A5DB6F0" w14:textId="735A14FF" w:rsidR="00095321" w:rsidRPr="00A831E7" w:rsidRDefault="00010EB7" w:rsidP="006A467F">
            <w:pPr>
              <w:rPr>
                <w:rFonts w:eastAsia="Calibri"/>
                <w:i/>
                <w:iCs/>
                <w:sz w:val="17"/>
                <w:szCs w:val="17"/>
              </w:rPr>
            </w:pPr>
            <w:r w:rsidRPr="00A831E7">
              <w:rPr>
                <w:rFonts w:eastAsia="Calibri"/>
                <w:i/>
                <w:iCs/>
                <w:sz w:val="18"/>
                <w:szCs w:val="18"/>
              </w:rPr>
              <w:t xml:space="preserve">Δοκιμαστικές ταινίες με ηλεκτροχημική ανί-χνευση. Βασισμένες σε αμπερομετρικό (ηλε-κτροχημικό) προσδιορισμό του χρόνου PT μετά την ενεργοποίηση της πήξης με ανα-συνδυασμένη θρομβοπλαστίνη. </w:t>
            </w:r>
            <w:r w:rsidR="00445BD0" w:rsidRPr="00A831E7">
              <w:rPr>
                <w:rFonts w:eastAsia="Calibri"/>
                <w:i/>
                <w:iCs/>
                <w:sz w:val="18"/>
                <w:szCs w:val="18"/>
              </w:rPr>
              <w:t>Παρέχει αποτελέσματα εντός</w:t>
            </w:r>
            <w:r w:rsidRPr="00A831E7">
              <w:rPr>
                <w:rFonts w:eastAsia="Calibri"/>
                <w:i/>
                <w:iCs/>
                <w:sz w:val="18"/>
                <w:szCs w:val="18"/>
              </w:rPr>
              <w:t xml:space="preserve"> 1</w:t>
            </w:r>
            <w:r w:rsidR="00F81FAC">
              <w:rPr>
                <w:rFonts w:eastAsia="Calibri"/>
                <w:i/>
                <w:iCs/>
                <w:sz w:val="18"/>
                <w:szCs w:val="18"/>
              </w:rPr>
              <w:t xml:space="preserve"> </w:t>
            </w:r>
            <w:r w:rsidR="00445BD0" w:rsidRPr="00A831E7">
              <w:rPr>
                <w:rFonts w:eastAsia="Calibri"/>
                <w:i/>
                <w:iCs/>
                <w:sz w:val="18"/>
                <w:szCs w:val="18"/>
              </w:rPr>
              <w:t>λεπτού</w:t>
            </w:r>
            <w:r w:rsidRPr="00A831E7">
              <w:rPr>
                <w:rFonts w:eastAsia="Calibri"/>
                <w:i/>
                <w:iCs/>
                <w:sz w:val="18"/>
                <w:szCs w:val="18"/>
              </w:rPr>
              <w:t>.</w:t>
            </w:r>
          </w:p>
        </w:tc>
        <w:tc>
          <w:tcPr>
            <w:tcW w:w="2825" w:type="dxa"/>
          </w:tcPr>
          <w:p w14:paraId="0633A48B" w14:textId="103C13BF" w:rsidR="00095321" w:rsidRPr="00A831E7" w:rsidRDefault="00010EB7" w:rsidP="006A467F">
            <w:pPr>
              <w:rPr>
                <w:rFonts w:eastAsia="Calibri"/>
                <w:i/>
                <w:iCs/>
                <w:sz w:val="20"/>
                <w:szCs w:val="20"/>
              </w:rPr>
            </w:pPr>
            <w:r w:rsidRPr="00A831E7">
              <w:rPr>
                <w:rFonts w:eastAsia="Calibri"/>
                <w:i/>
                <w:iCs/>
                <w:sz w:val="18"/>
                <w:szCs w:val="18"/>
              </w:rPr>
              <w:t>Πρόκειται για μια βολική, φορητή και εύχρηστη συσκευή για την παρακολούθηση της από του στόματος αντιπηκτικής θεραπείας. Μπορεί να προσδιορίσει την τιμή INR από μια σταγόνα αίματος.</w:t>
            </w:r>
          </w:p>
        </w:tc>
        <w:tc>
          <w:tcPr>
            <w:tcW w:w="786" w:type="dxa"/>
          </w:tcPr>
          <w:p w14:paraId="063C2AF6" w14:textId="47C8E880" w:rsidR="00095321" w:rsidRPr="00A831E7" w:rsidRDefault="003F3425" w:rsidP="006A467F">
            <w:pPr>
              <w:jc w:val="center"/>
              <w:rPr>
                <w:rFonts w:eastAsia="Calibri"/>
                <w:sz w:val="20"/>
                <w:szCs w:val="20"/>
              </w:rPr>
            </w:pPr>
            <w:r w:rsidRPr="00A831E7">
              <w:rPr>
                <w:rFonts w:eastAsia="Calibri"/>
                <w:sz w:val="18"/>
                <w:szCs w:val="18"/>
              </w:rPr>
              <w:t>Pre/In-hospital</w:t>
            </w:r>
          </w:p>
        </w:tc>
      </w:tr>
      <w:tr w:rsidR="00095321" w:rsidRPr="00A831E7" w14:paraId="13AEFBD1" w14:textId="77777777" w:rsidTr="003F3425">
        <w:tc>
          <w:tcPr>
            <w:tcW w:w="1313" w:type="dxa"/>
          </w:tcPr>
          <w:p w14:paraId="42244EE0" w14:textId="77777777" w:rsidR="00095321" w:rsidRPr="00A831E7" w:rsidRDefault="00095321" w:rsidP="006A467F">
            <w:pPr>
              <w:jc w:val="center"/>
              <w:rPr>
                <w:rFonts w:eastAsia="Calibri"/>
                <w:sz w:val="20"/>
                <w:szCs w:val="20"/>
              </w:rPr>
            </w:pPr>
            <w:r w:rsidRPr="00A831E7">
              <w:rPr>
                <w:rFonts w:eastAsia="Calibri"/>
                <w:sz w:val="20"/>
                <w:szCs w:val="20"/>
              </w:rPr>
              <w:t>i-STAT (Abbott)</w:t>
            </w:r>
          </w:p>
          <w:p w14:paraId="7E771282" w14:textId="77777777" w:rsidR="00095321" w:rsidRPr="00A831E7" w:rsidRDefault="00095321" w:rsidP="006A467F">
            <w:pPr>
              <w:jc w:val="center"/>
              <w:rPr>
                <w:rFonts w:eastAsia="Calibri"/>
                <w:sz w:val="20"/>
                <w:szCs w:val="20"/>
              </w:rPr>
            </w:pPr>
          </w:p>
        </w:tc>
        <w:tc>
          <w:tcPr>
            <w:tcW w:w="3378" w:type="dxa"/>
          </w:tcPr>
          <w:p w14:paraId="39BB9A74" w14:textId="61E4603D" w:rsidR="00095321" w:rsidRPr="00A831E7" w:rsidRDefault="00010EB7" w:rsidP="006A467F">
            <w:pPr>
              <w:rPr>
                <w:rFonts w:eastAsia="Calibri"/>
                <w:i/>
                <w:iCs/>
                <w:sz w:val="20"/>
                <w:szCs w:val="20"/>
              </w:rPr>
            </w:pPr>
            <w:r w:rsidRPr="00A831E7">
              <w:rPr>
                <w:rFonts w:eastAsia="Calibri"/>
                <w:i/>
                <w:iCs/>
                <w:sz w:val="18"/>
                <w:szCs w:val="18"/>
              </w:rPr>
              <w:t>Microfluidics (μικρορευστομηχανική). Παρέχει γρήγορα, αξιόπιστα αποτελέσματα εργαστηριακής ακρίβειας μέσα σε 2 λεπτά.</w:t>
            </w:r>
          </w:p>
        </w:tc>
        <w:tc>
          <w:tcPr>
            <w:tcW w:w="2825" w:type="dxa"/>
          </w:tcPr>
          <w:p w14:paraId="390DF804" w14:textId="3DE43610" w:rsidR="00095321" w:rsidRPr="00A831E7" w:rsidRDefault="00010EB7" w:rsidP="006A467F">
            <w:pPr>
              <w:rPr>
                <w:rFonts w:eastAsia="Calibri"/>
                <w:i/>
                <w:iCs/>
                <w:sz w:val="18"/>
                <w:szCs w:val="18"/>
              </w:rPr>
            </w:pPr>
            <w:r w:rsidRPr="00A831E7">
              <w:rPr>
                <w:rFonts w:eastAsia="Calibri"/>
                <w:i/>
                <w:iCs/>
                <w:sz w:val="18"/>
                <w:szCs w:val="18"/>
              </w:rPr>
              <w:t xml:space="preserve">Bedside tests σε αέρια αίματος, ηλεκτρολύτες, </w:t>
            </w:r>
            <w:r w:rsidRPr="00F81FAC">
              <w:rPr>
                <w:rFonts w:eastAsia="Calibri"/>
                <w:b/>
                <w:bCs/>
                <w:i/>
                <w:iCs/>
                <w:sz w:val="18"/>
                <w:szCs w:val="18"/>
              </w:rPr>
              <w:t>μεταβολίτες</w:t>
            </w:r>
            <w:r w:rsidRPr="00A831E7">
              <w:rPr>
                <w:rFonts w:eastAsia="Calibri"/>
                <w:i/>
                <w:iCs/>
                <w:sz w:val="18"/>
                <w:szCs w:val="18"/>
              </w:rPr>
              <w:t xml:space="preserve"> και πήξη. Προσφέρουν άμεση διάγνωση και βελτιωμένη κλινική ανταπόκριση.</w:t>
            </w:r>
          </w:p>
        </w:tc>
        <w:tc>
          <w:tcPr>
            <w:tcW w:w="786" w:type="dxa"/>
          </w:tcPr>
          <w:p w14:paraId="67F095C8" w14:textId="018C542A" w:rsidR="00095321" w:rsidRPr="00A831E7" w:rsidRDefault="003F3425" w:rsidP="006A467F">
            <w:pPr>
              <w:jc w:val="center"/>
              <w:rPr>
                <w:rFonts w:eastAsia="Calibri"/>
                <w:sz w:val="20"/>
                <w:szCs w:val="20"/>
              </w:rPr>
            </w:pPr>
            <w:r w:rsidRPr="00A831E7">
              <w:rPr>
                <w:rFonts w:eastAsia="Calibri"/>
                <w:sz w:val="18"/>
                <w:szCs w:val="18"/>
              </w:rPr>
              <w:t>Pre/In-hospital</w:t>
            </w:r>
          </w:p>
        </w:tc>
      </w:tr>
      <w:tr w:rsidR="00095321" w:rsidRPr="00A831E7" w14:paraId="0D3E946B" w14:textId="77777777" w:rsidTr="003F3425">
        <w:tc>
          <w:tcPr>
            <w:tcW w:w="1313" w:type="dxa"/>
          </w:tcPr>
          <w:p w14:paraId="4D8F0548" w14:textId="77777777" w:rsidR="00095321" w:rsidRPr="00A831E7" w:rsidRDefault="00095321" w:rsidP="006A467F">
            <w:pPr>
              <w:jc w:val="center"/>
              <w:rPr>
                <w:rFonts w:eastAsia="Calibri"/>
                <w:sz w:val="20"/>
                <w:szCs w:val="20"/>
              </w:rPr>
            </w:pPr>
            <w:r w:rsidRPr="00A831E7">
              <w:rPr>
                <w:rFonts w:eastAsia="Calibri"/>
                <w:sz w:val="20"/>
                <w:szCs w:val="20"/>
              </w:rPr>
              <w:t>Mobile Stroke Unit (MSU)</w:t>
            </w:r>
          </w:p>
          <w:p w14:paraId="3AFF3274" w14:textId="77777777" w:rsidR="00095321" w:rsidRPr="00A831E7" w:rsidRDefault="00095321" w:rsidP="006A467F">
            <w:pPr>
              <w:jc w:val="center"/>
              <w:rPr>
                <w:rFonts w:eastAsia="Calibri"/>
                <w:sz w:val="20"/>
                <w:szCs w:val="20"/>
              </w:rPr>
            </w:pPr>
          </w:p>
        </w:tc>
        <w:tc>
          <w:tcPr>
            <w:tcW w:w="3378" w:type="dxa"/>
          </w:tcPr>
          <w:p w14:paraId="2D66826D" w14:textId="4D666665" w:rsidR="00095321" w:rsidRPr="00A831E7" w:rsidRDefault="00B35529" w:rsidP="006A467F">
            <w:pPr>
              <w:rPr>
                <w:rFonts w:eastAsia="Calibri"/>
                <w:i/>
                <w:iCs/>
                <w:sz w:val="18"/>
                <w:szCs w:val="18"/>
              </w:rPr>
            </w:pPr>
            <w:r w:rsidRPr="00A831E7">
              <w:rPr>
                <w:rFonts w:eastAsia="Calibri"/>
                <w:i/>
                <w:iCs/>
                <w:sz w:val="18"/>
                <w:szCs w:val="18"/>
              </w:rPr>
              <w:t>Απεικόνιση και ποικιλία εξετάσεων αίματος. Η ενσωμάτωση CT και PoCT συσκευών στα ασθενοφόρα επιτρέπει την άμεση έναρξη της θεραπείας IV-tPA επιτόπου.</w:t>
            </w:r>
          </w:p>
        </w:tc>
        <w:tc>
          <w:tcPr>
            <w:tcW w:w="2825" w:type="dxa"/>
          </w:tcPr>
          <w:p w14:paraId="2EFFF53F" w14:textId="77777777" w:rsidR="00F81FAC" w:rsidRDefault="00B35529" w:rsidP="006A467F">
            <w:pPr>
              <w:rPr>
                <w:rFonts w:eastAsia="Calibri"/>
                <w:i/>
                <w:iCs/>
                <w:sz w:val="18"/>
                <w:szCs w:val="18"/>
              </w:rPr>
            </w:pPr>
            <w:r w:rsidRPr="00A831E7">
              <w:rPr>
                <w:rFonts w:eastAsia="Calibri"/>
                <w:i/>
                <w:iCs/>
                <w:sz w:val="18"/>
                <w:szCs w:val="18"/>
              </w:rPr>
              <w:t>Ομάδα MSU:</w:t>
            </w:r>
            <w:r w:rsidR="00F81FAC">
              <w:rPr>
                <w:rFonts w:eastAsia="Calibri"/>
                <w:i/>
                <w:iCs/>
                <w:sz w:val="18"/>
                <w:szCs w:val="18"/>
              </w:rPr>
              <w:t xml:space="preserve"> </w:t>
            </w:r>
            <w:r w:rsidRPr="00A831E7">
              <w:rPr>
                <w:rFonts w:eastAsia="Calibri"/>
                <w:i/>
                <w:iCs/>
                <w:sz w:val="18"/>
                <w:szCs w:val="18"/>
              </w:rPr>
              <w:t>νοσηλεύτρια, διασώ-στης, τεχνικός επείγουσας ιατρικής και τεχνολόγο CT</w:t>
            </w:r>
            <w:r w:rsidR="00F81FAC">
              <w:rPr>
                <w:rFonts w:eastAsia="Calibri"/>
                <w:i/>
                <w:iCs/>
                <w:sz w:val="18"/>
                <w:szCs w:val="18"/>
              </w:rPr>
              <w:t>.</w:t>
            </w:r>
            <w:r w:rsidRPr="00A831E7">
              <w:rPr>
                <w:rFonts w:eastAsia="Calibri"/>
                <w:i/>
                <w:iCs/>
                <w:sz w:val="18"/>
                <w:szCs w:val="18"/>
              </w:rPr>
              <w:t xml:space="preserve"> </w:t>
            </w:r>
          </w:p>
          <w:p w14:paraId="6B3F6873" w14:textId="2C704489" w:rsidR="00095321" w:rsidRPr="00A831E7" w:rsidRDefault="00B35529" w:rsidP="006A467F">
            <w:pPr>
              <w:rPr>
                <w:rFonts w:eastAsia="Calibri"/>
                <w:i/>
                <w:iCs/>
                <w:sz w:val="18"/>
                <w:szCs w:val="18"/>
              </w:rPr>
            </w:pPr>
            <w:r w:rsidRPr="00A831E7">
              <w:rPr>
                <w:rFonts w:eastAsia="Calibri"/>
                <w:i/>
                <w:iCs/>
                <w:sz w:val="18"/>
                <w:szCs w:val="18"/>
              </w:rPr>
              <w:t>PoCT τεστ, που περιλαμβάνουν προφίλ πήξης, γενική αίματος και βιοχημικές αναλύσεις.</w:t>
            </w:r>
          </w:p>
        </w:tc>
        <w:tc>
          <w:tcPr>
            <w:tcW w:w="786" w:type="dxa"/>
          </w:tcPr>
          <w:p w14:paraId="7A96FB96" w14:textId="7F8584AE" w:rsidR="00095321" w:rsidRPr="00A831E7" w:rsidRDefault="003F3425" w:rsidP="006A467F">
            <w:pPr>
              <w:jc w:val="center"/>
              <w:rPr>
                <w:rFonts w:eastAsia="Calibri"/>
                <w:sz w:val="20"/>
                <w:szCs w:val="20"/>
              </w:rPr>
            </w:pPr>
            <w:r w:rsidRPr="00A831E7">
              <w:rPr>
                <w:rFonts w:eastAsia="Calibri"/>
                <w:sz w:val="18"/>
                <w:szCs w:val="18"/>
              </w:rPr>
              <w:t>Pre/In-hospital</w:t>
            </w:r>
          </w:p>
        </w:tc>
      </w:tr>
      <w:tr w:rsidR="00095321" w:rsidRPr="00A831E7" w14:paraId="0EE0DA6E" w14:textId="77777777" w:rsidTr="003F3425">
        <w:trPr>
          <w:trHeight w:val="1183"/>
        </w:trPr>
        <w:tc>
          <w:tcPr>
            <w:tcW w:w="1313" w:type="dxa"/>
          </w:tcPr>
          <w:p w14:paraId="1CCF21EA" w14:textId="77777777" w:rsidR="00095321" w:rsidRPr="00A831E7" w:rsidRDefault="00095321" w:rsidP="006A467F">
            <w:pPr>
              <w:jc w:val="center"/>
              <w:rPr>
                <w:rFonts w:eastAsia="Calibri"/>
                <w:sz w:val="20"/>
                <w:szCs w:val="20"/>
              </w:rPr>
            </w:pPr>
            <w:r w:rsidRPr="00A831E7">
              <w:rPr>
                <w:rFonts w:eastAsia="Calibri"/>
                <w:sz w:val="20"/>
                <w:szCs w:val="20"/>
              </w:rPr>
              <w:t>Hemochron® Junior (ITC)</w:t>
            </w:r>
          </w:p>
          <w:p w14:paraId="34D08824" w14:textId="77777777" w:rsidR="00095321" w:rsidRPr="00A831E7" w:rsidRDefault="00095321" w:rsidP="006A467F">
            <w:pPr>
              <w:jc w:val="center"/>
              <w:rPr>
                <w:rFonts w:eastAsia="Calibri"/>
                <w:sz w:val="20"/>
                <w:szCs w:val="20"/>
              </w:rPr>
            </w:pPr>
          </w:p>
        </w:tc>
        <w:tc>
          <w:tcPr>
            <w:tcW w:w="3378" w:type="dxa"/>
          </w:tcPr>
          <w:p w14:paraId="18256205" w14:textId="5537F2C4" w:rsidR="00095321" w:rsidRPr="00A831E7" w:rsidRDefault="00B35529" w:rsidP="006A467F">
            <w:pPr>
              <w:rPr>
                <w:rFonts w:eastAsia="Calibri"/>
                <w:i/>
                <w:iCs/>
                <w:sz w:val="18"/>
                <w:szCs w:val="18"/>
              </w:rPr>
            </w:pPr>
            <w:r w:rsidRPr="00A831E7">
              <w:rPr>
                <w:rFonts w:eastAsia="Calibri"/>
                <w:i/>
                <w:iCs/>
                <w:sz w:val="18"/>
                <w:szCs w:val="18"/>
              </w:rPr>
              <w:t>Οπτική ανίχνευση. Σύστημα μικρ</w:t>
            </w:r>
            <w:r w:rsidR="00F81FAC">
              <w:rPr>
                <w:rFonts w:eastAsia="Calibri"/>
                <w:i/>
                <w:iCs/>
                <w:sz w:val="18"/>
                <w:szCs w:val="18"/>
              </w:rPr>
              <w:t>ο-</w:t>
            </w:r>
            <w:r w:rsidRPr="00A831E7">
              <w:rPr>
                <w:rFonts w:eastAsia="Calibri"/>
                <w:i/>
                <w:iCs/>
                <w:sz w:val="18"/>
                <w:szCs w:val="18"/>
              </w:rPr>
              <w:t>πήξης με αποτελέσματα μέσα σε λίγα λεπτά.</w:t>
            </w:r>
          </w:p>
        </w:tc>
        <w:tc>
          <w:tcPr>
            <w:tcW w:w="2825" w:type="dxa"/>
          </w:tcPr>
          <w:p w14:paraId="157E2DE8" w14:textId="77777777" w:rsidR="00B35529" w:rsidRPr="00A831E7" w:rsidRDefault="00B35529" w:rsidP="006A467F">
            <w:pPr>
              <w:rPr>
                <w:rFonts w:eastAsia="Calibri"/>
                <w:i/>
                <w:iCs/>
                <w:sz w:val="18"/>
                <w:szCs w:val="18"/>
              </w:rPr>
            </w:pPr>
            <w:r w:rsidRPr="00A831E7">
              <w:rPr>
                <w:rFonts w:eastAsia="Calibri"/>
                <w:i/>
                <w:iCs/>
                <w:sz w:val="18"/>
                <w:szCs w:val="18"/>
              </w:rPr>
              <w:t>Παρακολούθηση με POCTs των:</w:t>
            </w:r>
            <w:r w:rsidRPr="00A831E7">
              <w:rPr>
                <w:rFonts w:eastAsia="Calibri"/>
                <w:i/>
                <w:iCs/>
                <w:sz w:val="18"/>
                <w:szCs w:val="18"/>
              </w:rPr>
              <w:br/>
              <w:t xml:space="preserve">(1) ACT-LR, (2) ACT, (3) PT, </w:t>
            </w:r>
          </w:p>
          <w:p w14:paraId="244AB265" w14:textId="61054C13" w:rsidR="00B35529" w:rsidRPr="00730D74" w:rsidRDefault="00B35529" w:rsidP="006A467F">
            <w:pPr>
              <w:rPr>
                <w:rFonts w:eastAsia="Calibri"/>
                <w:i/>
                <w:iCs/>
                <w:sz w:val="18"/>
                <w:szCs w:val="18"/>
                <w:lang w:val="en-US"/>
              </w:rPr>
            </w:pPr>
            <w:r w:rsidRPr="00730D74">
              <w:rPr>
                <w:rFonts w:eastAsia="Calibri"/>
                <w:i/>
                <w:iCs/>
                <w:sz w:val="18"/>
                <w:szCs w:val="18"/>
                <w:lang w:val="en-US"/>
              </w:rPr>
              <w:t xml:space="preserve">(4) Citrate PT, (5) APTT </w:t>
            </w:r>
            <w:r w:rsidRPr="00A831E7">
              <w:rPr>
                <w:rFonts w:eastAsia="Calibri"/>
                <w:i/>
                <w:iCs/>
                <w:sz w:val="18"/>
                <w:szCs w:val="18"/>
              </w:rPr>
              <w:t>και</w:t>
            </w:r>
            <w:r w:rsidRPr="00730D74">
              <w:rPr>
                <w:rFonts w:eastAsia="Calibri"/>
                <w:i/>
                <w:iCs/>
                <w:sz w:val="18"/>
                <w:szCs w:val="18"/>
                <w:lang w:val="en-US"/>
              </w:rPr>
              <w:t xml:space="preserve"> </w:t>
            </w:r>
          </w:p>
          <w:p w14:paraId="3F039A8E" w14:textId="24B3E451" w:rsidR="00095321" w:rsidRPr="00730D74" w:rsidRDefault="00B35529" w:rsidP="006A467F">
            <w:pPr>
              <w:rPr>
                <w:rFonts w:eastAsia="Calibri"/>
                <w:i/>
                <w:iCs/>
                <w:sz w:val="18"/>
                <w:szCs w:val="18"/>
                <w:lang w:val="en-US"/>
              </w:rPr>
            </w:pPr>
            <w:r w:rsidRPr="00730D74">
              <w:rPr>
                <w:rFonts w:eastAsia="Calibri"/>
                <w:i/>
                <w:iCs/>
                <w:sz w:val="18"/>
                <w:szCs w:val="18"/>
                <w:lang w:val="en-US"/>
              </w:rPr>
              <w:t>(6) Citrate APTT</w:t>
            </w:r>
          </w:p>
        </w:tc>
        <w:tc>
          <w:tcPr>
            <w:tcW w:w="786" w:type="dxa"/>
          </w:tcPr>
          <w:p w14:paraId="084D0C63" w14:textId="403FF49C" w:rsidR="00095321" w:rsidRPr="00A831E7" w:rsidRDefault="003F3425" w:rsidP="006A467F">
            <w:pPr>
              <w:jc w:val="center"/>
              <w:rPr>
                <w:rFonts w:eastAsia="Calibri"/>
                <w:sz w:val="20"/>
                <w:szCs w:val="20"/>
              </w:rPr>
            </w:pPr>
            <w:r w:rsidRPr="00A831E7">
              <w:rPr>
                <w:rFonts w:eastAsia="Calibri"/>
                <w:sz w:val="18"/>
                <w:szCs w:val="18"/>
              </w:rPr>
              <w:t>Pre/In-hospital</w:t>
            </w:r>
          </w:p>
        </w:tc>
      </w:tr>
      <w:tr w:rsidR="00095321" w:rsidRPr="00A831E7" w14:paraId="72846BB5" w14:textId="77777777" w:rsidTr="003F3425">
        <w:tc>
          <w:tcPr>
            <w:tcW w:w="1313" w:type="dxa"/>
          </w:tcPr>
          <w:p w14:paraId="691A223F" w14:textId="77777777" w:rsidR="00095321" w:rsidRPr="00A831E7" w:rsidRDefault="00095321" w:rsidP="006A467F">
            <w:pPr>
              <w:jc w:val="center"/>
              <w:rPr>
                <w:rFonts w:eastAsia="Calibri"/>
                <w:sz w:val="20"/>
                <w:szCs w:val="20"/>
              </w:rPr>
            </w:pPr>
            <w:r w:rsidRPr="00A831E7">
              <w:rPr>
                <w:rFonts w:eastAsia="Calibri"/>
                <w:sz w:val="20"/>
                <w:szCs w:val="20"/>
              </w:rPr>
              <w:t>PFA-100® (Dade Behring)</w:t>
            </w:r>
          </w:p>
          <w:p w14:paraId="632864BB" w14:textId="77777777" w:rsidR="00095321" w:rsidRPr="00A831E7" w:rsidRDefault="00095321" w:rsidP="006A467F">
            <w:pPr>
              <w:jc w:val="center"/>
              <w:rPr>
                <w:rFonts w:eastAsia="Calibri"/>
                <w:sz w:val="20"/>
                <w:szCs w:val="20"/>
              </w:rPr>
            </w:pPr>
          </w:p>
        </w:tc>
        <w:tc>
          <w:tcPr>
            <w:tcW w:w="3378" w:type="dxa"/>
          </w:tcPr>
          <w:p w14:paraId="1F38D473" w14:textId="2E8C3A0C" w:rsidR="00095321" w:rsidRPr="00A831E7" w:rsidRDefault="00B35529" w:rsidP="006A467F">
            <w:pPr>
              <w:rPr>
                <w:rFonts w:eastAsia="Calibri"/>
                <w:i/>
                <w:iCs/>
                <w:sz w:val="18"/>
                <w:szCs w:val="18"/>
              </w:rPr>
            </w:pPr>
            <w:r w:rsidRPr="00A831E7">
              <w:rPr>
                <w:rFonts w:eastAsia="Calibri"/>
                <w:i/>
                <w:iCs/>
                <w:sz w:val="18"/>
                <w:szCs w:val="18"/>
              </w:rPr>
              <w:t>POCT δυναμικής ροής υψηλής διατμητικής δύναμης που αξιολογεί τη συσσωμάτωση αιμοπεταλίων υπό υψηλή διατμητική τάση, προσομοιώνοντας τον σχηματισμό θρόμβου πλούσιου σε αιμοπετάλια μετά από βλάβη στο τοίχωμα μικρού αγγείου υπό συνθήκες ροής.</w:t>
            </w:r>
          </w:p>
        </w:tc>
        <w:tc>
          <w:tcPr>
            <w:tcW w:w="2825" w:type="dxa"/>
          </w:tcPr>
          <w:p w14:paraId="1FAD51AC" w14:textId="5B058C14" w:rsidR="00095321" w:rsidRPr="00A831E7" w:rsidRDefault="00B35529" w:rsidP="006A467F">
            <w:pPr>
              <w:rPr>
                <w:rFonts w:eastAsia="Calibri"/>
                <w:i/>
                <w:iCs/>
                <w:sz w:val="18"/>
                <w:szCs w:val="18"/>
              </w:rPr>
            </w:pPr>
            <w:r w:rsidRPr="00A831E7">
              <w:rPr>
                <w:rFonts w:eastAsia="Calibri"/>
                <w:i/>
                <w:iCs/>
                <w:sz w:val="18"/>
                <w:szCs w:val="18"/>
              </w:rPr>
              <w:t>Ταχεία και αξιόπιστη ταυτοποίηση ασθενών που δεν ανταποκρίνονται στην ασπιρίνη, χωρίς την ανάγκη εξειδικευμένου εργαστηρίου.</w:t>
            </w:r>
          </w:p>
        </w:tc>
        <w:tc>
          <w:tcPr>
            <w:tcW w:w="786" w:type="dxa"/>
          </w:tcPr>
          <w:p w14:paraId="5722F100" w14:textId="660B17D8" w:rsidR="00095321" w:rsidRPr="00A831E7" w:rsidRDefault="003F3425" w:rsidP="006A467F">
            <w:pPr>
              <w:jc w:val="center"/>
              <w:rPr>
                <w:rFonts w:eastAsia="Calibri"/>
                <w:sz w:val="20"/>
                <w:szCs w:val="20"/>
              </w:rPr>
            </w:pPr>
            <w:r w:rsidRPr="00A831E7">
              <w:rPr>
                <w:rFonts w:eastAsia="Calibri"/>
                <w:sz w:val="18"/>
                <w:szCs w:val="18"/>
              </w:rPr>
              <w:t>Post-hospital</w:t>
            </w:r>
          </w:p>
        </w:tc>
      </w:tr>
    </w:tbl>
    <w:p w14:paraId="2F73F4BF" w14:textId="5E3F5739" w:rsidR="003F3425" w:rsidRPr="00A831E7" w:rsidRDefault="003F3425" w:rsidP="00426730">
      <w:pPr>
        <w:jc w:val="both"/>
        <w:rPr>
          <w:i/>
          <w:iCs/>
          <w:sz w:val="18"/>
          <w:szCs w:val="18"/>
        </w:rPr>
      </w:pPr>
      <w:r w:rsidRPr="00A831E7">
        <w:rPr>
          <w:i/>
          <w:iCs/>
          <w:sz w:val="18"/>
          <w:szCs w:val="18"/>
        </w:rPr>
        <w:t>Pre/In-hospital (προ/ενδο-νοσοκομειακά): Βελτιώνει τη διάγνωση του εγκεφαλικού και μειώνει τον χρόνο έως την έναρξη της θεραπείας με IV-tPA.</w:t>
      </w:r>
    </w:p>
    <w:p w14:paraId="48B1BCB2" w14:textId="1292909C" w:rsidR="00095321" w:rsidRPr="00B07E2B" w:rsidRDefault="003F3425" w:rsidP="00B07E2B">
      <w:pPr>
        <w:jc w:val="both"/>
        <w:rPr>
          <w:rFonts w:eastAsia="Calibri"/>
          <w:sz w:val="18"/>
          <w:szCs w:val="18"/>
        </w:rPr>
      </w:pPr>
      <w:r w:rsidRPr="00A831E7">
        <w:rPr>
          <w:i/>
          <w:iCs/>
          <w:sz w:val="18"/>
          <w:szCs w:val="18"/>
        </w:rPr>
        <w:t>Post-hospital (μετά-νοσοκομειακά): Συμβάλλει στην πρόληψη της υποτροπής δευτερογενούς εγκεφαλικού επεισοδίου.</w:t>
      </w:r>
    </w:p>
    <w:p w14:paraId="04FA1099" w14:textId="77777777" w:rsidR="006A467F" w:rsidRDefault="006A467F" w:rsidP="0057069D">
      <w:pPr>
        <w:spacing w:line="360" w:lineRule="auto"/>
        <w:jc w:val="both"/>
        <w:rPr>
          <w:rFonts w:eastAsia="Calibri"/>
          <w:lang w:val="en-US"/>
        </w:rPr>
      </w:pPr>
    </w:p>
    <w:p w14:paraId="21FAF12D" w14:textId="77777777" w:rsidR="00B61252" w:rsidRPr="00B61252" w:rsidRDefault="00B61252" w:rsidP="0057069D">
      <w:pPr>
        <w:spacing w:line="360" w:lineRule="auto"/>
        <w:jc w:val="both"/>
        <w:rPr>
          <w:rFonts w:eastAsia="Calibri"/>
          <w:lang w:val="en-US"/>
        </w:rPr>
      </w:pPr>
    </w:p>
    <w:p w14:paraId="023F6A6F" w14:textId="7D294CF0" w:rsidR="00095321" w:rsidRPr="00A831E7" w:rsidRDefault="00095321" w:rsidP="0057069D">
      <w:pPr>
        <w:pStyle w:val="4"/>
        <w:spacing w:line="360" w:lineRule="auto"/>
        <w:rPr>
          <w:rFonts w:eastAsia="Calibri"/>
          <w:b w:val="0"/>
          <w:bCs/>
        </w:rPr>
      </w:pPr>
      <w:r w:rsidRPr="00A831E7">
        <w:rPr>
          <w:rFonts w:eastAsia="Calibri"/>
          <w:bCs/>
        </w:rPr>
        <w:t>CoaguChek® (Roche)</w:t>
      </w:r>
    </w:p>
    <w:p w14:paraId="346EEA8C" w14:textId="08F76947" w:rsidR="00095321" w:rsidRDefault="00095321" w:rsidP="00B07E2B">
      <w:pPr>
        <w:spacing w:line="360" w:lineRule="auto"/>
        <w:ind w:firstLine="720"/>
        <w:jc w:val="both"/>
        <w:rPr>
          <w:rFonts w:eastAsia="Calibri"/>
          <w:lang w:val="en-US"/>
        </w:rPr>
      </w:pPr>
      <w:r w:rsidRPr="00A831E7">
        <w:rPr>
          <w:rFonts w:eastAsia="Calibri"/>
        </w:rPr>
        <w:t>Μια μελέτη του 2023 συνέκρινε το CoaguChek XS με εργαστηριακές μετρήσεις πλάσματος INR, διαπιστώνοντας ότι το 81.3% των τιμών διέφεραν λιγότερο από 0.2 INR μονάδες</w:t>
      </w:r>
      <w:r w:rsidR="00B61252">
        <w:rPr>
          <w:rFonts w:eastAsia="Calibri"/>
        </w:rPr>
        <w:t xml:space="preserve"> από τις τιμές αναφοράς</w:t>
      </w:r>
      <w:r w:rsidRPr="00A831E7">
        <w:rPr>
          <w:rFonts w:eastAsia="Calibri"/>
        </w:rPr>
        <w:t xml:space="preserve">, επιβεβαιώνοντας την υψηλή ακρίβεια στην παρακολούθηση της θεραπείας με βαρφαρίνη </w:t>
      </w:r>
      <w:r w:rsidR="000742C0" w:rsidRPr="00A831E7">
        <w:rPr>
          <w:rFonts w:eastAsia="Calibri"/>
        </w:rPr>
        <w:fldChar w:fldCharType="begin"/>
      </w:r>
      <w:r w:rsidR="00B22777" w:rsidRPr="00A831E7">
        <w:rPr>
          <w:rFonts w:eastAsia="Calibri"/>
        </w:rPr>
        <w:instrText xml:space="preserve"> ADDIN ZOTERO_ITEM CSL_CITATION {"citationID":"wZSwLnwE","properties":{"formattedCitation":"[86]","plainCitation":"[86]","noteIndex":0},"citationItems":[{"id":1714,"uris":["http://zotero.org/users/local/mfHf28QG/items/6LXNGEPJ"],"itemData":{"id":1714,"type":"article-journal","abstract":"Warfarin monitoring may be done at the point-of-care (POC) at home, in a clinic environment, or be performed using plasma specimens in a central laboratory. With a goal of standardizing International Normalization Ratio (INR) measurements and improving data integrity by enabling electronic transmission of results from any location, we evaluated two POC INR devices against an internal plasma INR reference method.We conducted a multicenter study to test the accuracy of two commercially available point of care devices: Coag-Sense PT2 Meter (Coagusense, Inc., Fremont, CA) and CoaguChek XS Pro or XS Plus (Roche Diagnostics, Indianapolis, IN) compared with plasma INR values among warfarin treated patients. Bias and linear regression analysis were assessed for device-plasma INR comparisons. Warfarin dosing decisions were assessed for each device compared to an internal plasma INR reference method (Instrumentation Laboratories ACLTOP 500, 550, 750 analyzers (Werfen Diagnostics, Bedford MA) in one of three CLIA-certified laboratories. The thromboplastin used at our institution for INR measures is HemosIL RecombiPlasTin 2G (R2G) reagent (Werfen Diagnostics, Bedford MA) which has an International Sensitivity Index (ISI) of 1.0.Two hundred ninety-nine warfarin patients treated across three Mayo Clinic sites agreed to participate in the study. Common anticoagulant indications were atrial fibrillation (63.9%), venous thromboembolism (21.7%) and heart valve prosthesis (15.4%) with a 2.0–3.0 INR target range for 93.6% of patients. For the CoaguChek devices, 81.3% of values fell within 0.2 INR units of plasma INR referent and 95.3% within 0.4 units. The correlation between CoaguChek whole blood and plasma INR was excellent (R2 = 0.93). For the Coag-Sense device, 34.1% of values fell within 0.2 INR units and 60.2% within 0.4 INR units of plasma INR values, with a slightly weaker correlation between Coag-Sense whole blood and plasma INR (R2 = 0.83; P &amp;lt; 0.0001). Mean (± standard deviation) deviation from plasma INR was 0.04 ± 0.2 for CoaguChek compared to 0.4 ± 0.3 for Coag-Sense (P &amp;lt; 0.0001). The difference between POC devices was largely attributed to systematic negative bias between Coag-Sense and ACL TOP plasma INR values. Using the plasma INR as the reference method for dosing decision making, appropriate dosing recommendations would have occurred for 97.7% of CoaguChek and 81.6% of Coag-Sense results.Compared to our institution's plasma reference method, INR values obtained from the CoaguChek devices (XS Pro and XS Plus) exhibited less systematic bias compared to the Coag-Sense values. This translates to greater percentage of concordant management decisions between POC and laboratory plasma INR methods when the CoaguChek device is used.","container-title":"Clinical Chemistry","DOI":"10.1093/clinchem/hvad097.329","ISSN":"0009-9147","issue":"Supplement_1","journalAbbreviation":"Clinical Chemistry","page":"hvad097.329","source":"Silverchair","title":"A-373 Comparison of the CoaguChek ® and Coag-Sense ® PT2 Meter Point of Care INR Devices","volume":"69","author":[{"family":"Schumann","given":"T"},{"family":"Karon","given":"B"},{"family":"O'Connor","given":"C"},{"family":"Jennifer","given":"L"},{"family":"Blanco","given":"J"},{"family":"Hartman","given":"L"},{"family":"Kramer","given":"A"},{"family":"Uy","given":"J"},{"family":"Myhre","given":"N"},{"family":"Gayle","given":"D"},{"family":"Hartung","given":"K"},{"family":"David","given":"H"},{"family":"Santrach","given":"P"},{"family":"McBane","given":"R"}],"issued":{"date-parts":[["2023",10,1]]}}}],"schema":"https://github.com/citation-style-language/schema/raw/master/csl-citation.json"} </w:instrText>
      </w:r>
      <w:r w:rsidR="000742C0" w:rsidRPr="00A831E7">
        <w:rPr>
          <w:rFonts w:eastAsia="Calibri"/>
        </w:rPr>
        <w:fldChar w:fldCharType="separate"/>
      </w:r>
      <w:r w:rsidR="00B22777" w:rsidRPr="00A831E7">
        <w:rPr>
          <w:rFonts w:eastAsia="Calibri"/>
        </w:rPr>
        <w:t>[86]</w:t>
      </w:r>
      <w:r w:rsidR="000742C0" w:rsidRPr="00A831E7">
        <w:rPr>
          <w:rFonts w:eastAsia="Calibri"/>
        </w:rPr>
        <w:fldChar w:fldCharType="end"/>
      </w:r>
      <w:r w:rsidRPr="00A831E7">
        <w:rPr>
          <w:rFonts w:eastAsia="Calibri"/>
        </w:rPr>
        <w:t>. Η συγκριτική αξιολόγηση του CoaguChek XS έναντι πρότυπων εργαστηριακών μεθόδων έδειξε εξαιρετική συσχέτιση (R² = 0.93), επιβεβαιώνοντας την αξιοπιστία του στην παρακολούθηση INR</w:t>
      </w:r>
      <w:r w:rsidR="00B61252">
        <w:rPr>
          <w:rFonts w:eastAsia="Calibri"/>
        </w:rPr>
        <w:t xml:space="preserve"> </w:t>
      </w:r>
      <w:r w:rsidR="00B61252">
        <w:rPr>
          <w:rFonts w:eastAsia="Calibri"/>
        </w:rPr>
        <w:fldChar w:fldCharType="begin"/>
      </w:r>
      <w:r w:rsidR="00B61252">
        <w:rPr>
          <w:rFonts w:eastAsia="Calibri"/>
        </w:rPr>
        <w:instrText xml:space="preserve"> ADDIN ZOTERO_ITEM CSL_CITATION {"citationID":"ywtQU6vi","properties":{"formattedCitation":"[86]","plainCitation":"[86]","noteIndex":0},"citationItems":[{"id":1714,"uris":["http://zotero.org/users/local/mfHf28QG/items/6LXNGEPJ"],"itemData":{"id":1714,"type":"article-journal","abstract":"Warfarin monitoring may be done at the point-of-care (POC) at home, in a clinic environment, or be performed using plasma specimens in a central laboratory. With a goal of standardizing International Normalization Ratio (INR) measurements and improving data integrity by enabling electronic transmission of results from any location, we evaluated two POC INR devices against an internal plasma INR reference method.We conducted a multicenter study to test the accuracy of two commercially available point of care devices: Coag-Sense PT2 Meter (Coagusense, Inc., Fremont, CA) and CoaguChek XS Pro or XS Plus (Roche Diagnostics, Indianapolis, IN) compared with plasma INR values among warfarin treated patients. Bias and linear regression analysis were assessed for device-plasma INR comparisons. Warfarin dosing decisions were assessed for each device compared to an internal plasma INR reference method (Instrumentation Laboratories ACLTOP 500, 550, 750 analyzers (Werfen Diagnostics, Bedford MA) in one of three CLIA-certified laboratories. The thromboplastin used at our institution for INR measures is HemosIL RecombiPlasTin 2G (R2G) reagent (Werfen Diagnostics, Bedford MA) which has an International Sensitivity Index (ISI) of 1.0.Two hundred ninety-nine warfarin patients treated across three Mayo Clinic sites agreed to participate in the study. Common anticoagulant indications were atrial fibrillation (63.9%), venous thromboembolism (21.7%) and heart valve prosthesis (15.4%) with a 2.0–3.0 INR target range for 93.6% of patients. For the CoaguChek devices, 81.3% of values fell within 0.2 INR units of plasma INR referent and 95.3% within 0.4 units. The correlation between CoaguChek whole blood and plasma INR was excellent (R2 = 0.93). For the Coag-Sense device, 34.1% of values fell within 0.2 INR units and 60.2% within 0.4 INR units of plasma INR values, with a slightly weaker correlation between Coag-Sense whole blood and plasma INR (R2 = 0.83; P &amp;lt; 0.0001). Mean (± standard deviation) deviation from plasma INR was 0.04 ± 0.2 for CoaguChek compared to 0.4 ± 0.3 for Coag-Sense (P &amp;lt; 0.0001). The difference between POC devices was largely attributed to systematic negative bias between Coag-Sense and ACL TOP plasma INR values. Using the plasma INR as the reference method for dosing decision making, appropriate dosing recommendations would have occurred for 97.7% of CoaguChek and 81.6% of Coag-Sense results.Compared to our institution's plasma reference method, INR values obtained from the CoaguChek devices (XS Pro and XS Plus) exhibited less systematic bias compared to the Coag-Sense values. This translates to greater percentage of concordant management decisions between POC and laboratory plasma INR methods when the CoaguChek device is used.","container-title":"Clinical Chemistry","DOI":"10.1093/clinchem/hvad097.329","ISSN":"0009-9147","issue":"Supplement_1","journalAbbreviation":"Clinical Chemistry","page":"hvad097.329","source":"Silverchair","title":"A-373 Comparison of the CoaguChek ® and Coag-Sense ® PT2 Meter Point of Care INR Devices","volume":"69","author":[{"family":"Schumann","given":"T"},{"family":"Karon","given":"B"},{"family":"O'Connor","given":"C"},{"family":"Jennifer","given":"L"},{"family":"Blanco","given":"J"},{"family":"Hartman","given":"L"},{"family":"Kramer","given":"A"},{"family":"Uy","given":"J"},{"family":"Myhre","given":"N"},{"family":"Gayle","given":"D"},{"family":"Hartung","given":"K"},{"family":"David","given":"H"},{"family":"Santrach","given":"P"},{"family":"McBane","given":"R"}],"issued":{"date-parts":[["2023",10,1]]}}}],"schema":"https://github.com/citation-style-language/schema/raw/master/csl-citation.json"} </w:instrText>
      </w:r>
      <w:r w:rsidR="00B61252">
        <w:rPr>
          <w:rFonts w:eastAsia="Calibri"/>
        </w:rPr>
        <w:fldChar w:fldCharType="separate"/>
      </w:r>
      <w:r w:rsidR="00B61252" w:rsidRPr="00B61252">
        <w:rPr>
          <w:rFonts w:eastAsia="Calibri"/>
        </w:rPr>
        <w:t>[86]</w:t>
      </w:r>
      <w:r w:rsidR="00B61252">
        <w:rPr>
          <w:rFonts w:eastAsia="Calibri"/>
        </w:rPr>
        <w:fldChar w:fldCharType="end"/>
      </w:r>
      <w:r w:rsidRPr="00A831E7">
        <w:rPr>
          <w:rFonts w:eastAsia="Calibri"/>
        </w:rPr>
        <w:t>.</w:t>
      </w:r>
    </w:p>
    <w:p w14:paraId="3178A564" w14:textId="77777777" w:rsidR="00B61252" w:rsidRDefault="00B61252" w:rsidP="00B07E2B">
      <w:pPr>
        <w:spacing w:line="360" w:lineRule="auto"/>
        <w:ind w:firstLine="720"/>
        <w:jc w:val="both"/>
        <w:rPr>
          <w:rFonts w:eastAsia="Calibri"/>
          <w:lang w:val="en-US"/>
        </w:rPr>
      </w:pPr>
    </w:p>
    <w:p w14:paraId="15E12373" w14:textId="77777777" w:rsidR="00B61252" w:rsidRPr="00B61252" w:rsidRDefault="00B61252" w:rsidP="00B07E2B">
      <w:pPr>
        <w:spacing w:line="360" w:lineRule="auto"/>
        <w:ind w:firstLine="720"/>
        <w:jc w:val="both"/>
        <w:rPr>
          <w:rFonts w:eastAsia="Calibri"/>
          <w:lang w:val="en-US"/>
        </w:rPr>
      </w:pPr>
    </w:p>
    <w:p w14:paraId="79A60ED8" w14:textId="59ABF1FA" w:rsidR="00095321" w:rsidRPr="00A831E7" w:rsidRDefault="00095321" w:rsidP="00A46902">
      <w:pPr>
        <w:pStyle w:val="4"/>
        <w:rPr>
          <w:rFonts w:eastAsia="Calibri"/>
          <w:b w:val="0"/>
        </w:rPr>
      </w:pPr>
      <w:r w:rsidRPr="00A831E7">
        <w:rPr>
          <w:rFonts w:eastAsia="Calibri"/>
        </w:rPr>
        <w:lastRenderedPageBreak/>
        <w:t>i-STAT (Abbott)</w:t>
      </w:r>
    </w:p>
    <w:p w14:paraId="72946708" w14:textId="210075DB" w:rsidR="00095321" w:rsidRPr="00A831E7" w:rsidRDefault="00095321" w:rsidP="0057069D">
      <w:pPr>
        <w:spacing w:line="360" w:lineRule="auto"/>
        <w:ind w:firstLine="720"/>
        <w:jc w:val="both"/>
        <w:rPr>
          <w:rFonts w:eastAsia="Calibri"/>
        </w:rPr>
      </w:pPr>
      <w:r w:rsidRPr="00A831E7">
        <w:rPr>
          <w:rFonts w:eastAsia="Calibri"/>
        </w:rPr>
        <w:t xml:space="preserve">Το i-STAT TBI test έλαβε πρόσφατα έγκριση FDA για ταχεία </w:t>
      </w:r>
      <w:r w:rsidR="000742C0" w:rsidRPr="00A831E7">
        <w:rPr>
          <w:rFonts w:eastAsia="Calibri"/>
        </w:rPr>
        <w:t>«</w:t>
      </w:r>
      <w:r w:rsidRPr="00A831E7">
        <w:rPr>
          <w:rFonts w:eastAsia="Calibri"/>
        </w:rPr>
        <w:t>bedside</w:t>
      </w:r>
      <w:r w:rsidR="000742C0" w:rsidRPr="00A831E7">
        <w:rPr>
          <w:rFonts w:eastAsia="Calibri"/>
        </w:rPr>
        <w:t>»</w:t>
      </w:r>
      <w:r w:rsidRPr="00A831E7">
        <w:rPr>
          <w:rFonts w:eastAsia="Calibri"/>
        </w:rPr>
        <w:t xml:space="preserve"> αξιολόγηση τραυματικής εγκεφαλικής κάκωσης (TBI), παρέχοντας αποτελέσματα ποιότητας εργαστηρίου σε μόλις 15 λεπτά. Μελέτη στο i-STAT Alinity system έδειξε ότι τα αποτελέσματά του είχαν ισχυρή συσχέτιση (R² &gt; 95%) με εργαστηριακά όργανα, επιβεβαιώνοντας την αξιοπιστία του στις </w:t>
      </w:r>
      <w:r w:rsidR="000742C0" w:rsidRPr="00A831E7">
        <w:rPr>
          <w:rFonts w:eastAsia="Calibri"/>
        </w:rPr>
        <w:t>«</w:t>
      </w:r>
      <w:r w:rsidRPr="00A831E7">
        <w:rPr>
          <w:rFonts w:eastAsia="Calibri"/>
        </w:rPr>
        <w:t>bedside</w:t>
      </w:r>
      <w:r w:rsidR="000742C0" w:rsidRPr="00A831E7">
        <w:rPr>
          <w:rFonts w:eastAsia="Calibri"/>
        </w:rPr>
        <w:t>»</w:t>
      </w:r>
      <w:r w:rsidRPr="00A831E7">
        <w:rPr>
          <w:rFonts w:eastAsia="Calibri"/>
        </w:rPr>
        <w:t xml:space="preserve"> διαγνώσεις </w:t>
      </w:r>
      <w:r w:rsidR="000742C0" w:rsidRPr="00A831E7">
        <w:rPr>
          <w:rFonts w:eastAsia="Calibri"/>
        </w:rPr>
        <w:fldChar w:fldCharType="begin"/>
      </w:r>
      <w:r w:rsidR="00B61252">
        <w:rPr>
          <w:rFonts w:eastAsia="Calibri"/>
        </w:rPr>
        <w:instrText xml:space="preserve"> ADDIN ZOTERO_ITEM CSL_CITATION {"citationID":"LCpZG1Fz","properties":{"formattedCitation":"[87]","plainCitation":"[87]","noteIndex":0},"citationItems":[{"id":1717,"uris":["http://zotero.org/users/local/mfHf28QG/items/5JIJQTQI"],"itemData":{"id":1717,"type":"article-journal","abstract":"Many Point-of-Care devices have been released over the past decade. However, data regarding their analytical performances in real-world situations remains scarce. Herein, we aimed to assess the analytical performances of the i-STAT Alinity system. We conducted an analytical performances study with the i-STAT Alinity device using cartridges CG4+ (pH, Pco2, Po2, lactate, bicarbonate and base excess); CHEM8+ (Na, K, Cl, ionized Ca, urea, creatinine, glucose, hematocrit and hemoglobin) and PT/INR (prothrombin time and international normalized ratio). We assessed the imprecision and compared the results to those obtained on existing instruments in the central laboratory. We found that the within-lab coefficients of variation (CV) were very low (&lt;2%) or low (2–5%), except for creatinine and PT (CV = 5.2% and CV = 6.3%, respectively). For almost all the parameters, the results were strongly (R2 = 90–95%) or very strongly (R2 &gt; 95%) correlated with those of the existing laboratory instruments, and the biases were very low (&lt;2%) or low (2–5%). However, correlations of the PT and INR measurements with existing instruments were lower (R2 = 86.0% and 89.7%), and biases in the Po2 (7.9%), creatinine (5.4%) and PT (−6.6%) measurements were higher. The i-STAT Alinity appeared as a convenient device for measurements of numerous parameters. However, clinicians should interpret Po2, creatinine and PT results with caution.","container-title":"Diagnostics","DOI":"10.3390/diagnostics13020297","ISSN":"2075-4418","issue":"2","language":"en","license":"http://creativecommons.org/licenses/by/3.0/","note":"number: 2\npublisher: Multidisciplinary Digital Publishing Institute","page":"297","source":"www.mdpi.com","title":"Analytical Performances of the Novel i-STAT Alinity Point-of-Care Analyzer","volume":"13","author":[{"family":"Larcher","given":"Romaric"},{"family":"Lottelier","given":"Maxence"},{"family":"Badiou","given":"Stephanie"},{"family":"Dupuy","given":"Anne-Marie"},{"family":"Bargnoux","given":"Anne-Sophie"},{"family":"Cristol","given":"Jean-Paul"}],"issued":{"date-parts":[["2023",1]]}}}],"schema":"https://github.com/citation-style-language/schema/raw/master/csl-citation.json"} </w:instrText>
      </w:r>
      <w:r w:rsidR="000742C0" w:rsidRPr="00A831E7">
        <w:rPr>
          <w:rFonts w:eastAsia="Calibri"/>
        </w:rPr>
        <w:fldChar w:fldCharType="separate"/>
      </w:r>
      <w:r w:rsidR="00B61252" w:rsidRPr="00B61252">
        <w:rPr>
          <w:rFonts w:eastAsia="Calibri"/>
        </w:rPr>
        <w:t>[87]</w:t>
      </w:r>
      <w:r w:rsidR="000742C0" w:rsidRPr="00A831E7">
        <w:rPr>
          <w:rFonts w:eastAsia="Calibri"/>
        </w:rPr>
        <w:fldChar w:fldCharType="end"/>
      </w:r>
      <w:r w:rsidRPr="00A831E7">
        <w:rPr>
          <w:rFonts w:eastAsia="Calibri"/>
        </w:rPr>
        <w:t>.</w:t>
      </w:r>
    </w:p>
    <w:p w14:paraId="6EE4C6CF" w14:textId="77777777" w:rsidR="00095321" w:rsidRPr="00A831E7" w:rsidRDefault="00095321" w:rsidP="0057069D">
      <w:pPr>
        <w:spacing w:line="360" w:lineRule="auto"/>
        <w:jc w:val="both"/>
        <w:rPr>
          <w:rFonts w:eastAsia="Calibri"/>
        </w:rPr>
      </w:pPr>
    </w:p>
    <w:p w14:paraId="424193C5" w14:textId="03D07352" w:rsidR="00095321" w:rsidRPr="00A831E7" w:rsidRDefault="00095321" w:rsidP="0057069D">
      <w:pPr>
        <w:pStyle w:val="4"/>
        <w:spacing w:line="360" w:lineRule="auto"/>
        <w:rPr>
          <w:rFonts w:eastAsia="Calibri"/>
          <w:b w:val="0"/>
          <w:bCs/>
        </w:rPr>
      </w:pPr>
      <w:r w:rsidRPr="00A831E7">
        <w:rPr>
          <w:rFonts w:eastAsia="Calibri"/>
          <w:bCs/>
        </w:rPr>
        <w:t>Mobile Stroke Unit (MSU)</w:t>
      </w:r>
    </w:p>
    <w:p w14:paraId="68CEBBC3" w14:textId="69956FA3" w:rsidR="00095321" w:rsidRPr="00A831E7" w:rsidRDefault="00095321" w:rsidP="0057069D">
      <w:pPr>
        <w:spacing w:line="360" w:lineRule="auto"/>
        <w:ind w:firstLine="720"/>
        <w:jc w:val="both"/>
        <w:rPr>
          <w:rFonts w:eastAsia="Calibri"/>
        </w:rPr>
      </w:pPr>
      <w:r w:rsidRPr="00A831E7">
        <w:rPr>
          <w:rFonts w:eastAsia="Calibri"/>
        </w:rPr>
        <w:t>Μια συστηματική ανασκόπηση κατέληξε στο συμπέρασμα ότι οι MSUs μειώνουν τον χρόνο έναρξης θεραπείας κατά 32.64 λεπτά, βελτιώνοντας σημαντικά τα αποτελέσματα των ασθενών με εγκεφαλικ</w:t>
      </w:r>
      <w:r w:rsidR="00456A0D">
        <w:rPr>
          <w:rFonts w:eastAsia="Calibri"/>
        </w:rPr>
        <w:t xml:space="preserve">ό </w:t>
      </w:r>
      <w:r w:rsidR="00456A0D">
        <w:rPr>
          <w:rFonts w:eastAsia="Calibri"/>
        </w:rPr>
        <w:fldChar w:fldCharType="begin"/>
      </w:r>
      <w:r w:rsidR="00456A0D">
        <w:rPr>
          <w:rFonts w:eastAsia="Calibri"/>
        </w:rPr>
        <w:instrText xml:space="preserve"> ADDIN ZOTERO_ITEM CSL_CITATION {"citationID":"naaIq2iF","properties":{"formattedCitation":"[88]","plainCitation":"[88]","noteIndex":0},"citationItems":[{"id":1852,"uris":["http://zotero.org/users/local/mfHf28QG/items/ABXFBXVX"],"itemData":{"id":1852,"type":"article-journal","abstract":"AbstractBackground: Mobile stroke unit (MSU) is deployed to shorten the duration of ischemic stroke recognition to thrombolysis treatment, thus reducing disability, mortality after an acute stroke attack, and related economic burden. Therefore, we conducted a comprehensive systematic review of the clinical trial and economic literature focusing on various outcomes of MSU compared with conventional emergency medical services (EMS).Methods: An electronic search was conducted in four databases (PubMed, OVID Medline, Embase, and the Cochrane Controlled Register of Trials) from 1990 to 2021. In these trials, patients with acute stroke were assigned to receive either MSU or EMS, with clinical and economic outcomes. First, we extracted interested data in the pooled population and conducted a subgroup analysis to examine related heterogeneity. We then implemented a descriptive analysis of economic outcomes. All analyses were performed with R 4.0.1 software.Results: A total of 22766 patients from 16 publications were included. 7682 (n=33.8%) were treated in the MSU and 15084 (n=66.2%) in the conventional EMS. Economic analysis were available in four studies, of which two were based on trial data and the others on model simulations. The pooled analysis of time metrics indicated a mean reduction of 32.64 minutes (95% confidence interval: 23.38-41.89, p&lt;0.01) and 28.26 minutes (95% CI: 16.11-40.41, p&lt;0.01) in the time-to-therapy and time-to-CT completion, respectively in the MSU. However, there was no significant difference on stroke-related neurological events (OR=0.94, 95% CI: 0.70-1.27, p=0.69) and in-hospital mortality (OR=1.11, 95% CI: 0.83-1.50, p=0.48) between the MSU and EMS. The proportion of patients with modified Ranking scale (mRS) of 0–2 at 90 days from onset was higher in the MSU than EMS (p&lt;0.05). MSU displayed favorable benefit-cost ratios (2.16-6.85) and incremental cost-effectiveness ratio ($31,911 /QALY and $38,731 per DALY) comparing to EMS in multiple economic publications. Total cost data based on 2014 USD showed that the MSU has the highest cost in Australia ($1,410,708) and the lowest cost in the USA ($783,463).Conclusion: A comprehensive analysis of current research suggests that MUS, compared with conventional EMS, has a better performance in terms of time metrics, safety, long-term medical benefits, and cost-effectiveness.","container-title":"Frontiers in Neurology","DOI":"10.3389/fneur.2022.803162","ISSN":"1664-2295","journalAbbreviation":"Front. Neurol.","language":"English","note":"publisher: Frontiers","source":"Frontiers","title":"A Systematic Review of Mobile Stroke Unit Among Acute Stroke Patients: Time Metrics, Adverse Events, Functional Result and Cost-Effectiveness","title-short":"A Systematic Review of Mobile Stroke Unit Among Acute Stroke Patients","URL":"https://www.frontiersin.org/journals/neurology/articles/10.3389/fneur.2022.803162/full","volume":"13","author":[{"family":"Chen","given":"Jieyun"},{"family":"Lin","given":"Xiaoying"},{"family":"Cai","given":"Yali"},{"family":"Huang","given":"Risheng"},{"family":"Yang","given":"Songyu"},{"family":"Zhang","given":"Gaofeng"}],"accessed":{"date-parts":[["2025",6,2]]},"issued":{"date-parts":[["2022",3,9]]}}}],"schema":"https://github.com/citation-style-language/schema/raw/master/csl-citation.json"} </w:instrText>
      </w:r>
      <w:r w:rsidR="00456A0D">
        <w:rPr>
          <w:rFonts w:eastAsia="Calibri"/>
        </w:rPr>
        <w:fldChar w:fldCharType="separate"/>
      </w:r>
      <w:r w:rsidR="00456A0D" w:rsidRPr="00456A0D">
        <w:rPr>
          <w:rFonts w:eastAsia="Calibri"/>
        </w:rPr>
        <w:t>[88]</w:t>
      </w:r>
      <w:r w:rsidR="00456A0D">
        <w:rPr>
          <w:rFonts w:eastAsia="Calibri"/>
        </w:rPr>
        <w:fldChar w:fldCharType="end"/>
      </w:r>
      <w:r w:rsidRPr="00A831E7">
        <w:rPr>
          <w:rFonts w:eastAsia="Calibri"/>
        </w:rPr>
        <w:t>. Μια άλλη μελέτη που συνέκρινε MSU με συμβατική περίθαλψη έδειξε ότι οι ασθενείς που αντιμετωπίστηκαν μέσω MSU είχαν υψηλότερα ποσοστά εξαιρετικής ανάρρωσης (</w:t>
      </w:r>
      <w:r w:rsidR="00456A0D">
        <w:rPr>
          <w:rFonts w:eastAsia="Calibri"/>
          <w:lang w:val="en-US"/>
        </w:rPr>
        <w:t xml:space="preserve">modified Ranking Scale, mRS </w:t>
      </w:r>
      <w:r w:rsidR="00456A0D">
        <w:rPr>
          <w:rFonts w:eastAsia="Calibri"/>
        </w:rPr>
        <w:t xml:space="preserve">με </w:t>
      </w:r>
      <w:r w:rsidR="00456A0D">
        <w:rPr>
          <w:rFonts w:eastAsia="Calibri"/>
          <w:lang w:val="en-US"/>
        </w:rPr>
        <w:t>score 0</w:t>
      </w:r>
      <w:r w:rsidR="00456A0D">
        <w:rPr>
          <w:rFonts w:eastAsia="Calibri"/>
        </w:rPr>
        <w:t xml:space="preserve"> σε 1, σε βάθος</w:t>
      </w:r>
      <w:r w:rsidR="00456A0D">
        <w:rPr>
          <w:rFonts w:eastAsia="Calibri"/>
          <w:lang w:val="en-US"/>
        </w:rPr>
        <w:t xml:space="preserve"> </w:t>
      </w:r>
      <w:r w:rsidRPr="00A831E7">
        <w:rPr>
          <w:rFonts w:eastAsia="Calibri"/>
        </w:rPr>
        <w:t>90 ημ</w:t>
      </w:r>
      <w:r w:rsidR="00456A0D">
        <w:rPr>
          <w:rFonts w:eastAsia="Calibri"/>
        </w:rPr>
        <w:t>ε</w:t>
      </w:r>
      <w:r w:rsidRPr="00A831E7">
        <w:rPr>
          <w:rFonts w:eastAsia="Calibri"/>
        </w:rPr>
        <w:t>ρ</w:t>
      </w:r>
      <w:r w:rsidR="00456A0D">
        <w:rPr>
          <w:rFonts w:eastAsia="Calibri"/>
        </w:rPr>
        <w:t>ών</w:t>
      </w:r>
      <w:r w:rsidRPr="00A831E7">
        <w:rPr>
          <w:rFonts w:eastAsia="Calibri"/>
        </w:rPr>
        <w:t>)</w:t>
      </w:r>
      <w:r w:rsidR="000742C0" w:rsidRPr="00A831E7">
        <w:rPr>
          <w:rFonts w:eastAsia="Calibri"/>
        </w:rPr>
        <w:t xml:space="preserve"> </w:t>
      </w:r>
      <w:r w:rsidR="000742C0" w:rsidRPr="00A831E7">
        <w:rPr>
          <w:rFonts w:eastAsia="Calibri"/>
        </w:rPr>
        <w:fldChar w:fldCharType="begin"/>
      </w:r>
      <w:r w:rsidR="00B61252">
        <w:rPr>
          <w:rFonts w:eastAsia="Calibri"/>
        </w:rPr>
        <w:instrText xml:space="preserve"> ADDIN ZOTERO_ITEM CSL_CITATION {"citationID":"ToVH1BBb","properties":{"formattedCitation":"[89]","plainCitation":"[89]","noteIndex":0},"citationItems":[{"id":1720,"uris":["http://zotero.org/users/local/mfHf28QG/items/M8HJ7J48"],"itemData":{"id":1720,"type":"article-journal","abstract":"So far, uncertainty remains as to whether there is sufficient cumulative evidence that mobile stroke unit (MSU; specialized ambulance equipped with computed tomography scanner, point-of-care laboratory, and neurological expertise) use leads to better functional outcomes compared with usual care.To determine with a systematic review and meta-analysis of the literature whether MSU use is associated with better functional outcomes in patients with acute ischemic stroke (AIS).MEDLINE, Cochrane Library, and Embase from 1960 to 2021.Studies comparing MSU deployment and usual care for patients with suspected stroke were eligible for analysis, excluding case series and case-control studies.Independent data extraction by 2 observers, following the PRISMA and MOOSE reporting guidelines. The risk of bias in each study was determined using the ROBINS-I and RoB2 tools. In the case of articles with partially overlapping study populations, unpublished disentangled results were obtained. Data were pooled in random-effects meta-analyses.The primary outcome was excellent outcome as measured with the modified Rankin Scale (mRS; score of 0 to 1 at 90 days).Compared with usual care, MSU use was associated with excellent outcome (adjusted odds ratio [OR], 1.64; 95% CI, 1.27-2.13; P &amp;lt; .001; 5 studies; n = 3228), reduced disability over the full range of the mRS (adjusted common OR, 1.39; 95% CI, 1.14-1.70; P = .001; 3 studies; n = 1563), good outcome (mRS score of 0 to 2: crude OR, 1.25; 95% CI, 1.09-1.44; P = .001; 6 studies; n = 3266), shorter onset-to-intravenous thrombolysis (IVT) times (median reduction, 31 minutes [95% CI, 23-39]; P &amp;lt; .001; 13 studies; n = 3322), delivery of IVT (crude OR, 1.83; 95% CI, 1.58-2.12; P &amp;lt; .001; 7 studies; n = 4790), and IVT within 60 minutes of symptom onset (crude OR, 7.71; 95% CI, 4.17-14.25; P &amp;lt; .001; 8 studies; n = 3351). MSU use was not associated with an increased risk of all-cause mortality at 7 days or at 90 days or with higher proportions of symptomatic intracranial hemorrhage after IVT.Compared with usual care, MSU use was associated with an approximately 65% increase in the odds of excellent outcome and a 30-minute reduction in onset-to-IVT times, without safety concerns. These results should help guideline writing committees and policy makers.","container-title":"JAMA Neurology","DOI":"10.1001/jamaneurol.2021.5321","ISSN":"2168-6149","issue":"3","journalAbbreviation":"JAMA Neurology","page":"281-290","source":"Silverchair","title":"Comparison of Mobile Stroke Unit With Usual Care for Acute Ischemic Stroke Management: A Systematic Review and Meta-analysis","title-short":"Comparison of Mobile Stroke Unit With Usual Care for Acute Ischemic Stroke Management","volume":"79","author":[{"family":"Turc","given":"Guillaume"},{"family":"Hadziahmetovic","given":"Melika"},{"family":"Walter","given":"Silke"},{"family":"Churilov","given":"Leonid"},{"family":"Larsen","given":"Karianne"},{"family":"Grotta","given":"James C."},{"family":"Yamal","given":"Jose-Miguel"},{"family":"Bowry","given":"Ritvij"},{"family":"Katsanos","given":"Aristeidis H."},{"family":"Zhao","given":"Henry"},{"family":"Donnan","given":"Geoffrey"},{"family":"Davis","given":"Stephen M."},{"family":"Hussain","given":"Muhammad S."},{"family":"Uchino","given":"Ken"},{"family":"Helwig","given":"Stefan A."},{"family":"Johns","given":"Hannah"},{"family":"Weber","given":"Joachim E."},{"family":"Nolte","given":"Christian H."},{"family":"Kunz","given":"Alexander"},{"family":"Steiner","given":"Thorsten"},{"family":"Sacco","given":"Simona"},{"family":"Ebinger","given":"Martin"},{"family":"Tsivgoulis","given":"Georgios"},{"family":"Faßbender","given":"Klaus"},{"family":"Audebert","given":"Heinrich J."}],"issued":{"date-parts":[["2022",3,1]]}}}],"schema":"https://github.com/citation-style-language/schema/raw/master/csl-citation.json"} </w:instrText>
      </w:r>
      <w:r w:rsidR="000742C0" w:rsidRPr="00A831E7">
        <w:rPr>
          <w:rFonts w:eastAsia="Calibri"/>
        </w:rPr>
        <w:fldChar w:fldCharType="separate"/>
      </w:r>
      <w:r w:rsidR="00B61252" w:rsidRPr="00B61252">
        <w:rPr>
          <w:rFonts w:eastAsia="Calibri"/>
        </w:rPr>
        <w:t>[89]</w:t>
      </w:r>
      <w:r w:rsidR="000742C0" w:rsidRPr="00A831E7">
        <w:rPr>
          <w:rFonts w:eastAsia="Calibri"/>
        </w:rPr>
        <w:fldChar w:fldCharType="end"/>
      </w:r>
      <w:r w:rsidRPr="00A831E7">
        <w:rPr>
          <w:rFonts w:eastAsia="Calibri"/>
        </w:rPr>
        <w:t>.</w:t>
      </w:r>
    </w:p>
    <w:p w14:paraId="3557C940" w14:textId="77777777" w:rsidR="00095321" w:rsidRPr="00A831E7" w:rsidRDefault="00095321" w:rsidP="0057069D">
      <w:pPr>
        <w:spacing w:line="360" w:lineRule="auto"/>
        <w:jc w:val="both"/>
        <w:rPr>
          <w:rFonts w:eastAsia="Calibri"/>
        </w:rPr>
      </w:pPr>
    </w:p>
    <w:p w14:paraId="5E0627D1" w14:textId="347987B4" w:rsidR="00095321" w:rsidRPr="00A831E7" w:rsidRDefault="00095321" w:rsidP="0057069D">
      <w:pPr>
        <w:pStyle w:val="4"/>
        <w:spacing w:line="360" w:lineRule="auto"/>
        <w:rPr>
          <w:rFonts w:eastAsia="Calibri"/>
          <w:b w:val="0"/>
          <w:bCs/>
        </w:rPr>
      </w:pPr>
      <w:r w:rsidRPr="00A831E7">
        <w:rPr>
          <w:rFonts w:eastAsia="Calibri"/>
          <w:bCs/>
        </w:rPr>
        <w:t>Hemochron® Junior (ITC)</w:t>
      </w:r>
    </w:p>
    <w:p w14:paraId="1FEC80C3" w14:textId="144B1737" w:rsidR="00095321" w:rsidRDefault="00095321" w:rsidP="006A467F">
      <w:pPr>
        <w:spacing w:line="360" w:lineRule="auto"/>
        <w:ind w:firstLine="720"/>
        <w:jc w:val="both"/>
        <w:rPr>
          <w:rFonts w:eastAsia="Calibri"/>
        </w:rPr>
      </w:pPr>
      <w:r w:rsidRPr="00A831E7">
        <w:rPr>
          <w:rFonts w:eastAsia="Calibri"/>
        </w:rPr>
        <w:t xml:space="preserve">Μια μελέτη επικύρωσης διαπίστωσε ότι το Hemochron Jr. Signature+ παρέχει ακριβείς μετρήσεις του χρόνου προθρομβίνης (PT) και του ενεργοποιημένου χρόνου πήξης (ACT), με συντελεστές συσχέτισης 0.912 και 0.972, αντίστοιχα </w:t>
      </w:r>
      <w:r w:rsidR="000742C0" w:rsidRPr="00A831E7">
        <w:rPr>
          <w:rFonts w:eastAsia="Calibri"/>
        </w:rPr>
        <w:fldChar w:fldCharType="begin"/>
      </w:r>
      <w:r w:rsidR="00B61252">
        <w:rPr>
          <w:rFonts w:eastAsia="Calibri"/>
        </w:rPr>
        <w:instrText xml:space="preserve"> ADDIN ZOTERO_ITEM CSL_CITATION {"citationID":"sVjvp2xb","properties":{"formattedCitation":"[90]","plainCitation":"[90]","noteIndex":0},"citationItems":[{"id":1722,"uris":["http://zotero.org/users/local/mfHf28QG/items/R52YR36W"],"itemData":{"id":1722,"type":"article-journal","abstract":"The Hemochron Jr. Signature+ is a point-of-care (POC) coagulation device that incorporates data and quality management features most often cited by health care professionals as crucial. The Hemochron Signature+ and the Hemochron Configuration Manager","container-title":"Point of Care: The Journal of Near-Patient Testing &amp;amp; Technology","DOI":"10.1097/00134384-200306000-00010","ISSN":"1533-029X","issue":"2","page":"129","source":"www.academia.edu","title":"Validation of the Hemochron Jr. Signature + Microcoagulation System and the Hemochron Configuration Manager","volume":"2","author":[{"family":"Jaryno","given":"Stacy A."},{"family":"Zucker","given":"Marcia L."},{"family":"Rouby","given":"Soumaya El"},{"family":"Franks","given":"Brenda L. M."},{"family":"Nichols","given":"James"},{"family":"Anestis","given":"Kathy"},{"family":"McRae","given":"Karen"},{"family":"McDuffie","given":"Susan"},{"family":"Marcello","given":"Don"},{"family":"Jacobs","given":"Ellis"},{"family":"LaDuca","given":"Frank M."}],"issued":{"date-parts":[["2003"]]}}}],"schema":"https://github.com/citation-style-language/schema/raw/master/csl-citation.json"} </w:instrText>
      </w:r>
      <w:r w:rsidR="000742C0" w:rsidRPr="00A831E7">
        <w:rPr>
          <w:rFonts w:eastAsia="Calibri"/>
        </w:rPr>
        <w:fldChar w:fldCharType="separate"/>
      </w:r>
      <w:r w:rsidR="00B61252" w:rsidRPr="00B61252">
        <w:rPr>
          <w:rFonts w:eastAsia="Calibri"/>
        </w:rPr>
        <w:t>[90]</w:t>
      </w:r>
      <w:r w:rsidR="000742C0" w:rsidRPr="00A831E7">
        <w:rPr>
          <w:rFonts w:eastAsia="Calibri"/>
        </w:rPr>
        <w:fldChar w:fldCharType="end"/>
      </w:r>
      <w:r w:rsidRPr="00A831E7">
        <w:rPr>
          <w:rFonts w:eastAsia="Calibri"/>
        </w:rPr>
        <w:t>. Άλλη μελέτη συνέκρινε το Hemochron Jr. με το ACT Plus, δείχνοντας σταθερότητα στην παρακολούθηση της αντιπηκτικής αγωγής σε καρδιοχειρουργικές επεμβάσεις</w:t>
      </w:r>
      <w:r w:rsidR="007B4C5C">
        <w:rPr>
          <w:rFonts w:eastAsia="Calibri"/>
        </w:rPr>
        <w:t xml:space="preserve"> </w:t>
      </w:r>
      <w:r w:rsidR="007B4C5C">
        <w:rPr>
          <w:rFonts w:eastAsia="Calibri"/>
        </w:rPr>
        <w:fldChar w:fldCharType="begin"/>
      </w:r>
      <w:r w:rsidR="007B4C5C">
        <w:rPr>
          <w:rFonts w:eastAsia="Calibri"/>
        </w:rPr>
        <w:instrText xml:space="preserve"> ADDIN ZOTERO_ITEM CSL_CITATION {"citationID":"wA9u32NC","properties":{"formattedCitation":"[91]","plainCitation":"[91]","noteIndex":0},"citationItems":[{"id":1854,"uris":["http://zotero.org/users/local/mfHf28QG/items/NRH2RBVR"],"itemData":{"id":1854,"type":"webpage","title":"Hemochron and ACT Plus in Cardiac Disease - Clinical Trials Registry - ICH GCP","URL":"https://ichgcp.net/clinical-trials-registry/NCT02484157","accessed":{"date-parts":[["2025",6,2]]}}}],"schema":"https://github.com/citation-style-language/schema/raw/master/csl-citation.json"} </w:instrText>
      </w:r>
      <w:r w:rsidR="007B4C5C">
        <w:rPr>
          <w:rFonts w:eastAsia="Calibri"/>
        </w:rPr>
        <w:fldChar w:fldCharType="separate"/>
      </w:r>
      <w:r w:rsidR="007B4C5C" w:rsidRPr="007B4C5C">
        <w:rPr>
          <w:rFonts w:eastAsia="Calibri"/>
        </w:rPr>
        <w:t>[91]</w:t>
      </w:r>
      <w:r w:rsidR="007B4C5C">
        <w:rPr>
          <w:rFonts w:eastAsia="Calibri"/>
        </w:rPr>
        <w:fldChar w:fldCharType="end"/>
      </w:r>
      <w:r w:rsidRPr="00A831E7">
        <w:rPr>
          <w:rFonts w:eastAsia="Calibri"/>
        </w:rPr>
        <w:t>.</w:t>
      </w:r>
    </w:p>
    <w:p w14:paraId="058B6052" w14:textId="77777777" w:rsidR="006A467F" w:rsidRPr="006A467F" w:rsidRDefault="006A467F" w:rsidP="006A467F">
      <w:pPr>
        <w:spacing w:line="360" w:lineRule="auto"/>
        <w:ind w:firstLine="720"/>
        <w:jc w:val="both"/>
        <w:rPr>
          <w:rFonts w:eastAsia="Calibri"/>
        </w:rPr>
      </w:pPr>
    </w:p>
    <w:p w14:paraId="009BDED8" w14:textId="1E28D7D3" w:rsidR="00095321" w:rsidRPr="00A831E7" w:rsidRDefault="00095321" w:rsidP="0057069D">
      <w:pPr>
        <w:pStyle w:val="4"/>
        <w:spacing w:line="360" w:lineRule="auto"/>
        <w:rPr>
          <w:rFonts w:eastAsia="Calibri"/>
          <w:b w:val="0"/>
          <w:bCs/>
        </w:rPr>
      </w:pPr>
      <w:r w:rsidRPr="00A831E7">
        <w:rPr>
          <w:rFonts w:eastAsia="Calibri"/>
          <w:bCs/>
        </w:rPr>
        <w:t>PFA-100® (Dade Behring)</w:t>
      </w:r>
    </w:p>
    <w:p w14:paraId="58E4E69D" w14:textId="12700DD0" w:rsidR="00B07E2B" w:rsidRDefault="00095321" w:rsidP="00C7272A">
      <w:pPr>
        <w:spacing w:line="360" w:lineRule="auto"/>
        <w:ind w:firstLine="720"/>
        <w:jc w:val="both"/>
        <w:rPr>
          <w:rFonts w:eastAsia="Calibri"/>
        </w:rPr>
      </w:pPr>
      <w:r w:rsidRPr="00A831E7">
        <w:rPr>
          <w:rFonts w:eastAsia="Calibri"/>
        </w:rPr>
        <w:t>Μελέτη του 2023 αξιολόγησε το PFA-100 σε ασθενείς με διαταραχές πήξης</w:t>
      </w:r>
      <w:r w:rsidR="00735E7C">
        <w:rPr>
          <w:rFonts w:eastAsia="Calibri"/>
          <w:lang w:val="en-US"/>
        </w:rPr>
        <w:t xml:space="preserve"> </w:t>
      </w:r>
      <w:r w:rsidR="00735E7C">
        <w:rPr>
          <w:rFonts w:eastAsia="Calibri"/>
        </w:rPr>
        <w:t>αγνώστου αιτίας,</w:t>
      </w:r>
      <w:r w:rsidRPr="00A831E7">
        <w:rPr>
          <w:rFonts w:eastAsia="Calibri"/>
        </w:rPr>
        <w:t xml:space="preserve"> επιβεβαιώνοντας τη χρησιμότητά του στην ανίχνευση </w:t>
      </w:r>
      <w:r w:rsidR="00735E7C">
        <w:rPr>
          <w:rFonts w:eastAsia="Calibri"/>
        </w:rPr>
        <w:t xml:space="preserve">τής </w:t>
      </w:r>
      <w:r w:rsidRPr="00A831E7">
        <w:rPr>
          <w:rFonts w:eastAsia="Calibri"/>
        </w:rPr>
        <w:t>νόσο</w:t>
      </w:r>
      <w:r w:rsidR="00735E7C">
        <w:rPr>
          <w:rFonts w:eastAsia="Calibri"/>
        </w:rPr>
        <w:t>υ</w:t>
      </w:r>
      <w:r w:rsidRPr="00A831E7">
        <w:rPr>
          <w:rFonts w:eastAsia="Calibri"/>
        </w:rPr>
        <w:t xml:space="preserve"> von Willebrand (VWD)</w:t>
      </w:r>
      <w:r w:rsidR="00735E7C">
        <w:rPr>
          <w:rFonts w:eastAsia="Calibri"/>
        </w:rPr>
        <w:t xml:space="preserve"> που συνδέεται με αυξημένο κίνδυνο εγκεφαλικού επεισοδίου </w:t>
      </w:r>
      <w:r w:rsidR="000742C0" w:rsidRPr="00A831E7">
        <w:rPr>
          <w:rFonts w:eastAsia="Calibri"/>
        </w:rPr>
        <w:fldChar w:fldCharType="begin"/>
      </w:r>
      <w:r w:rsidR="00B61252">
        <w:rPr>
          <w:rFonts w:eastAsia="Calibri"/>
        </w:rPr>
        <w:instrText xml:space="preserve"> ADDIN ZOTERO_ITEM CSL_CITATION {"citationID":"YW6nHq2S","properties":{"formattedCitation":"[92]","plainCitation":"[92]","noteIndex":0},"citationItems":[{"id":1725,"uris":["http://zotero.org/users/local/mfHf28QG/items/9IJN7HXK"],"itemData":{"id":1725,"type":"article-journal","abstract":"Introduction:Bleeding disorder of unknown cause (BDUC) is a diagnosis of exclusion and patients share a similar phenotype with established mild bleeding disorders (MBDs) such as platelet function defects (PFD), mild von Willebrand disease (VWD), or mild coagulation factor deficiencies (CFD).The integration of global assays, such as the Platelet Function Analyzer (PFA)-100, as screening tools for MBDs lacks universal endorsement and is currently not recommended in clinical routine. While the PFA-100 has demonstrated noteworthy sensitivity in the detection of VWD, data regarding its clinical utility in PFD are conflicting and data on PFA-100 in BDUC patients are scarce.Aims:To evaluate the diagnostic utility of PFA-100 in BDUC compared to other MBDs, and to investigate the influence of various parameters on PFA-100 results.Methods:This study included 821 patients enrolled in the Vienna Bleeding Biobank (VIBB), a single-center cohort study on individuals with non-trivial bleeding tendencies who were referred to our tertiary center until December 2022 (EC 604/2009). Patients under anticoagulation or antiplatelet treatment were excluded. PFA-100® assessments (Dade Behring Inc., Newark, Delaware, USA) were conducted on citric acid anticoagulated whole blood samples obtained at study inclusion using two different cartridges: Dade® PFA-100 Collagen/Epinephrine (EPI) and Dade® PFA-100 Collagen/adenosindiphosphat (ADP; Siemens Healthcare Diagnostics Products GmbH, Marburg, Germany).Results:PFA-100 data of 535 BDUC patients (65%) were compared to those of 79 patients (10%) with VWD, 180 (22%) with PFD, and 27 (3%) with CFD. Clinical characteristics are shown in Table 1.In patients with BDUC, the median (interquartile range) closure time (CT) measured by the PFA-100-EPI assay was 102 seconds (88-117), and 135 seconds (112-163; Table 1) with the PFA-100-ADP assay. The CTs were shorter in BDUC compared to VWD (PFA-100-EPI: p&amp;lt;.001, PFA-100-ADP: &amp;lt;p.001) and PFD (PFA-100-EPI: p&amp;lt;.001, PFA-100-ADP: &amp;lt;p.001), while no significant difference was observed compared to CFD (PFA-100-EPI: p=0.2; PFA-100-ADP: p=0.7).Based on in-house reference ranges, CT was normal in both PFA-100 assays in 180 (34%) of all BDUC patients, while 341 patients (64%) had at least one abnormal CT and 11 patients (2%) had abnormal CTs in both PFA-100 assays. A similar distribution was observed in patients with CFD (no abnormal CT: 33%, 1 abnormal CT: 63%, 2 abnormal CTs: 4%). Statistical analysis revealed a significant difference in the number of pathological CTs between BDUC and VWD (no abnormal CT: 9%, 1 abnormal CT: 58%, 2 abnormal CTs: 33%; p&amp;lt;.001), as well as between BDUC and PFD (no abnormal CT: 24%, 1 abnormal CT: 69%, 2 abnormal CTs: 7%; p=0.003).In respect to bleeding severity, in BDUC patients no correlation was found between CTs in the PFA-100-EPI and PFA-100-ADP assays with the Vicenza bleeding score (PFA-100-EPI Spearman rho (r)=0.06, p=0.06; PFA-100-ADP r=0.02, p=0.6), ISTH-BAT (PFA-100-EPI r= 0.06, p=0.3; PFA-100-ADP r= 0.10, p=0.06), or the number of bleeding manifestations (PFA-100-EPI r=0.01, p=0.81; PFA-100-ADP r=-01, p=0.8). The number of pathological PFA-100 was not associated with specific bleeding symptoms assessed by the Vicenza score in BDUC (data not shown).Using a Tobit regression model, we analyzed the association of clinical and laboratory parameters with prolonged CTs in both PFA-100 assays in BDUC, as shown in Table 2. In multivariable linear regression, reduced hematocrit, lower VWF:Ag/VWF:RCo levels, reduced platelet count and higher fibrinogen levels were associated with longer CTs. Increasing age was additionally associated with a longer CT in PFA-100-ADP.Conclusion:In a minority of BDUC patients CT was prolonged in both PFA-100 (EPI and ADP) assays. PFA-100 was not associated with the bleeding severity or specific symptoms in BDUC. In BDUC patients, lower hematocrit, lower platelet count, lower VWF levels and interestingly higher fibrinogen levels were associated with a prolonged CT. Our descriptive results do not suggest the integration of PFA-100 as screening tool for BDUC patients.","container-title":"Blood","DOI":"10.1182/blood-2023-185756","ISSN":"0006-4971","issue":"Supplement 1","journalAbbreviation":"Blood","page":"3965","source":"Silverchair","title":"Utility of the Platelet Function Analyzer (PFA-100) in Patients with Bleeding Disorder of Unknown Cause","volume":"142","author":[{"family":"Mehic","given":"Dino"},{"family":"Rast","given":"Jasmin Sabrina"},{"family":"Fuchs","given":"Michelle"},{"family":"Tolios","given":"Alexander"},{"family":"Eichelberger","given":"Beate"},{"family":"Kaider","given":"Alexandra"},{"family":"Ay","given":"Cihan"},{"family":"Pabinger","given":"Ingrid"},{"family":"Gebhart","given":"Johanna"}],"issued":{"date-parts":[["2023",11,2]]}}}],"schema":"https://github.com/citation-style-language/schema/raw/master/csl-citation.json"} </w:instrText>
      </w:r>
      <w:r w:rsidR="000742C0" w:rsidRPr="00A831E7">
        <w:rPr>
          <w:rFonts w:eastAsia="Calibri"/>
        </w:rPr>
        <w:fldChar w:fldCharType="separate"/>
      </w:r>
      <w:r w:rsidR="00B61252" w:rsidRPr="00B61252">
        <w:rPr>
          <w:rFonts w:eastAsia="Calibri"/>
        </w:rPr>
        <w:t>[92]</w:t>
      </w:r>
      <w:r w:rsidR="000742C0" w:rsidRPr="00A831E7">
        <w:rPr>
          <w:rFonts w:eastAsia="Calibri"/>
        </w:rPr>
        <w:fldChar w:fldCharType="end"/>
      </w:r>
      <w:r w:rsidRPr="00A831E7">
        <w:rPr>
          <w:rFonts w:eastAsia="Calibri"/>
        </w:rPr>
        <w:t>. Άλλη έρευνα καθόρισε τιμές αναφοράς για τους χρόνους κλεισίματος PFA-100, επικυρώνοντας την αξιοπιστία του στην αξιολόγηση της λειτουργίας των αιμοπεταλίων</w:t>
      </w:r>
      <w:r w:rsidR="00735E7C">
        <w:rPr>
          <w:rFonts w:eastAsia="Calibri"/>
        </w:rPr>
        <w:t xml:space="preserve"> που μπορεί να είναι χρήσιμο σε ισχαιμικό εγκεφαλικό για την παρακολούθηση της αντιπηκτικής θεραπείας </w:t>
      </w:r>
      <w:r w:rsidR="000742C0" w:rsidRPr="00A831E7">
        <w:rPr>
          <w:rFonts w:eastAsia="Calibri"/>
        </w:rPr>
        <w:fldChar w:fldCharType="begin"/>
      </w:r>
      <w:r w:rsidR="00B61252">
        <w:rPr>
          <w:rFonts w:eastAsia="Calibri"/>
        </w:rPr>
        <w:instrText xml:space="preserve"> ADDIN ZOTERO_ITEM CSL_CITATION {"citationID":"VBKLFdx6","properties":{"formattedCitation":"[93]","plainCitation":"[93]","noteIndex":0},"citationItems":[{"id":1728,"uris":["http://zotero.org/users/local/mfHf28QG/items/MDKG7DMM"],"itemData":{"id":1728,"type":"article-journal","abstract":"We measured platelet function by standard aggregometric tests and by the PFA-100 (Dade Behring, Newark, DE) in samples from 55 patients with primary thrombocythemia (PT) and 26 healthy volunteers. Platelet function was evaluated in platelet-rich plasma by aggregation tests. PFA-100 studies (closure time) were performed in citrated whole blood using collagen–adenosine diphosphate (ADP) and collagen-epinephrine cartridges. Plasma levels of von Willebrand factor (vWF) also were measured. The mean ± SD closure time for patients vs volunteers for the collagen-epinephrine cartridge was prolonged (210.8 ± 62.2 vs 118.1 ± 19.6 seconds; P &amp;lt; .001); results were abnormal for 38 patients (69%). Results with the collagen-ADP cartridge also were abnormal in patients (134.3 ± 58.4 seconds) vs volunteers (87.3 ± 15.6 seconds; P &amp;lt; .001); closure time was prolonged in 23 patients (42%). A decreased response to epinephrine (38.4% ± 34.2% vs 82.5% ± 10.3%; P &amp;lt; .001), the main defect detected by platelet aggregation tests, affected 32 patients (58%). Platelet response to collagen also was abnormal (52.0% ± 34.6% vs 86.0% ± 10.1%; P &amp;lt; .01) but affected only 21 patients (38%). vWF levels for patients were normal.The results seem to confirm that platelet function in patients with PT is abnormal and show that platelet function can be assessed by an easy, reproducible, and sensitive method, the PFA-100. Closure time usually was prolonged; this feature could be applied in the diagnosis of PT.","container-title":"American Journal of Clinical Pathology","DOI":"10.1309/K58EWK4HPD51U3BE","ISSN":"0002-9173","issue":"5","journalAbbreviation":"American Journal of Clinical Pathology","page":"772-777","source":"Silverchair","title":"Platelet Dysfunction in Primary Thrombocythemia Using the Platelet Function Analyzer, PFA-100","volume":"123","author":[{"family":"Cesar","given":"Jesús M."},{"family":"Miguel","given":"Dunia","non-dropping-particle":"de"},{"family":"Avello","given":"Angel García"},{"family":"Burgaleta","given":"Carmen"}],"issued":{"date-parts":[["2005",5,1]]}}}],"schema":"https://github.com/citation-style-language/schema/raw/master/csl-citation.json"} </w:instrText>
      </w:r>
      <w:r w:rsidR="000742C0" w:rsidRPr="00A831E7">
        <w:rPr>
          <w:rFonts w:eastAsia="Calibri"/>
        </w:rPr>
        <w:fldChar w:fldCharType="separate"/>
      </w:r>
      <w:r w:rsidR="00B61252" w:rsidRPr="00B61252">
        <w:rPr>
          <w:rFonts w:eastAsia="Calibri"/>
        </w:rPr>
        <w:t>[93]</w:t>
      </w:r>
      <w:r w:rsidR="000742C0" w:rsidRPr="00A831E7">
        <w:rPr>
          <w:rFonts w:eastAsia="Calibri"/>
        </w:rPr>
        <w:fldChar w:fldCharType="end"/>
      </w:r>
      <w:r w:rsidRPr="00A831E7">
        <w:rPr>
          <w:rFonts w:eastAsia="Calibri"/>
        </w:rPr>
        <w:t>.</w:t>
      </w:r>
    </w:p>
    <w:p w14:paraId="46D62109" w14:textId="77777777" w:rsidR="00C7272A" w:rsidRDefault="00C7272A" w:rsidP="00C7272A">
      <w:pPr>
        <w:spacing w:line="360" w:lineRule="auto"/>
        <w:ind w:firstLine="720"/>
        <w:jc w:val="both"/>
        <w:rPr>
          <w:rFonts w:eastAsia="Calibri"/>
        </w:rPr>
      </w:pPr>
    </w:p>
    <w:p w14:paraId="4815B0ED" w14:textId="77777777" w:rsidR="00C7272A" w:rsidRDefault="00C7272A" w:rsidP="00C7272A">
      <w:pPr>
        <w:spacing w:line="360" w:lineRule="auto"/>
        <w:ind w:firstLine="720"/>
        <w:jc w:val="both"/>
        <w:rPr>
          <w:rFonts w:eastAsia="Calibri"/>
          <w:lang w:val="en-US"/>
        </w:rPr>
      </w:pPr>
    </w:p>
    <w:p w14:paraId="036CFF20" w14:textId="77777777" w:rsidR="00B61252" w:rsidRPr="00735E7C" w:rsidRDefault="00B61252" w:rsidP="00735E7C">
      <w:pPr>
        <w:spacing w:line="360" w:lineRule="auto"/>
        <w:jc w:val="both"/>
        <w:rPr>
          <w:rFonts w:eastAsia="Calibri"/>
        </w:rPr>
      </w:pPr>
    </w:p>
    <w:p w14:paraId="27E449D2" w14:textId="292491BE" w:rsidR="001C4633" w:rsidRPr="008F5904" w:rsidRDefault="00D33FD1" w:rsidP="008F5904">
      <w:pPr>
        <w:pStyle w:val="3"/>
      </w:pPr>
      <w:bookmarkStart w:id="130" w:name="_Toc199787411"/>
      <w:bookmarkStart w:id="131" w:name="_Toc199946482"/>
      <w:r w:rsidRPr="008F5904">
        <w:lastRenderedPageBreak/>
        <w:t xml:space="preserve">4.4.2 </w:t>
      </w:r>
      <w:r w:rsidR="001C4633" w:rsidRPr="008F5904">
        <w:t>Νέοι βιοδείκτες σε εφαρμογές PoC</w:t>
      </w:r>
      <w:bookmarkEnd w:id="130"/>
      <w:bookmarkEnd w:id="131"/>
    </w:p>
    <w:p w14:paraId="636F7946" w14:textId="7D920DEA" w:rsidR="001C4633" w:rsidRPr="00A831E7" w:rsidRDefault="001C4633" w:rsidP="0057069D">
      <w:pPr>
        <w:spacing w:line="360" w:lineRule="auto"/>
        <w:ind w:firstLine="720"/>
        <w:jc w:val="both"/>
        <w:rPr>
          <w:rFonts w:eastAsia="Calibri"/>
        </w:rPr>
      </w:pPr>
      <w:r w:rsidRPr="00A831E7">
        <w:rPr>
          <w:rFonts w:eastAsia="Calibri"/>
        </w:rPr>
        <w:t xml:space="preserve">Η έρευνα γύρω από τους βιοδείκτες εγκεφαλικού έχει εξελιχθεί σημαντικά, οδηγώντας στην </w:t>
      </w:r>
      <w:r w:rsidR="00C05308">
        <w:rPr>
          <w:rFonts w:eastAsia="Calibri"/>
        </w:rPr>
        <w:t>αξιοποίηση</w:t>
      </w:r>
      <w:r w:rsidRPr="00A831E7">
        <w:rPr>
          <w:rFonts w:eastAsia="Calibri"/>
        </w:rPr>
        <w:t xml:space="preserve"> νέων, αλλά λιγότερο διαδεδομένων βιοδεικτών </w:t>
      </w:r>
      <w:r w:rsidR="00C05308">
        <w:rPr>
          <w:rFonts w:eastAsia="Calibri"/>
        </w:rPr>
        <w:t>για</w:t>
      </w:r>
      <w:r w:rsidRPr="00A831E7">
        <w:rPr>
          <w:rFonts w:eastAsia="Calibri"/>
        </w:rPr>
        <w:t xml:space="preserve"> ακριβέστερη διάγνωση, καλύτερη ταξινόμηση και βελτιωμένη πρόγνωση των εγκεφαλικών επεισοδίων (</w:t>
      </w:r>
      <w:r w:rsidRPr="00A831E7">
        <w:rPr>
          <w:rFonts w:eastAsia="Calibri"/>
          <w:i/>
          <w:iCs/>
        </w:rPr>
        <w:t xml:space="preserve">Πίνακες 15 </w:t>
      </w:r>
      <w:r w:rsidR="000742C0" w:rsidRPr="00A831E7">
        <w:rPr>
          <w:rFonts w:eastAsia="Calibri"/>
          <w:i/>
          <w:iCs/>
        </w:rPr>
        <w:t>και</w:t>
      </w:r>
      <w:r w:rsidRPr="00A831E7">
        <w:rPr>
          <w:rFonts w:eastAsia="Calibri"/>
          <w:i/>
          <w:iCs/>
        </w:rPr>
        <w:t xml:space="preserve"> 16</w:t>
      </w:r>
      <w:r w:rsidRPr="00A831E7">
        <w:rPr>
          <w:rFonts w:eastAsia="Calibri"/>
        </w:rPr>
        <w:t>). Σε αντίθεση με τους καθιερωμένους βιοδείκτες που χρησιμοποιούνται σε τρέχουσες PoCT συσκευές (</w:t>
      </w:r>
      <w:r w:rsidRPr="00A831E7">
        <w:rPr>
          <w:rFonts w:eastAsia="Calibri"/>
          <w:i/>
          <w:iCs/>
        </w:rPr>
        <w:t>Πίνακας 17</w:t>
      </w:r>
      <w:r w:rsidRPr="00A831E7">
        <w:rPr>
          <w:rFonts w:eastAsia="Calibri"/>
        </w:rPr>
        <w:t>), οι νέοι αυτοί δείκτες βασίζονται σε εξελιγμένες τεχνολογίες ανίχνευσης, όπως νανοσωματιδιακά συστήματα, μαγνητοαντιστατικούς</w:t>
      </w:r>
      <w:r w:rsidR="000742C0" w:rsidRPr="00A831E7">
        <w:rPr>
          <w:rFonts w:eastAsia="Calibri"/>
        </w:rPr>
        <w:t xml:space="preserve"> και πλασμονικούς</w:t>
      </w:r>
      <w:r w:rsidRPr="00A831E7">
        <w:rPr>
          <w:rFonts w:eastAsia="Calibri"/>
        </w:rPr>
        <w:t xml:space="preserve"> βιοαισθητήρες, για την ανίχνευση κρίσιμων βιομοριακών μεταβολών σε εγκεφαλικούς και καρδιοεμβολικούς μηχανισμούς.</w:t>
      </w:r>
    </w:p>
    <w:p w14:paraId="66575CE2" w14:textId="4C255CDB" w:rsidR="00F32EEE" w:rsidRPr="00A831E7" w:rsidRDefault="001C4633" w:rsidP="0057069D">
      <w:pPr>
        <w:spacing w:line="360" w:lineRule="auto"/>
        <w:ind w:firstLine="720"/>
        <w:jc w:val="both"/>
        <w:rPr>
          <w:rFonts w:eastAsia="Calibri"/>
        </w:rPr>
      </w:pPr>
      <w:r w:rsidRPr="00A831E7">
        <w:rPr>
          <w:rFonts w:eastAsia="Calibri"/>
        </w:rPr>
        <w:t xml:space="preserve">Ο </w:t>
      </w:r>
      <w:r w:rsidRPr="00A831E7">
        <w:rPr>
          <w:rFonts w:eastAsia="Calibri"/>
          <w:i/>
          <w:iCs/>
        </w:rPr>
        <w:t>Πίνακας 18</w:t>
      </w:r>
      <w:r w:rsidRPr="00A831E7">
        <w:rPr>
          <w:rFonts w:eastAsia="Calibri"/>
        </w:rPr>
        <w:t xml:space="preserve"> παρουσιάζει καινοτόμους βιοδείκτες, την λειτουργία και την πηγή τους, καθώς και τις μεθόδους ανίχνευσής τους μέσω PoC τεχνολογιών.</w:t>
      </w:r>
    </w:p>
    <w:p w14:paraId="46251A1D" w14:textId="77777777" w:rsidR="0027217E" w:rsidRPr="00A831E7" w:rsidRDefault="0027217E" w:rsidP="0057069D">
      <w:pPr>
        <w:spacing w:line="360" w:lineRule="auto"/>
        <w:ind w:firstLine="720"/>
        <w:jc w:val="both"/>
        <w:rPr>
          <w:rFonts w:eastAsia="Calibri"/>
        </w:rPr>
      </w:pPr>
    </w:p>
    <w:p w14:paraId="038EE5D3" w14:textId="281F9378" w:rsidR="00296CEA" w:rsidRPr="00A831E7" w:rsidRDefault="00296CEA" w:rsidP="0057069D">
      <w:pPr>
        <w:pStyle w:val="af5"/>
        <w:spacing w:line="360" w:lineRule="auto"/>
        <w:jc w:val="center"/>
        <w:rPr>
          <w:rFonts w:eastAsia="Calibri"/>
          <w:b/>
          <w:bCs/>
          <w:color w:val="auto"/>
          <w:sz w:val="20"/>
          <w:szCs w:val="20"/>
        </w:rPr>
      </w:pPr>
      <w:bookmarkStart w:id="132" w:name="_Toc199787753"/>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18</w:t>
      </w:r>
      <w:r w:rsidRPr="00A831E7">
        <w:rPr>
          <w:b/>
          <w:bCs/>
          <w:color w:val="auto"/>
          <w:sz w:val="20"/>
          <w:szCs w:val="20"/>
        </w:rPr>
        <w:fldChar w:fldCharType="end"/>
      </w:r>
      <w:r w:rsidRPr="00A831E7">
        <w:rPr>
          <w:b/>
          <w:bCs/>
          <w:color w:val="auto"/>
          <w:sz w:val="20"/>
          <w:szCs w:val="20"/>
        </w:rPr>
        <w:t>: Βιοδείκτες σε εφαρμογές PoC</w:t>
      </w:r>
      <w:bookmarkEnd w:id="132"/>
    </w:p>
    <w:tbl>
      <w:tblPr>
        <w:tblStyle w:val="af0"/>
        <w:tblW w:w="5000" w:type="pct"/>
        <w:tblLook w:val="04A0" w:firstRow="1" w:lastRow="0" w:firstColumn="1" w:lastColumn="0" w:noHBand="0" w:noVBand="1"/>
      </w:tblPr>
      <w:tblGrid>
        <w:gridCol w:w="1105"/>
        <w:gridCol w:w="2120"/>
        <w:gridCol w:w="990"/>
        <w:gridCol w:w="3512"/>
        <w:gridCol w:w="555"/>
      </w:tblGrid>
      <w:tr w:rsidR="004955D4" w:rsidRPr="00A831E7" w14:paraId="5DB70EA2" w14:textId="77777777" w:rsidTr="0057069D">
        <w:tc>
          <w:tcPr>
            <w:tcW w:w="619" w:type="pct"/>
            <w:tcBorders>
              <w:top w:val="single" w:sz="12" w:space="0" w:color="auto"/>
              <w:left w:val="single" w:sz="12" w:space="0" w:color="auto"/>
              <w:bottom w:val="single" w:sz="12" w:space="0" w:color="auto"/>
            </w:tcBorders>
            <w:shd w:val="clear" w:color="auto" w:fill="D9D9D9" w:themeFill="background1" w:themeFillShade="D9"/>
          </w:tcPr>
          <w:p w14:paraId="1F426490" w14:textId="77777777" w:rsidR="00296CEA" w:rsidRPr="00A831E7" w:rsidRDefault="00296CEA" w:rsidP="004C0E72">
            <w:pPr>
              <w:jc w:val="center"/>
              <w:rPr>
                <w:b/>
                <w:bCs/>
                <w:i/>
                <w:iCs/>
                <w:sz w:val="20"/>
                <w:szCs w:val="20"/>
              </w:rPr>
            </w:pPr>
            <w:bookmarkStart w:id="133" w:name="_Hlk198721432"/>
            <w:r w:rsidRPr="00A831E7">
              <w:rPr>
                <w:b/>
                <w:bCs/>
                <w:i/>
                <w:iCs/>
                <w:sz w:val="20"/>
                <w:szCs w:val="20"/>
              </w:rPr>
              <w:t>Biomarker</w:t>
            </w:r>
          </w:p>
        </w:tc>
        <w:tc>
          <w:tcPr>
            <w:tcW w:w="1372" w:type="pct"/>
            <w:tcBorders>
              <w:top w:val="single" w:sz="12" w:space="0" w:color="auto"/>
              <w:bottom w:val="single" w:sz="12" w:space="0" w:color="auto"/>
            </w:tcBorders>
            <w:shd w:val="clear" w:color="auto" w:fill="D9D9D9" w:themeFill="background1" w:themeFillShade="D9"/>
          </w:tcPr>
          <w:p w14:paraId="5118ACA5" w14:textId="77777777" w:rsidR="00296CEA" w:rsidRPr="00A831E7" w:rsidRDefault="00296CEA" w:rsidP="004C0E72">
            <w:pPr>
              <w:rPr>
                <w:b/>
                <w:bCs/>
                <w:i/>
                <w:iCs/>
                <w:sz w:val="20"/>
                <w:szCs w:val="20"/>
              </w:rPr>
            </w:pPr>
            <w:r w:rsidRPr="00A831E7">
              <w:rPr>
                <w:b/>
                <w:bCs/>
                <w:i/>
                <w:iCs/>
                <w:sz w:val="20"/>
                <w:szCs w:val="20"/>
              </w:rPr>
              <w:t>Biomarker function/source</w:t>
            </w:r>
          </w:p>
        </w:tc>
        <w:tc>
          <w:tcPr>
            <w:tcW w:w="487" w:type="pct"/>
            <w:tcBorders>
              <w:top w:val="single" w:sz="12" w:space="0" w:color="auto"/>
              <w:bottom w:val="single" w:sz="12" w:space="0" w:color="auto"/>
            </w:tcBorders>
            <w:shd w:val="clear" w:color="auto" w:fill="D9D9D9" w:themeFill="background1" w:themeFillShade="D9"/>
          </w:tcPr>
          <w:p w14:paraId="3AA428F5" w14:textId="77777777" w:rsidR="00296CEA" w:rsidRPr="00A831E7" w:rsidRDefault="00296CEA" w:rsidP="004C0E72">
            <w:pPr>
              <w:jc w:val="center"/>
              <w:rPr>
                <w:b/>
                <w:bCs/>
                <w:i/>
                <w:iCs/>
                <w:sz w:val="20"/>
                <w:szCs w:val="20"/>
              </w:rPr>
            </w:pPr>
            <w:r w:rsidRPr="00A831E7">
              <w:rPr>
                <w:b/>
                <w:bCs/>
                <w:i/>
                <w:iCs/>
                <w:sz w:val="20"/>
                <w:szCs w:val="20"/>
              </w:rPr>
              <w:t>Ts &amp;</w:t>
            </w:r>
            <w:r w:rsidRPr="00A831E7">
              <w:rPr>
                <w:b/>
                <w:bCs/>
                <w:i/>
                <w:iCs/>
                <w:sz w:val="20"/>
                <w:szCs w:val="20"/>
              </w:rPr>
              <w:br/>
              <w:t>source</w:t>
            </w:r>
          </w:p>
        </w:tc>
        <w:tc>
          <w:tcPr>
            <w:tcW w:w="2212" w:type="pct"/>
            <w:tcBorders>
              <w:top w:val="single" w:sz="12" w:space="0" w:color="auto"/>
              <w:bottom w:val="single" w:sz="12" w:space="0" w:color="auto"/>
            </w:tcBorders>
            <w:shd w:val="clear" w:color="auto" w:fill="D9D9D9" w:themeFill="background1" w:themeFillShade="D9"/>
          </w:tcPr>
          <w:p w14:paraId="46C411E0" w14:textId="77777777" w:rsidR="00296CEA" w:rsidRPr="00A831E7" w:rsidRDefault="00296CEA" w:rsidP="004C0E72">
            <w:pPr>
              <w:jc w:val="center"/>
              <w:rPr>
                <w:b/>
                <w:bCs/>
                <w:i/>
                <w:iCs/>
                <w:sz w:val="20"/>
                <w:szCs w:val="20"/>
              </w:rPr>
            </w:pPr>
            <w:r w:rsidRPr="00A831E7">
              <w:rPr>
                <w:b/>
                <w:bCs/>
                <w:i/>
                <w:iCs/>
                <w:sz w:val="20"/>
                <w:szCs w:val="20"/>
              </w:rPr>
              <w:t>PoC</w:t>
            </w:r>
          </w:p>
        </w:tc>
        <w:tc>
          <w:tcPr>
            <w:tcW w:w="310" w:type="pct"/>
            <w:tcBorders>
              <w:top w:val="single" w:sz="12" w:space="0" w:color="auto"/>
              <w:bottom w:val="single" w:sz="12" w:space="0" w:color="auto"/>
              <w:right w:val="single" w:sz="12" w:space="0" w:color="000000"/>
            </w:tcBorders>
            <w:shd w:val="clear" w:color="auto" w:fill="D9D9D9" w:themeFill="background1" w:themeFillShade="D9"/>
          </w:tcPr>
          <w:p w14:paraId="6AEE942A" w14:textId="77777777" w:rsidR="00296CEA" w:rsidRPr="00A831E7" w:rsidRDefault="00296CEA" w:rsidP="004C0E72">
            <w:pPr>
              <w:jc w:val="center"/>
              <w:rPr>
                <w:b/>
                <w:bCs/>
                <w:i/>
                <w:iCs/>
                <w:sz w:val="20"/>
                <w:szCs w:val="20"/>
              </w:rPr>
            </w:pPr>
            <w:r w:rsidRPr="00A831E7">
              <w:rPr>
                <w:b/>
                <w:bCs/>
                <w:i/>
                <w:iCs/>
                <w:sz w:val="20"/>
                <w:szCs w:val="20"/>
              </w:rPr>
              <w:t>Ref.</w:t>
            </w:r>
          </w:p>
        </w:tc>
      </w:tr>
      <w:tr w:rsidR="00296CEA" w:rsidRPr="00A831E7" w14:paraId="7C5BFBFE" w14:textId="77777777" w:rsidTr="00296CEA">
        <w:trPr>
          <w:trHeight w:val="843"/>
        </w:trPr>
        <w:tc>
          <w:tcPr>
            <w:tcW w:w="619" w:type="pct"/>
            <w:tcBorders>
              <w:top w:val="single" w:sz="12" w:space="0" w:color="auto"/>
              <w:left w:val="single" w:sz="12" w:space="0" w:color="auto"/>
              <w:bottom w:val="single" w:sz="12" w:space="0" w:color="auto"/>
            </w:tcBorders>
            <w:shd w:val="clear" w:color="auto" w:fill="auto"/>
          </w:tcPr>
          <w:p w14:paraId="52B954F6" w14:textId="77777777" w:rsidR="00296CEA" w:rsidRPr="00A831E7" w:rsidRDefault="00296CEA" w:rsidP="00B07E2B">
            <w:pPr>
              <w:spacing w:line="276" w:lineRule="auto"/>
              <w:jc w:val="center"/>
              <w:rPr>
                <w:sz w:val="20"/>
                <w:szCs w:val="20"/>
              </w:rPr>
            </w:pPr>
            <w:r w:rsidRPr="00A831E7">
              <w:rPr>
                <w:sz w:val="20"/>
                <w:szCs w:val="20"/>
              </w:rPr>
              <w:t>P-Selectin</w:t>
            </w:r>
          </w:p>
        </w:tc>
        <w:tc>
          <w:tcPr>
            <w:tcW w:w="1372" w:type="pct"/>
            <w:tcBorders>
              <w:top w:val="single" w:sz="12" w:space="0" w:color="auto"/>
            </w:tcBorders>
            <w:shd w:val="clear" w:color="auto" w:fill="auto"/>
          </w:tcPr>
          <w:p w14:paraId="2AFD41BA" w14:textId="59D83B53" w:rsidR="00296CEA" w:rsidRPr="00A831E7" w:rsidRDefault="00296CEA" w:rsidP="00B07E2B">
            <w:pPr>
              <w:spacing w:line="276" w:lineRule="auto"/>
              <w:rPr>
                <w:i/>
                <w:iCs/>
                <w:sz w:val="18"/>
                <w:szCs w:val="18"/>
              </w:rPr>
            </w:pPr>
            <w:r w:rsidRPr="00A831E7">
              <w:rPr>
                <w:i/>
                <w:iCs/>
                <w:sz w:val="18"/>
                <w:szCs w:val="18"/>
              </w:rPr>
              <w:t xml:space="preserve">Αυξημένη έκφραση της P-Selectin στο IS. </w:t>
            </w:r>
            <w:r w:rsidRPr="00A831E7">
              <w:rPr>
                <w:i/>
                <w:iCs/>
                <w:sz w:val="18"/>
                <w:szCs w:val="18"/>
              </w:rPr>
              <w:br/>
              <w:t>Μέτρηση επιπέδων στο πλάσμα με quantum dot επισημασμένο αντίσωμα anti P-Selectin.</w:t>
            </w:r>
          </w:p>
        </w:tc>
        <w:tc>
          <w:tcPr>
            <w:tcW w:w="487" w:type="pct"/>
            <w:tcBorders>
              <w:top w:val="single" w:sz="12" w:space="0" w:color="auto"/>
            </w:tcBorders>
            <w:shd w:val="clear" w:color="auto" w:fill="auto"/>
          </w:tcPr>
          <w:p w14:paraId="50CF46AC" w14:textId="77777777" w:rsidR="00296CEA" w:rsidRPr="00A831E7" w:rsidRDefault="00296CEA" w:rsidP="00B07E2B">
            <w:pPr>
              <w:spacing w:line="276" w:lineRule="auto"/>
              <w:jc w:val="center"/>
              <w:rPr>
                <w:sz w:val="20"/>
                <w:szCs w:val="20"/>
              </w:rPr>
            </w:pPr>
            <w:r w:rsidRPr="00A831E7">
              <w:rPr>
                <w:sz w:val="20"/>
                <w:szCs w:val="20"/>
              </w:rPr>
              <w:t>&lt;48h</w:t>
            </w:r>
          </w:p>
          <w:p w14:paraId="672C60F4" w14:textId="77777777" w:rsidR="00735E7C" w:rsidRDefault="007F7774" w:rsidP="00B07E2B">
            <w:pPr>
              <w:spacing w:line="276" w:lineRule="auto"/>
              <w:jc w:val="center"/>
              <w:rPr>
                <w:sz w:val="20"/>
                <w:szCs w:val="20"/>
              </w:rPr>
            </w:pPr>
            <w:r w:rsidRPr="00A831E7">
              <w:rPr>
                <w:sz w:val="20"/>
                <w:szCs w:val="20"/>
              </w:rPr>
              <w:t>Πλάσμα-Ορός</w:t>
            </w:r>
            <w:r w:rsidR="00AB6824">
              <w:rPr>
                <w:sz w:val="20"/>
                <w:szCs w:val="20"/>
                <w:lang w:val="en-US"/>
              </w:rPr>
              <w:t>,</w:t>
            </w:r>
          </w:p>
          <w:p w14:paraId="3AD726FA" w14:textId="6FCEAF6A" w:rsidR="00296CEA" w:rsidRPr="00AB6824" w:rsidRDefault="00AB6824" w:rsidP="00B07E2B">
            <w:pPr>
              <w:spacing w:line="276" w:lineRule="auto"/>
              <w:jc w:val="center"/>
              <w:rPr>
                <w:sz w:val="20"/>
                <w:szCs w:val="20"/>
                <w:lang w:val="en-US"/>
              </w:rPr>
            </w:pPr>
            <w:r>
              <w:rPr>
                <w:sz w:val="20"/>
                <w:szCs w:val="20"/>
                <w:lang w:val="en-US"/>
              </w:rPr>
              <w:br/>
            </w:r>
            <w:r w:rsidRPr="00AB6824">
              <w:rPr>
                <w:sz w:val="18"/>
                <w:szCs w:val="18"/>
                <w:lang w:val="en-US"/>
              </w:rPr>
              <w:t>NC=12,</w:t>
            </w:r>
            <w:r w:rsidRPr="00AB6824">
              <w:rPr>
                <w:sz w:val="18"/>
                <w:szCs w:val="18"/>
                <w:lang w:val="en-US"/>
              </w:rPr>
              <w:br/>
              <w:t>Stroke=15</w:t>
            </w:r>
          </w:p>
        </w:tc>
        <w:tc>
          <w:tcPr>
            <w:tcW w:w="2212" w:type="pct"/>
            <w:tcBorders>
              <w:top w:val="single" w:sz="12" w:space="0" w:color="auto"/>
            </w:tcBorders>
            <w:shd w:val="clear" w:color="auto" w:fill="auto"/>
          </w:tcPr>
          <w:p w14:paraId="55AD2912" w14:textId="231AD015" w:rsidR="00296CEA" w:rsidRPr="00A831E7" w:rsidRDefault="00296CEA" w:rsidP="00B07E2B">
            <w:pPr>
              <w:spacing w:line="276" w:lineRule="auto"/>
              <w:rPr>
                <w:i/>
                <w:iCs/>
                <w:sz w:val="18"/>
                <w:szCs w:val="18"/>
              </w:rPr>
            </w:pPr>
            <w:r w:rsidRPr="00A831E7">
              <w:rPr>
                <w:i/>
                <w:iCs/>
                <w:sz w:val="18"/>
                <w:szCs w:val="18"/>
              </w:rPr>
              <w:t>Ανίχνευση με φθορισμό (20-30 λεπτά για αποτελέσματα).</w:t>
            </w:r>
            <w:r w:rsidRPr="00A831E7">
              <w:rPr>
                <w:i/>
                <w:iCs/>
                <w:sz w:val="18"/>
                <w:szCs w:val="18"/>
              </w:rPr>
              <w:br/>
              <w:t>Συγκέντρωση βιοδείκτη σε NC(n=12): 20.17±14.47 pg/ul</w:t>
            </w:r>
          </w:p>
          <w:p w14:paraId="6F0D6E14" w14:textId="6F0E10E2" w:rsidR="00296CEA" w:rsidRPr="00A831E7" w:rsidRDefault="00296CEA" w:rsidP="00B07E2B">
            <w:pPr>
              <w:spacing w:line="276" w:lineRule="auto"/>
              <w:rPr>
                <w:i/>
                <w:iCs/>
                <w:sz w:val="18"/>
                <w:szCs w:val="18"/>
              </w:rPr>
            </w:pPr>
            <w:r w:rsidRPr="00A831E7">
              <w:rPr>
                <w:i/>
                <w:iCs/>
                <w:sz w:val="18"/>
                <w:szCs w:val="18"/>
              </w:rPr>
              <w:t xml:space="preserve">                      »                    IS(n=15): 58.65±10.64 pg/ul</w:t>
            </w:r>
          </w:p>
        </w:tc>
        <w:tc>
          <w:tcPr>
            <w:tcW w:w="310" w:type="pct"/>
            <w:tcBorders>
              <w:top w:val="single" w:sz="12" w:space="0" w:color="auto"/>
              <w:right w:val="single" w:sz="12" w:space="0" w:color="000000"/>
            </w:tcBorders>
            <w:shd w:val="clear" w:color="auto" w:fill="auto"/>
          </w:tcPr>
          <w:p w14:paraId="7144ED99" w14:textId="1ACCF914" w:rsidR="00296CEA" w:rsidRPr="00A831E7" w:rsidRDefault="004955D4" w:rsidP="00B07E2B">
            <w:pPr>
              <w:spacing w:line="276" w:lineRule="auto"/>
              <w:jc w:val="center"/>
              <w:rPr>
                <w:sz w:val="20"/>
                <w:szCs w:val="20"/>
              </w:rPr>
            </w:pPr>
            <w:r w:rsidRPr="00A831E7">
              <w:rPr>
                <w:sz w:val="20"/>
                <w:szCs w:val="20"/>
              </w:rPr>
              <w:fldChar w:fldCharType="begin"/>
            </w:r>
            <w:r w:rsidR="00B61252">
              <w:rPr>
                <w:sz w:val="20"/>
                <w:szCs w:val="20"/>
              </w:rPr>
              <w:instrText xml:space="preserve"> ADDIN ZOTERO_ITEM CSL_CITATION {"citationID":"ery4fyKa","properties":{"formattedCitation":"[94]","plainCitation":"[94]","noteIndex":0},"citationItems":[{"id":290,"uris":["http://zotero.org/users/local/mfHf28QG/items/22WSXGE3"],"itemData":{"id":290,"type":"article-journal","abstract":"Stroke is one of the leading causes of death and disability in adulthood worldwide. A simple and convenient diagnostic method is needed for monitoring high-risk patients for stroke. Few POCTs are available for stroke diagnosis. Soluble blood ...","container-title":"Current Neurovascular Research","DOI":"10.2174/1567202618666211109103720","issue":"4","language":"en","note":"PMID: 34751116","page":"409","source":"pmc.ncbi.nlm.nih.gov","title":"Point of Care Test Technology Suitable for Early Detection and Monitoring of Ischemic Stroke","volume":"18","author":[{"family":"Lee","given":"Young Mi"},{"family":"Bae","given":"Mi Jung"},{"family":"Choi","given":"Ye Seul"},{"family":"Lee","given":"Eunmi"},{"family":"Cho","given":"Junghwan"},{"family":"Kim","given":"Myung-Gwan"},{"family":"Le","given":"Minh Tan"},{"family":"Nguyen","given":"Thi Hong Duc"},{"family":"Han","given":"Hyung Soo"},{"family":"Park","given":"Nora Jee-Young"},{"family":"Chong","given":"Gun Oh"}],"issued":{"date-parts":[["2021",12,30]]}}}],"schema":"https://github.com/citation-style-language/schema/raw/master/csl-citation.json"} </w:instrText>
            </w:r>
            <w:r w:rsidRPr="00A831E7">
              <w:rPr>
                <w:sz w:val="20"/>
                <w:szCs w:val="20"/>
              </w:rPr>
              <w:fldChar w:fldCharType="separate"/>
            </w:r>
            <w:r w:rsidR="00B61252" w:rsidRPr="00B61252">
              <w:rPr>
                <w:sz w:val="20"/>
              </w:rPr>
              <w:t>[94]</w:t>
            </w:r>
            <w:r w:rsidRPr="00A831E7">
              <w:rPr>
                <w:sz w:val="20"/>
                <w:szCs w:val="20"/>
              </w:rPr>
              <w:fldChar w:fldCharType="end"/>
            </w:r>
          </w:p>
        </w:tc>
      </w:tr>
      <w:tr w:rsidR="00296CEA" w:rsidRPr="00A831E7" w14:paraId="1A623858" w14:textId="77777777" w:rsidTr="00296CEA">
        <w:trPr>
          <w:trHeight w:val="1257"/>
        </w:trPr>
        <w:tc>
          <w:tcPr>
            <w:tcW w:w="619" w:type="pct"/>
            <w:tcBorders>
              <w:top w:val="single" w:sz="12" w:space="0" w:color="auto"/>
              <w:left w:val="single" w:sz="12" w:space="0" w:color="auto"/>
              <w:bottom w:val="single" w:sz="12" w:space="0" w:color="auto"/>
            </w:tcBorders>
            <w:shd w:val="clear" w:color="auto" w:fill="auto"/>
          </w:tcPr>
          <w:p w14:paraId="6FDF3163" w14:textId="77777777" w:rsidR="00296CEA" w:rsidRPr="00A831E7" w:rsidRDefault="00296CEA" w:rsidP="00B07E2B">
            <w:pPr>
              <w:spacing w:line="276" w:lineRule="auto"/>
              <w:jc w:val="center"/>
              <w:rPr>
                <w:sz w:val="20"/>
                <w:szCs w:val="20"/>
              </w:rPr>
            </w:pPr>
            <w:r w:rsidRPr="00A831E7">
              <w:rPr>
                <w:sz w:val="20"/>
                <w:szCs w:val="20"/>
              </w:rPr>
              <w:t>GFAP</w:t>
            </w:r>
          </w:p>
        </w:tc>
        <w:tc>
          <w:tcPr>
            <w:tcW w:w="1372" w:type="pct"/>
            <w:tcBorders>
              <w:top w:val="single" w:sz="12" w:space="0" w:color="auto"/>
              <w:bottom w:val="single" w:sz="12" w:space="0" w:color="auto"/>
            </w:tcBorders>
            <w:shd w:val="clear" w:color="auto" w:fill="auto"/>
          </w:tcPr>
          <w:p w14:paraId="60769561" w14:textId="77777777" w:rsidR="00296CEA" w:rsidRPr="00A831E7" w:rsidRDefault="00296CEA" w:rsidP="00B07E2B">
            <w:pPr>
              <w:spacing w:line="276" w:lineRule="auto"/>
              <w:rPr>
                <w:i/>
                <w:iCs/>
                <w:sz w:val="18"/>
                <w:szCs w:val="18"/>
              </w:rPr>
            </w:pPr>
            <w:r w:rsidRPr="00A831E7">
              <w:rPr>
                <w:i/>
                <w:iCs/>
                <w:sz w:val="18"/>
                <w:szCs w:val="18"/>
              </w:rPr>
              <w:t xml:space="preserve">GFAP: νηματοειδής πρωτεΐνη εντός αστροκυττάρων. </w:t>
            </w:r>
          </w:p>
          <w:p w14:paraId="404D922A" w14:textId="77777777" w:rsidR="00296CEA" w:rsidRPr="00A831E7" w:rsidRDefault="00296CEA" w:rsidP="00B07E2B">
            <w:pPr>
              <w:spacing w:line="276" w:lineRule="auto"/>
              <w:rPr>
                <w:i/>
                <w:iCs/>
                <w:sz w:val="18"/>
                <w:szCs w:val="18"/>
              </w:rPr>
            </w:pPr>
            <w:r w:rsidRPr="00A831E7">
              <w:rPr>
                <w:i/>
                <w:iCs/>
                <w:sz w:val="18"/>
                <w:szCs w:val="18"/>
              </w:rPr>
              <w:t>Αυξημένη συγκέντρωση σε ICH</w:t>
            </w:r>
            <w:r w:rsidRPr="00A831E7">
              <w:rPr>
                <w:i/>
                <w:iCs/>
                <w:sz w:val="18"/>
                <w:szCs w:val="18"/>
              </w:rPr>
              <w:br/>
              <w:t>measured with ELISA</w:t>
            </w:r>
          </w:p>
        </w:tc>
        <w:tc>
          <w:tcPr>
            <w:tcW w:w="487" w:type="pct"/>
            <w:tcBorders>
              <w:top w:val="single" w:sz="12" w:space="0" w:color="auto"/>
              <w:bottom w:val="single" w:sz="12" w:space="0" w:color="auto"/>
            </w:tcBorders>
            <w:shd w:val="clear" w:color="auto" w:fill="auto"/>
          </w:tcPr>
          <w:p w14:paraId="1065FC42" w14:textId="2114447C" w:rsidR="00296CEA" w:rsidRDefault="00296CEA" w:rsidP="00B07E2B">
            <w:pPr>
              <w:spacing w:line="276" w:lineRule="auto"/>
              <w:jc w:val="center"/>
              <w:rPr>
                <w:sz w:val="20"/>
                <w:szCs w:val="20"/>
              </w:rPr>
            </w:pPr>
            <w:r w:rsidRPr="00A831E7">
              <w:rPr>
                <w:sz w:val="20"/>
                <w:szCs w:val="20"/>
              </w:rPr>
              <w:t>&lt;6h</w:t>
            </w:r>
            <w:r w:rsidRPr="00A831E7">
              <w:rPr>
                <w:sz w:val="20"/>
                <w:szCs w:val="20"/>
              </w:rPr>
              <w:br/>
            </w:r>
            <w:r w:rsidR="007F7774" w:rsidRPr="00A831E7">
              <w:rPr>
                <w:sz w:val="20"/>
                <w:szCs w:val="20"/>
              </w:rPr>
              <w:t>Πλάσμα</w:t>
            </w:r>
            <w:r w:rsidR="00AB6824">
              <w:rPr>
                <w:sz w:val="20"/>
                <w:szCs w:val="20"/>
              </w:rPr>
              <w:t>,</w:t>
            </w:r>
          </w:p>
          <w:p w14:paraId="394382CD" w14:textId="77777777" w:rsidR="00735E7C" w:rsidRDefault="00735E7C" w:rsidP="00B07E2B">
            <w:pPr>
              <w:spacing w:line="276" w:lineRule="auto"/>
              <w:jc w:val="center"/>
              <w:rPr>
                <w:sz w:val="20"/>
                <w:szCs w:val="20"/>
              </w:rPr>
            </w:pPr>
          </w:p>
          <w:p w14:paraId="0438CF8E" w14:textId="77777777" w:rsidR="00735E7C" w:rsidRPr="00735E7C" w:rsidRDefault="00735E7C" w:rsidP="00735E7C">
            <w:pPr>
              <w:spacing w:line="276" w:lineRule="auto"/>
              <w:rPr>
                <w:sz w:val="20"/>
                <w:szCs w:val="20"/>
              </w:rPr>
            </w:pPr>
          </w:p>
          <w:p w14:paraId="7AED2C9F" w14:textId="47A1B11B" w:rsidR="00AB6824" w:rsidRPr="00AB6824" w:rsidRDefault="00AB6824" w:rsidP="00B07E2B">
            <w:pPr>
              <w:spacing w:line="276" w:lineRule="auto"/>
              <w:jc w:val="center"/>
              <w:rPr>
                <w:sz w:val="20"/>
                <w:szCs w:val="20"/>
              </w:rPr>
            </w:pPr>
            <w:r w:rsidRPr="00AB6824">
              <w:rPr>
                <w:sz w:val="16"/>
                <w:szCs w:val="16"/>
                <w:lang w:val="en-US"/>
              </w:rPr>
              <w:t xml:space="preserve">52 </w:t>
            </w:r>
            <w:r w:rsidRPr="00AB6824">
              <w:rPr>
                <w:sz w:val="16"/>
                <w:szCs w:val="16"/>
              </w:rPr>
              <w:t>ασθενείς</w:t>
            </w:r>
          </w:p>
        </w:tc>
        <w:tc>
          <w:tcPr>
            <w:tcW w:w="2212" w:type="pct"/>
            <w:tcBorders>
              <w:top w:val="single" w:sz="12" w:space="0" w:color="auto"/>
              <w:bottom w:val="single" w:sz="12" w:space="0" w:color="auto"/>
            </w:tcBorders>
            <w:shd w:val="clear" w:color="auto" w:fill="auto"/>
          </w:tcPr>
          <w:p w14:paraId="77D5C805" w14:textId="7042C2ED" w:rsidR="00296CEA" w:rsidRPr="00A831E7" w:rsidRDefault="00296CEA" w:rsidP="00B07E2B">
            <w:pPr>
              <w:spacing w:line="276" w:lineRule="auto"/>
              <w:rPr>
                <w:i/>
                <w:iCs/>
                <w:sz w:val="18"/>
                <w:szCs w:val="18"/>
              </w:rPr>
            </w:pPr>
            <w:r w:rsidRPr="00A831E7">
              <w:rPr>
                <w:i/>
                <w:iCs/>
                <w:sz w:val="18"/>
                <w:szCs w:val="18"/>
              </w:rPr>
              <w:t xml:space="preserve"> Αξιοποίηση ενός microfluidic chip για την εξαγωγή της GFAP από δείγμα αίματος και έναν μαγνητοαντιστατικό (MI) βιοαισθητήρα που χρησιμοποιεί Dynabeads ως μαγνητική ετικέτα για τη σύλληψη των GFAP μορίων. Όριο ανίχνευσης στο αίμα και στο πλάσμα: 1.0 ng/mL (εντός του εύρους των επιπέδων αποκοπής που απαιτούνται για τη διαφορική διάγνωση των υποτύπων εγκεφαλικού).</w:t>
            </w:r>
          </w:p>
        </w:tc>
        <w:tc>
          <w:tcPr>
            <w:tcW w:w="310" w:type="pct"/>
            <w:tcBorders>
              <w:top w:val="single" w:sz="12" w:space="0" w:color="auto"/>
              <w:bottom w:val="single" w:sz="12" w:space="0" w:color="auto"/>
              <w:right w:val="single" w:sz="12" w:space="0" w:color="000000"/>
            </w:tcBorders>
            <w:shd w:val="clear" w:color="auto" w:fill="auto"/>
          </w:tcPr>
          <w:p w14:paraId="5F67562F" w14:textId="66B77E99" w:rsidR="00296CEA" w:rsidRPr="00A831E7" w:rsidRDefault="004955D4" w:rsidP="00B07E2B">
            <w:pPr>
              <w:spacing w:line="276" w:lineRule="auto"/>
              <w:jc w:val="center"/>
              <w:rPr>
                <w:sz w:val="20"/>
                <w:szCs w:val="20"/>
              </w:rPr>
            </w:pPr>
            <w:r w:rsidRPr="00A831E7">
              <w:rPr>
                <w:sz w:val="20"/>
                <w:szCs w:val="20"/>
              </w:rPr>
              <w:fldChar w:fldCharType="begin"/>
            </w:r>
            <w:r w:rsidR="00B61252">
              <w:rPr>
                <w:sz w:val="20"/>
                <w:szCs w:val="20"/>
              </w:rPr>
              <w:instrText xml:space="preserve"> ADDIN ZOTERO_ITEM CSL_CITATION {"citationID":"ZKS2a85j","properties":{"formattedCitation":"[95]","plainCitation":"[95]","noteIndex":0},"citationItems":[{"id":341,"uris":["http://zotero.org/users/local/mfHf28QG/items/ZZTKU2NW"],"itemData":{"id":341,"type":"article-journal","abstract":"Acute stroke is the third leading cause of mortality and disability worldwide. Administration of appropriate therapy for acute stroke is critically dependent on timely classification into either ischemic or hemorrhagic subtypes, which have divergent treatment pathways. The current classification method is based on neuroimaging, which generally requires the transport of the patient to a hospital-based facility unless a mobile stroke unit is available. Plasma glial fibrillary acidic protein (GFAP) level has been identified as a useful blood-based biomarker to differentiate stroke subtypes. However, its conventional immunoassay methods are laboratory-based and time-consuming. Novel approaches for rapid stroke classification near the patients are urgently needed. Here, we report the development and testing of a microfluidic-based magnetoimpedance biosensor platform for measuring GFAP levels. The platform consists of a microfluidic chip for GFAP extraction from a blood sample and a magnetoimpedance (MI) biosensor that employs Dynabeads as a magnetic label to capture the GFAP molecules. We demonstrated the detection of recombinant GFAP protein in phosphate-buffered saline (PBS) and in mouse blood samples (detection limit 0.01 ng/mL) and of physiological GFAP in blood and plasma samples (detection limit 1.0 ng/mL) obtained from acute stroke patients. This detection level is within the range of cut-off levels required for clinical stroke subtype differentiation. This platform has the potential to be incorporated into a small device with further development to assist in the classification of acute stroke patients and clinical decision-making at the point-of-care.","container-title":"Biosensors and Bioelectronics","DOI":"10.1016/j.bios.2022.114410","ISSN":"0956-5663","journalAbbreviation":"Biosensors and Bioelectronics","page":"114410","source":"ScienceDirect","title":"A magnetoimpedance biosensor microfluidic platform for detection of glial fibrillary acidic protein in blood for acute stroke classification","volume":"211","author":[{"family":"Sayad","given":"Abkar"},{"family":"Uddin","given":"Shah Mukim"},{"family":"Yao","given":"Scarlett"},{"family":"Wilson","given":"Harold"},{"family":"Chan","given":"Jianxiong"},{"family":"Zhao","given":"Henry"},{"family":"Donnan","given":"Geoffrey"},{"family":"Davis","given":"Stephen"},{"family":"Skafidas","given":"Efstratios"},{"family":"Yan","given":"Bernard"},{"family":"Kwan","given":"Patrick"}],"issued":{"date-parts":[["2022",9,1]]}}}],"schema":"https://github.com/citation-style-language/schema/raw/master/csl-citation.json"} </w:instrText>
            </w:r>
            <w:r w:rsidRPr="00A831E7">
              <w:rPr>
                <w:sz w:val="20"/>
                <w:szCs w:val="20"/>
              </w:rPr>
              <w:fldChar w:fldCharType="separate"/>
            </w:r>
            <w:r w:rsidR="00B61252" w:rsidRPr="00B61252">
              <w:rPr>
                <w:sz w:val="20"/>
              </w:rPr>
              <w:t>[95]</w:t>
            </w:r>
            <w:r w:rsidRPr="00A831E7">
              <w:rPr>
                <w:sz w:val="20"/>
                <w:szCs w:val="20"/>
              </w:rPr>
              <w:fldChar w:fldCharType="end"/>
            </w:r>
          </w:p>
        </w:tc>
      </w:tr>
      <w:tr w:rsidR="00296CEA" w:rsidRPr="00A831E7" w14:paraId="07A733F9" w14:textId="77777777" w:rsidTr="00296CEA">
        <w:trPr>
          <w:trHeight w:val="764"/>
        </w:trPr>
        <w:tc>
          <w:tcPr>
            <w:tcW w:w="619" w:type="pct"/>
            <w:tcBorders>
              <w:top w:val="single" w:sz="12" w:space="0" w:color="auto"/>
              <w:left w:val="single" w:sz="12" w:space="0" w:color="auto"/>
              <w:bottom w:val="single" w:sz="12" w:space="0" w:color="auto"/>
            </w:tcBorders>
            <w:shd w:val="clear" w:color="auto" w:fill="auto"/>
          </w:tcPr>
          <w:p w14:paraId="451857B1" w14:textId="77777777" w:rsidR="00296CEA" w:rsidRPr="00730D74" w:rsidRDefault="00296CEA" w:rsidP="00B07E2B">
            <w:pPr>
              <w:spacing w:line="276" w:lineRule="auto"/>
              <w:jc w:val="center"/>
              <w:rPr>
                <w:sz w:val="20"/>
                <w:szCs w:val="20"/>
                <w:lang w:val="en-US"/>
              </w:rPr>
            </w:pPr>
            <w:r w:rsidRPr="00730D74">
              <w:rPr>
                <w:sz w:val="20"/>
                <w:szCs w:val="20"/>
                <w:lang w:val="en-US"/>
              </w:rPr>
              <w:t>MMP-9,</w:t>
            </w:r>
            <w:r w:rsidRPr="00730D74">
              <w:rPr>
                <w:sz w:val="20"/>
                <w:szCs w:val="20"/>
                <w:lang w:val="en-US"/>
              </w:rPr>
              <w:br/>
              <w:t>NSE,</w:t>
            </w:r>
            <w:r w:rsidRPr="00730D74">
              <w:rPr>
                <w:sz w:val="20"/>
                <w:szCs w:val="20"/>
                <w:lang w:val="en-US"/>
              </w:rPr>
              <w:br/>
              <w:t>NT-pro BNP</w:t>
            </w:r>
          </w:p>
        </w:tc>
        <w:tc>
          <w:tcPr>
            <w:tcW w:w="1372" w:type="pct"/>
            <w:tcBorders>
              <w:top w:val="single" w:sz="12" w:space="0" w:color="auto"/>
              <w:bottom w:val="single" w:sz="12" w:space="0" w:color="auto"/>
            </w:tcBorders>
            <w:shd w:val="clear" w:color="auto" w:fill="auto"/>
          </w:tcPr>
          <w:p w14:paraId="51E90554" w14:textId="4A8E220B" w:rsidR="00296CEA" w:rsidRPr="00A831E7" w:rsidRDefault="007F7774" w:rsidP="00B07E2B">
            <w:pPr>
              <w:spacing w:line="276" w:lineRule="auto"/>
              <w:rPr>
                <w:i/>
                <w:iCs/>
                <w:sz w:val="18"/>
                <w:szCs w:val="18"/>
              </w:rPr>
            </w:pPr>
            <w:r w:rsidRPr="00A831E7">
              <w:rPr>
                <w:i/>
                <w:iCs/>
                <w:sz w:val="18"/>
                <w:szCs w:val="18"/>
              </w:rPr>
              <w:t>Επίπεδα έκφρασης 3 βιοδεικτών, αξιολογημένα</w:t>
            </w:r>
            <w:r w:rsidR="00296CEA" w:rsidRPr="00A831E7">
              <w:rPr>
                <w:i/>
                <w:iCs/>
                <w:sz w:val="18"/>
                <w:szCs w:val="18"/>
              </w:rPr>
              <w:t xml:space="preserve"> </w:t>
            </w:r>
            <w:r w:rsidRPr="00A831E7">
              <w:rPr>
                <w:i/>
                <w:iCs/>
                <w:sz w:val="18"/>
                <w:szCs w:val="18"/>
              </w:rPr>
              <w:t xml:space="preserve">με </w:t>
            </w:r>
            <w:r w:rsidR="00296CEA" w:rsidRPr="00A831E7">
              <w:rPr>
                <w:i/>
                <w:iCs/>
                <w:sz w:val="18"/>
                <w:szCs w:val="18"/>
              </w:rPr>
              <w:t>SERS based LFIA</w:t>
            </w:r>
            <w:r w:rsidRPr="00A831E7">
              <w:rPr>
                <w:i/>
                <w:iCs/>
                <w:sz w:val="18"/>
                <w:szCs w:val="18"/>
              </w:rPr>
              <w:t xml:space="preserve"> και</w:t>
            </w:r>
            <w:r w:rsidR="00296CEA" w:rsidRPr="00A831E7">
              <w:rPr>
                <w:i/>
                <w:iCs/>
                <w:sz w:val="18"/>
                <w:szCs w:val="18"/>
              </w:rPr>
              <w:t xml:space="preserve"> </w:t>
            </w:r>
            <w:r w:rsidRPr="00A831E7">
              <w:rPr>
                <w:i/>
                <w:iCs/>
                <w:sz w:val="18"/>
                <w:szCs w:val="18"/>
              </w:rPr>
              <w:t xml:space="preserve">επαληθευμένα με </w:t>
            </w:r>
            <w:r w:rsidR="00296CEA" w:rsidRPr="00A831E7">
              <w:rPr>
                <w:i/>
                <w:iCs/>
                <w:sz w:val="18"/>
                <w:szCs w:val="18"/>
              </w:rPr>
              <w:t>ELISA.</w:t>
            </w:r>
          </w:p>
        </w:tc>
        <w:tc>
          <w:tcPr>
            <w:tcW w:w="487" w:type="pct"/>
            <w:tcBorders>
              <w:top w:val="single" w:sz="12" w:space="0" w:color="auto"/>
              <w:bottom w:val="single" w:sz="12" w:space="0" w:color="auto"/>
            </w:tcBorders>
            <w:shd w:val="clear" w:color="auto" w:fill="auto"/>
          </w:tcPr>
          <w:p w14:paraId="737E5429" w14:textId="77777777" w:rsidR="00296CEA" w:rsidRPr="00A831E7" w:rsidRDefault="00296CEA" w:rsidP="00B07E2B">
            <w:pPr>
              <w:spacing w:line="276" w:lineRule="auto"/>
              <w:jc w:val="center"/>
              <w:rPr>
                <w:sz w:val="20"/>
                <w:szCs w:val="20"/>
              </w:rPr>
            </w:pPr>
            <w:r w:rsidRPr="00A831E7">
              <w:rPr>
                <w:sz w:val="20"/>
                <w:szCs w:val="20"/>
              </w:rPr>
              <w:t>-</w:t>
            </w:r>
          </w:p>
          <w:p w14:paraId="5AE87919" w14:textId="77777777" w:rsidR="00296CEA" w:rsidRDefault="007F7774" w:rsidP="00B07E2B">
            <w:pPr>
              <w:spacing w:line="276" w:lineRule="auto"/>
              <w:jc w:val="center"/>
              <w:rPr>
                <w:sz w:val="20"/>
                <w:szCs w:val="20"/>
              </w:rPr>
            </w:pPr>
            <w:r w:rsidRPr="00A831E7">
              <w:rPr>
                <w:sz w:val="20"/>
                <w:szCs w:val="20"/>
              </w:rPr>
              <w:t>Ορός</w:t>
            </w:r>
            <w:r w:rsidR="00AB6824">
              <w:rPr>
                <w:sz w:val="20"/>
                <w:szCs w:val="20"/>
                <w:lang w:val="en-US"/>
              </w:rPr>
              <w:t>,</w:t>
            </w:r>
          </w:p>
          <w:p w14:paraId="3B4C397A" w14:textId="77777777" w:rsidR="00735E7C" w:rsidRPr="00735E7C" w:rsidRDefault="00735E7C" w:rsidP="00B07E2B">
            <w:pPr>
              <w:spacing w:line="276" w:lineRule="auto"/>
              <w:jc w:val="center"/>
              <w:rPr>
                <w:sz w:val="20"/>
                <w:szCs w:val="20"/>
              </w:rPr>
            </w:pPr>
          </w:p>
          <w:p w14:paraId="506F9145" w14:textId="31AE4545" w:rsidR="00AB6824" w:rsidRPr="00AB6824" w:rsidRDefault="00AB6824" w:rsidP="00B07E2B">
            <w:pPr>
              <w:spacing w:line="276" w:lineRule="auto"/>
              <w:jc w:val="center"/>
              <w:rPr>
                <w:sz w:val="20"/>
                <w:szCs w:val="20"/>
              </w:rPr>
            </w:pPr>
            <w:r w:rsidRPr="00AB6824">
              <w:rPr>
                <w:sz w:val="16"/>
                <w:szCs w:val="16"/>
                <w:lang w:val="en-US"/>
              </w:rPr>
              <w:t xml:space="preserve">12 </w:t>
            </w:r>
            <w:r w:rsidRPr="00AB6824">
              <w:rPr>
                <w:sz w:val="16"/>
                <w:szCs w:val="16"/>
              </w:rPr>
              <w:t>ασθενείς</w:t>
            </w:r>
          </w:p>
        </w:tc>
        <w:tc>
          <w:tcPr>
            <w:tcW w:w="2212" w:type="pct"/>
            <w:tcBorders>
              <w:top w:val="single" w:sz="12" w:space="0" w:color="auto"/>
              <w:bottom w:val="single" w:sz="12" w:space="0" w:color="auto"/>
            </w:tcBorders>
            <w:shd w:val="clear" w:color="auto" w:fill="auto"/>
          </w:tcPr>
          <w:p w14:paraId="6324DEF4" w14:textId="77777777" w:rsidR="00296CEA" w:rsidRPr="00730D74" w:rsidRDefault="00296CEA" w:rsidP="00B07E2B">
            <w:pPr>
              <w:spacing w:line="276" w:lineRule="auto"/>
              <w:rPr>
                <w:i/>
                <w:iCs/>
                <w:sz w:val="18"/>
                <w:szCs w:val="18"/>
                <w:lang w:val="en-US"/>
              </w:rPr>
            </w:pPr>
            <w:r w:rsidRPr="00730D74">
              <w:rPr>
                <w:i/>
                <w:iCs/>
                <w:sz w:val="18"/>
                <w:szCs w:val="18"/>
                <w:lang w:val="en-US"/>
              </w:rPr>
              <w:t>Bimetallic core-shell immunoassay strip.</w:t>
            </w:r>
          </w:p>
          <w:p w14:paraId="188A1D25" w14:textId="14AEB96E" w:rsidR="00296CEA" w:rsidRPr="00730D74" w:rsidRDefault="00296CEA" w:rsidP="00B07E2B">
            <w:pPr>
              <w:spacing w:line="276" w:lineRule="auto"/>
              <w:rPr>
                <w:i/>
                <w:iCs/>
                <w:sz w:val="18"/>
                <w:szCs w:val="18"/>
                <w:lang w:val="en-US"/>
              </w:rPr>
            </w:pPr>
            <w:r w:rsidRPr="00730D74">
              <w:rPr>
                <w:i/>
                <w:iCs/>
                <w:sz w:val="18"/>
                <w:szCs w:val="18"/>
                <w:lang w:val="en-US"/>
              </w:rPr>
              <w:br/>
              <w:t>LODs:0.00020 ng mL 1, 0.00016 ng mL 1, and 0.00012 ng mL 1</w:t>
            </w:r>
            <w:r w:rsidR="007F7774" w:rsidRPr="00730D74">
              <w:rPr>
                <w:i/>
                <w:iCs/>
                <w:sz w:val="18"/>
                <w:szCs w:val="18"/>
                <w:lang w:val="en-US"/>
              </w:rPr>
              <w:t xml:space="preserve">, </w:t>
            </w:r>
            <w:r w:rsidR="007F7774" w:rsidRPr="00A831E7">
              <w:rPr>
                <w:i/>
                <w:iCs/>
                <w:sz w:val="18"/>
                <w:szCs w:val="18"/>
              </w:rPr>
              <w:t>αντίστοιχα</w:t>
            </w:r>
            <w:r w:rsidRPr="00730D74">
              <w:rPr>
                <w:i/>
                <w:iCs/>
                <w:sz w:val="18"/>
                <w:szCs w:val="18"/>
                <w:lang w:val="en-US"/>
              </w:rPr>
              <w:t>.</w:t>
            </w:r>
          </w:p>
        </w:tc>
        <w:tc>
          <w:tcPr>
            <w:tcW w:w="310" w:type="pct"/>
            <w:tcBorders>
              <w:top w:val="single" w:sz="12" w:space="0" w:color="auto"/>
              <w:bottom w:val="single" w:sz="12" w:space="0" w:color="auto"/>
              <w:right w:val="single" w:sz="12" w:space="0" w:color="000000"/>
            </w:tcBorders>
            <w:shd w:val="clear" w:color="auto" w:fill="auto"/>
          </w:tcPr>
          <w:p w14:paraId="058CDA81" w14:textId="7050592E" w:rsidR="00296CEA" w:rsidRPr="00A831E7" w:rsidRDefault="004955D4" w:rsidP="00B07E2B">
            <w:pPr>
              <w:spacing w:line="276" w:lineRule="auto"/>
              <w:jc w:val="center"/>
              <w:rPr>
                <w:sz w:val="20"/>
                <w:szCs w:val="20"/>
              </w:rPr>
            </w:pPr>
            <w:r w:rsidRPr="00A831E7">
              <w:rPr>
                <w:sz w:val="20"/>
                <w:szCs w:val="20"/>
              </w:rPr>
              <w:fldChar w:fldCharType="begin"/>
            </w:r>
            <w:r w:rsidR="00B22777" w:rsidRPr="00A831E7">
              <w:rPr>
                <w:sz w:val="20"/>
                <w:szCs w:val="20"/>
              </w:rPr>
              <w:instrText xml:space="preserve"> ADDIN ZOTERO_ITEM CSL_CITATION {"citationID":"d2GwoMk0","properties":{"formattedCitation":"[85]","plainCitation":"[85]","noteIndex":0},"citationItems":[{"id":125,"uris":["http://zotero.org/users/local/mfHf28QG/items/44DISKZG"],"itemData":{"id":125,"type":"article-journal","abstract":"Stroke ranks as the second leading cause of disability and mortality globally. Biomarker detection represents a promising avenue for predicting disease severity and prognosis. The expression levels of metalloproteinase-9 (MMP-9), neuron-specific enolase (NSE), and N-terminal pro-brain natriuretic peptide (NT-pro BNP) in blood correlate with stroke severity. Hence, monitoring these biomarkers is crucial for stroke diagnosis and management. Point-of-care testing (POCT) offers on-site diagnostic capabilities, with lateral flow immunoassay (LFIA) being the most widely used method currently. However, traditional LFIA sensitivity requires enhancement. This study introduces an ultra-sensitive surface-enhanced Raman scattering-based lateral flow immunoassay (SERS-based LFIA) strip for simultaneous detection of the three stroke biomarkers using SERS immune tags. Bimetallic core-shell structured SERS immune tags leverage the advantages of two metals, ensuring stability and enhancing Raman signals through plasmon resonance. This development of a POCT based on SERS-based LFIA strips offers rapid, sensitive, and multiplex detection of stroke biomarkers. The limits of detection (LODs) for MMP-9, NSE, and NT-pro BNP were 0.00020 ng mL−1, 0.00016 ng mL−1, and 0.00012 ng mL−1, respectively. Furthermore, enzyme-linked immunosorbent assay (ELISA) validated the accuracy of SERS-based LFIA. Clinical sample analysis demonstrated consistency between outcomes obtained by SERS-based LFIA and ELISA. Thus, SERS-based LFIA presents a novel POCT approach for stroke diagnosis.","container-title":"Talanta","DOI":"10.1016/j.talanta.2024.127166","ISSN":"0039-9140","journalAbbreviation":"Talanta","page":"127166","source":"ScienceDirect","title":"A colorimetric and SERS-based LFIA for sensitive and simultaneous detection of three stroke biomarkers: An ultra-fast and sensitive point-of-care testing platform","title-short":"A colorimetric and SERS-based LFIA for sensitive and simultaneous detection of three stroke biomarkers","volume":"283","author":[{"family":"Wang","given":"Yutong"},{"family":"Zhang","given":"Qianchun"},{"family":"Huang","given":"Mengping"},{"family":"Ai","given":"Ganggang"},{"family":"Liu","given":"Xiaofeng"},{"family":"Zhang","given":"Yuqi"},{"family":"Li","given":"Ran"},{"family":"Wu","given":"Jie"}],"issued":{"date-parts":[["2025",2,1]]}}}],"schema":"https://github.com/citation-style-language/schema/raw/master/csl-citation.json"} </w:instrText>
            </w:r>
            <w:r w:rsidRPr="00A831E7">
              <w:rPr>
                <w:sz w:val="20"/>
                <w:szCs w:val="20"/>
              </w:rPr>
              <w:fldChar w:fldCharType="separate"/>
            </w:r>
            <w:r w:rsidR="00B22777" w:rsidRPr="00A831E7">
              <w:rPr>
                <w:sz w:val="20"/>
              </w:rPr>
              <w:t>[85]</w:t>
            </w:r>
            <w:r w:rsidRPr="00A831E7">
              <w:rPr>
                <w:sz w:val="20"/>
                <w:szCs w:val="20"/>
              </w:rPr>
              <w:fldChar w:fldCharType="end"/>
            </w:r>
          </w:p>
        </w:tc>
      </w:tr>
      <w:tr w:rsidR="00296CEA" w:rsidRPr="00A831E7" w14:paraId="11D69054" w14:textId="77777777" w:rsidTr="00296CEA">
        <w:trPr>
          <w:trHeight w:val="943"/>
        </w:trPr>
        <w:tc>
          <w:tcPr>
            <w:tcW w:w="619" w:type="pct"/>
            <w:tcBorders>
              <w:top w:val="single" w:sz="12" w:space="0" w:color="auto"/>
              <w:left w:val="single" w:sz="12" w:space="0" w:color="auto"/>
              <w:bottom w:val="single" w:sz="12" w:space="0" w:color="auto"/>
            </w:tcBorders>
            <w:shd w:val="clear" w:color="auto" w:fill="auto"/>
          </w:tcPr>
          <w:p w14:paraId="34819845" w14:textId="77777777" w:rsidR="00296CEA" w:rsidRPr="00A831E7" w:rsidRDefault="00296CEA" w:rsidP="00B07E2B">
            <w:pPr>
              <w:spacing w:line="276" w:lineRule="auto"/>
              <w:jc w:val="center"/>
              <w:rPr>
                <w:sz w:val="20"/>
                <w:szCs w:val="20"/>
              </w:rPr>
            </w:pPr>
            <w:r w:rsidRPr="00A831E7">
              <w:rPr>
                <w:sz w:val="20"/>
                <w:szCs w:val="20"/>
              </w:rPr>
              <w:t>NT-proBNP, S100β</w:t>
            </w:r>
          </w:p>
        </w:tc>
        <w:tc>
          <w:tcPr>
            <w:tcW w:w="1372" w:type="pct"/>
            <w:tcBorders>
              <w:top w:val="single" w:sz="12" w:space="0" w:color="auto"/>
              <w:bottom w:val="single" w:sz="12" w:space="0" w:color="auto"/>
            </w:tcBorders>
            <w:shd w:val="clear" w:color="auto" w:fill="auto"/>
          </w:tcPr>
          <w:p w14:paraId="6ABB6D79" w14:textId="6D9D0C31" w:rsidR="00296CEA" w:rsidRPr="00A831E7" w:rsidRDefault="00296CEA" w:rsidP="00B07E2B">
            <w:pPr>
              <w:spacing w:line="276" w:lineRule="auto"/>
              <w:rPr>
                <w:i/>
                <w:iCs/>
                <w:sz w:val="18"/>
                <w:szCs w:val="18"/>
              </w:rPr>
            </w:pPr>
            <w:r w:rsidRPr="00A831E7">
              <w:rPr>
                <w:i/>
                <w:iCs/>
                <w:sz w:val="18"/>
                <w:szCs w:val="18"/>
              </w:rPr>
              <w:t>NT-proBNP: Αύξηση δείχνει σε καρδιοεμβολικό ΑΕΕ.</w:t>
            </w:r>
            <w:r w:rsidRPr="00A831E7">
              <w:rPr>
                <w:i/>
                <w:iCs/>
                <w:sz w:val="18"/>
                <w:szCs w:val="18"/>
              </w:rPr>
              <w:br/>
              <w:t>S100β: Πρωτεΐνη εγκεφαλικού ιστού, αυ</w:t>
            </w:r>
            <w:r w:rsidR="00DA5BAB" w:rsidRPr="00A831E7">
              <w:rPr>
                <w:i/>
                <w:iCs/>
                <w:sz w:val="18"/>
                <w:szCs w:val="18"/>
              </w:rPr>
              <w:t>-</w:t>
            </w:r>
            <w:r w:rsidRPr="00A831E7">
              <w:rPr>
                <w:i/>
                <w:iCs/>
                <w:sz w:val="18"/>
                <w:szCs w:val="18"/>
              </w:rPr>
              <w:t>ξημένη σε ισχαιμικό ΑΕΕ.</w:t>
            </w:r>
          </w:p>
        </w:tc>
        <w:tc>
          <w:tcPr>
            <w:tcW w:w="487" w:type="pct"/>
            <w:tcBorders>
              <w:top w:val="single" w:sz="12" w:space="0" w:color="auto"/>
              <w:bottom w:val="single" w:sz="12" w:space="0" w:color="auto"/>
            </w:tcBorders>
            <w:shd w:val="clear" w:color="auto" w:fill="auto"/>
          </w:tcPr>
          <w:p w14:paraId="3363B611" w14:textId="6D6FC859" w:rsidR="00296CEA" w:rsidRPr="00A831E7" w:rsidRDefault="00296CEA" w:rsidP="00B07E2B">
            <w:pPr>
              <w:spacing w:line="276" w:lineRule="auto"/>
              <w:jc w:val="center"/>
              <w:rPr>
                <w:sz w:val="20"/>
                <w:szCs w:val="20"/>
              </w:rPr>
            </w:pPr>
            <w:r w:rsidRPr="00A831E7">
              <w:rPr>
                <w:sz w:val="20"/>
                <w:szCs w:val="20"/>
              </w:rPr>
              <w:t>-</w:t>
            </w:r>
            <w:r w:rsidRPr="00A831E7">
              <w:rPr>
                <w:sz w:val="20"/>
                <w:szCs w:val="20"/>
              </w:rPr>
              <w:br/>
            </w:r>
            <w:r w:rsidR="007F7774" w:rsidRPr="00A831E7">
              <w:rPr>
                <w:sz w:val="20"/>
                <w:szCs w:val="20"/>
              </w:rPr>
              <w:t>Πλάσμα χοίρου ως μέσο βιοδείκτη</w:t>
            </w:r>
          </w:p>
        </w:tc>
        <w:tc>
          <w:tcPr>
            <w:tcW w:w="2212" w:type="pct"/>
            <w:tcBorders>
              <w:top w:val="single" w:sz="12" w:space="0" w:color="auto"/>
              <w:bottom w:val="single" w:sz="12" w:space="0" w:color="auto"/>
            </w:tcBorders>
            <w:shd w:val="clear" w:color="auto" w:fill="auto"/>
          </w:tcPr>
          <w:p w14:paraId="78BCFA45" w14:textId="77777777" w:rsidR="007F7774" w:rsidRPr="00A831E7" w:rsidRDefault="007F7774" w:rsidP="00B07E2B">
            <w:pPr>
              <w:spacing w:line="276" w:lineRule="auto"/>
              <w:rPr>
                <w:i/>
                <w:iCs/>
                <w:sz w:val="18"/>
                <w:szCs w:val="18"/>
              </w:rPr>
            </w:pPr>
            <w:r w:rsidRPr="00A831E7">
              <w:rPr>
                <w:i/>
                <w:iCs/>
                <w:sz w:val="18"/>
                <w:szCs w:val="18"/>
              </w:rPr>
              <w:t xml:space="preserve">Ανίχνευση μέσω δέσμευσης ενός αντισώματος αναγνώρισης βιομορίων σε Au SPR-chip. </w:t>
            </w:r>
          </w:p>
          <w:p w14:paraId="3CEA565E" w14:textId="77777777" w:rsidR="007F7774" w:rsidRPr="00A831E7" w:rsidRDefault="007F7774" w:rsidP="00B07E2B">
            <w:pPr>
              <w:spacing w:line="276" w:lineRule="auto"/>
              <w:rPr>
                <w:i/>
                <w:iCs/>
                <w:sz w:val="18"/>
                <w:szCs w:val="18"/>
              </w:rPr>
            </w:pPr>
          </w:p>
          <w:p w14:paraId="0FDD9D9E" w14:textId="0C1C10F1" w:rsidR="00296CEA" w:rsidRPr="00A831E7" w:rsidRDefault="007F7774" w:rsidP="00B07E2B">
            <w:pPr>
              <w:spacing w:line="276" w:lineRule="auto"/>
              <w:rPr>
                <w:i/>
                <w:iCs/>
                <w:sz w:val="18"/>
                <w:szCs w:val="18"/>
              </w:rPr>
            </w:pPr>
            <w:r w:rsidRPr="00A831E7">
              <w:rPr>
                <w:i/>
                <w:iCs/>
                <w:sz w:val="18"/>
                <w:szCs w:val="18"/>
              </w:rPr>
              <w:t>Όριο ανίχνευσης:</w:t>
            </w:r>
            <w:r w:rsidRPr="00A831E7">
              <w:rPr>
                <w:i/>
                <w:iCs/>
                <w:sz w:val="18"/>
                <w:szCs w:val="18"/>
              </w:rPr>
              <w:br/>
              <w:t xml:space="preserve"> (LOD) 0.136 ng/mL για S100β, </w:t>
            </w:r>
            <w:r w:rsidRPr="00A831E7">
              <w:rPr>
                <w:i/>
                <w:iCs/>
                <w:sz w:val="18"/>
                <w:szCs w:val="18"/>
              </w:rPr>
              <w:br/>
              <w:t>LOD 0.12 ng/mL για NT-proBNP.</w:t>
            </w:r>
          </w:p>
        </w:tc>
        <w:tc>
          <w:tcPr>
            <w:tcW w:w="310" w:type="pct"/>
            <w:tcBorders>
              <w:top w:val="single" w:sz="12" w:space="0" w:color="auto"/>
              <w:bottom w:val="single" w:sz="12" w:space="0" w:color="auto"/>
              <w:right w:val="single" w:sz="12" w:space="0" w:color="000000"/>
            </w:tcBorders>
            <w:shd w:val="clear" w:color="auto" w:fill="auto"/>
          </w:tcPr>
          <w:p w14:paraId="43F46514" w14:textId="118F39B0" w:rsidR="00296CEA" w:rsidRPr="00A831E7" w:rsidRDefault="004955D4" w:rsidP="00B07E2B">
            <w:pPr>
              <w:spacing w:line="276" w:lineRule="auto"/>
              <w:jc w:val="center"/>
              <w:rPr>
                <w:sz w:val="20"/>
                <w:szCs w:val="20"/>
              </w:rPr>
            </w:pPr>
            <w:r w:rsidRPr="00A831E7">
              <w:rPr>
                <w:sz w:val="20"/>
                <w:szCs w:val="20"/>
              </w:rPr>
              <w:fldChar w:fldCharType="begin"/>
            </w:r>
            <w:r w:rsidR="00B22777" w:rsidRPr="00A831E7">
              <w:rPr>
                <w:sz w:val="20"/>
                <w:szCs w:val="20"/>
              </w:rPr>
              <w:instrText xml:space="preserve"> ADDIN ZOTERO_ITEM CSL_CITATION {"citationID":"74TblzWS","properties":{"formattedCitation":"[64]","plainCitation":"[64]","noteIndex":0},"citationItems":[{"id":355,"uris":["http://zotero.org/users/local/mfHf28QG/items/ZGPB4CMC"],"itemData":{"id":355,"type":"article-journal","abstract":"Surface-plasmon-resonance (SPR) is a quantum-electromagnetic phenomenon arising from the interaction of light with free electrons at a metal-dielectric interface. At a specific angle/wavelength of light, the photon’s energy is transferred to excite ...","container-title":"Sensors (Basel, Switzerland)","DOI":"10.3390/s19112533","issue":"11","language":"en","note":"PMID: 31163612","page":"2533","source":"pmc.ncbi.nlm.nih.gov","title":"Point-of-Care Surface Plasmon Resonance Biosensor for Stroke Biomarkers NT-proBNP and S100β Using a Functionalized Gold Chip with Specific Antibody","volume":"19","author":[{"family":"Harpaz","given":"Dorin"},{"family":"Koh","given":"Brescia"},{"family":"Marks","given":"Robert S."},{"family":"Seet","given":"Raymond CS"},{"family":"Abdulhalim","given":"Ibrahim"},{"family":"Tok","given":"Alfred IY"}],"issued":{"date-parts":[["2019",6,3]]}}}],"schema":"https://github.com/citation-style-language/schema/raw/master/csl-citation.json"} </w:instrText>
            </w:r>
            <w:r w:rsidRPr="00A831E7">
              <w:rPr>
                <w:sz w:val="20"/>
                <w:szCs w:val="20"/>
              </w:rPr>
              <w:fldChar w:fldCharType="separate"/>
            </w:r>
            <w:r w:rsidR="00B22777" w:rsidRPr="00A831E7">
              <w:rPr>
                <w:sz w:val="20"/>
              </w:rPr>
              <w:t>[64]</w:t>
            </w:r>
            <w:r w:rsidRPr="00A831E7">
              <w:rPr>
                <w:sz w:val="20"/>
                <w:szCs w:val="20"/>
              </w:rPr>
              <w:fldChar w:fldCharType="end"/>
            </w:r>
          </w:p>
        </w:tc>
      </w:tr>
      <w:bookmarkEnd w:id="133"/>
    </w:tbl>
    <w:p w14:paraId="1BF5AD8B" w14:textId="77777777" w:rsidR="00E1623D" w:rsidRDefault="00E1623D" w:rsidP="0057069D">
      <w:pPr>
        <w:spacing w:line="360" w:lineRule="auto"/>
        <w:ind w:firstLine="720"/>
        <w:jc w:val="both"/>
        <w:rPr>
          <w:rFonts w:eastAsia="Calibri"/>
        </w:rPr>
      </w:pPr>
    </w:p>
    <w:p w14:paraId="4225EDCC" w14:textId="77777777" w:rsidR="00B07E2B" w:rsidRPr="00A831E7" w:rsidRDefault="00B07E2B" w:rsidP="0057069D">
      <w:pPr>
        <w:spacing w:line="360" w:lineRule="auto"/>
        <w:ind w:firstLine="720"/>
        <w:jc w:val="both"/>
        <w:rPr>
          <w:rFonts w:eastAsia="Calibri"/>
        </w:rPr>
      </w:pPr>
    </w:p>
    <w:p w14:paraId="1A371F04" w14:textId="124AD7B5" w:rsidR="00CC59F7" w:rsidRPr="00A831E7" w:rsidRDefault="00CC59F7" w:rsidP="0057069D">
      <w:pPr>
        <w:pStyle w:val="4"/>
        <w:spacing w:line="360" w:lineRule="auto"/>
        <w:rPr>
          <w:rFonts w:eastAsia="Calibri"/>
          <w:b w:val="0"/>
          <w:bCs/>
        </w:rPr>
      </w:pPr>
      <w:r w:rsidRPr="00A831E7">
        <w:rPr>
          <w:rFonts w:eastAsia="Calibri"/>
          <w:bCs/>
        </w:rPr>
        <w:lastRenderedPageBreak/>
        <w:t>PoC εφαρμογή με ανίχνευση P-Selectin</w:t>
      </w:r>
    </w:p>
    <w:p w14:paraId="73346778" w14:textId="15591786" w:rsidR="00667F5D" w:rsidRPr="00A831E7" w:rsidRDefault="00CC59F7" w:rsidP="00EC7862">
      <w:pPr>
        <w:spacing w:line="360" w:lineRule="auto"/>
        <w:ind w:firstLine="720"/>
        <w:jc w:val="both"/>
        <w:rPr>
          <w:rFonts w:eastAsia="Calibri"/>
        </w:rPr>
      </w:pPr>
      <w:r w:rsidRPr="00A831E7">
        <w:rPr>
          <w:rFonts w:eastAsia="Calibri"/>
        </w:rPr>
        <w:t>Οι</w:t>
      </w:r>
      <w:r w:rsidRPr="00730D74">
        <w:rPr>
          <w:rFonts w:eastAsia="Calibri"/>
          <w:lang w:val="en-US"/>
        </w:rPr>
        <w:t xml:space="preserve"> </w:t>
      </w:r>
      <w:r w:rsidR="00A82EBE" w:rsidRPr="00730D74">
        <w:rPr>
          <w:lang w:val="en-US"/>
        </w:rPr>
        <w:t xml:space="preserve">Y. M. Lee </w:t>
      </w:r>
      <w:r w:rsidR="00A82EBE" w:rsidRPr="00730D74">
        <w:rPr>
          <w:i/>
          <w:iCs/>
          <w:lang w:val="en-US"/>
        </w:rPr>
        <w:t xml:space="preserve">et al. </w:t>
      </w:r>
      <w:r w:rsidR="00A82EBE" w:rsidRPr="00A831E7">
        <w:rPr>
          <w:i/>
          <w:iCs/>
        </w:rPr>
        <w:fldChar w:fldCharType="begin"/>
      </w:r>
      <w:r w:rsidR="00B61252">
        <w:rPr>
          <w:i/>
          <w:iCs/>
          <w:lang w:val="en-US"/>
        </w:rPr>
        <w:instrText xml:space="preserve"> ADDIN ZOTERO_ITEM CSL_CITATION {"citationID":"3zhbrlLv","properties":{"formattedCitation":"[94]","plainCitation":"[94]","noteIndex":0},"citationItems":[{"id":290,"uris":["http://zotero.org/users/local/mfHf28QG/items/22WSXGE3"],"itemData":{"id":290,"type":"article-journal","abstract":"Stroke is one of the leading causes of death and disability in adulthood worldwide. A simple and convenient diagnostic method is needed for monitoring high-risk patients for stroke. Few POCTs are available for stroke diagnosis. Soluble blood ...","container-title":"Current Neurovascular Research","DOI":"10.2174/1567202618666211109103720","issue":"4","language":"en","note":"PMID: 34751116","page":"409","source":"pmc.ncbi.nlm.nih.gov","title":"Point of Care Test Technology Suitable for Early Detection and Monitoring of Ischemic Stroke","volume":"18","author":[{"family":"Lee","given":"Young Mi"},{"family":"Bae","given":"Mi Jung"},{"family":"Choi","given":"Ye Seul"},{"family":"Lee","given":"Eunmi"},{"family":"Cho","given":"Junghwan"},{"family":"Kim","given":"Myung-Gwan"},{"family":"Le","given":"Minh Tan"},{"family":"Nguyen","given":"Thi Hong Duc"},{"family":"Han","given":"Hyung Soo"},{"family":"Park","given":"Nora Jee-Young"},{"family":"Chong","given":"Gun Oh"}],"issued":{"date-parts":[["2021",12,30]]}}}],"schema":"https://github.com/citation-style-language/schema/raw/master/csl-citation.json"} </w:instrText>
      </w:r>
      <w:r w:rsidR="00A82EBE" w:rsidRPr="00A831E7">
        <w:rPr>
          <w:i/>
          <w:iCs/>
        </w:rPr>
        <w:fldChar w:fldCharType="separate"/>
      </w:r>
      <w:r w:rsidR="00B61252" w:rsidRPr="00B61252">
        <w:t>[94]</w:t>
      </w:r>
      <w:r w:rsidR="00A82EBE" w:rsidRPr="00A831E7">
        <w:rPr>
          <w:i/>
          <w:iCs/>
        </w:rPr>
        <w:fldChar w:fldCharType="end"/>
      </w:r>
      <w:r w:rsidRPr="00A831E7">
        <w:rPr>
          <w:rFonts w:eastAsia="Calibri"/>
        </w:rPr>
        <w:t xml:space="preserve"> ανέπτυξαν </w:t>
      </w:r>
      <w:r w:rsidR="001C4633" w:rsidRPr="00A831E7">
        <w:rPr>
          <w:rFonts w:eastAsia="Calibri"/>
        </w:rPr>
        <w:t>ένα σύστημα Point-of-Care (PoC) που χρησιμοποιεί αντισώματα επισημασμένα με κβαντικές κουκκίδες</w:t>
      </w:r>
      <w:r w:rsidR="004677E6" w:rsidRPr="00A831E7">
        <w:rPr>
          <w:rFonts w:eastAsia="Calibri"/>
        </w:rPr>
        <w:t>(quantum dot)</w:t>
      </w:r>
      <w:r w:rsidR="001C4633" w:rsidRPr="00A831E7">
        <w:rPr>
          <w:rFonts w:eastAsia="Calibri"/>
        </w:rPr>
        <w:t xml:space="preserve"> για την ανίχνευση της διαλυτής P-selectin, ενός βιοδείκτη που σχετίζεται με τη συσσώρευση αιμοπεταλίων και τη θρομβωτική δραστηριότητα σ</w:t>
      </w:r>
      <w:r w:rsidR="004677E6" w:rsidRPr="00A831E7">
        <w:rPr>
          <w:rFonts w:eastAsia="Calibri"/>
        </w:rPr>
        <w:t>ε</w:t>
      </w:r>
      <w:r w:rsidR="001C4633" w:rsidRPr="00A831E7">
        <w:rPr>
          <w:rFonts w:eastAsia="Calibri"/>
        </w:rPr>
        <w:t xml:space="preserve"> </w:t>
      </w:r>
      <w:r w:rsidR="004677E6" w:rsidRPr="00A831E7">
        <w:rPr>
          <w:rFonts w:eastAsia="Calibri"/>
        </w:rPr>
        <w:t>ΑΕΕ</w:t>
      </w:r>
      <w:r w:rsidR="001C4633" w:rsidRPr="00A831E7">
        <w:rPr>
          <w:rFonts w:eastAsia="Calibri"/>
        </w:rPr>
        <w:t xml:space="preserve">. Σε σύγκριση με </w:t>
      </w:r>
      <w:r w:rsidR="004677E6" w:rsidRPr="00A831E7">
        <w:rPr>
          <w:rFonts w:eastAsia="Calibri"/>
        </w:rPr>
        <w:t xml:space="preserve">τις </w:t>
      </w:r>
      <w:r w:rsidR="001C4633" w:rsidRPr="00A831E7">
        <w:rPr>
          <w:rFonts w:eastAsia="Calibri"/>
        </w:rPr>
        <w:t>καθιερωμένες PoC μεθόδους, το σύστημα αυτό προσφέρει υψηλή ευαισθησία, με κατώτερο όριο ανίχνευσης 10 pg/µL, γεγονός που το καθιστά</w:t>
      </w:r>
      <w:r w:rsidR="004677E6" w:rsidRPr="00A831E7">
        <w:rPr>
          <w:rFonts w:eastAsia="Calibri"/>
        </w:rPr>
        <w:t xml:space="preserve"> </w:t>
      </w:r>
      <w:r w:rsidR="001C4633" w:rsidRPr="00A831E7">
        <w:rPr>
          <w:rFonts w:eastAsia="Calibri"/>
        </w:rPr>
        <w:t xml:space="preserve">πολλά υποσχόμενο για έγκαιρη διάγνωση εγκεφαλικού επεισοδίου. Ωστόσο, σε αντίθεση με τις ηλεκτροχημικές ή </w:t>
      </w:r>
      <w:r w:rsidR="00C05308">
        <w:rPr>
          <w:rFonts w:eastAsia="Calibri"/>
          <w:lang w:val="en-US"/>
        </w:rPr>
        <w:t>point</w:t>
      </w:r>
      <w:r w:rsidR="00C05308" w:rsidRPr="00C05308">
        <w:rPr>
          <w:rFonts w:eastAsia="Calibri"/>
        </w:rPr>
        <w:t>-</w:t>
      </w:r>
      <w:r w:rsidR="00C05308">
        <w:rPr>
          <w:rFonts w:eastAsia="Calibri"/>
          <w:lang w:val="en-US"/>
        </w:rPr>
        <w:t>of</w:t>
      </w:r>
      <w:r w:rsidR="00C05308" w:rsidRPr="00C05308">
        <w:rPr>
          <w:rFonts w:eastAsia="Calibri"/>
        </w:rPr>
        <w:t>-</w:t>
      </w:r>
      <w:r w:rsidR="00C05308">
        <w:rPr>
          <w:rFonts w:eastAsia="Calibri"/>
          <w:lang w:val="en-US"/>
        </w:rPr>
        <w:t>care</w:t>
      </w:r>
      <w:r w:rsidR="001C4633" w:rsidRPr="00A831E7">
        <w:rPr>
          <w:rFonts w:eastAsia="Calibri"/>
        </w:rPr>
        <w:t xml:space="preserve"> συσκευές</w:t>
      </w:r>
      <w:r w:rsidR="0095202A">
        <w:rPr>
          <w:rFonts w:eastAsia="Calibri"/>
        </w:rPr>
        <w:t xml:space="preserve"> μικρορευστομηχανικής (</w:t>
      </w:r>
      <w:r w:rsidR="0095202A" w:rsidRPr="00A831E7">
        <w:rPr>
          <w:rFonts w:eastAsia="Calibri"/>
        </w:rPr>
        <w:t>microfluidic</w:t>
      </w:r>
      <w:r w:rsidR="0095202A">
        <w:rPr>
          <w:rFonts w:eastAsia="Calibri"/>
        </w:rPr>
        <w:t>)</w:t>
      </w:r>
      <w:r w:rsidR="001C4633" w:rsidRPr="00A831E7">
        <w:rPr>
          <w:rFonts w:eastAsia="Calibri"/>
        </w:rPr>
        <w:t>, η μέθοδος ανίχνευσης της P-selectin στηρίζεται σε φωταύγεια, απαιτώντας κάμερα smartphon</w:t>
      </w:r>
      <w:r w:rsidR="0027217E" w:rsidRPr="00A831E7">
        <w:rPr>
          <w:rFonts w:eastAsia="Calibri"/>
        </w:rPr>
        <w:t>e</w:t>
      </w:r>
      <w:r w:rsidR="004677E6" w:rsidRPr="00A831E7">
        <w:rPr>
          <w:rFonts w:eastAsia="Calibri"/>
        </w:rPr>
        <w:t xml:space="preserve"> υποβοηθούμενη </w:t>
      </w:r>
      <w:r w:rsidR="00811FE1" w:rsidRPr="00A831E7">
        <w:rPr>
          <w:rFonts w:eastAsia="Calibri"/>
        </w:rPr>
        <w:t>από</w:t>
      </w:r>
      <w:r w:rsidR="001C4633" w:rsidRPr="00A831E7">
        <w:rPr>
          <w:rFonts w:eastAsia="Calibri"/>
        </w:rPr>
        <w:t xml:space="preserve"> LED απεικόνιση, κάτι που μπορεί να περιορίσει τη χρήση της σε προνοσοκομειακ</w:t>
      </w:r>
      <w:r w:rsidR="0027217E" w:rsidRPr="00A831E7">
        <w:rPr>
          <w:rFonts w:eastAsia="Calibri"/>
        </w:rPr>
        <w:t xml:space="preserve">ό </w:t>
      </w:r>
      <w:r w:rsidR="001C4633" w:rsidRPr="00A831E7">
        <w:rPr>
          <w:rFonts w:eastAsia="Calibri"/>
        </w:rPr>
        <w:t xml:space="preserve"> περιβάλλον.</w:t>
      </w:r>
      <w:r w:rsidR="004677E6" w:rsidRPr="00A831E7">
        <w:rPr>
          <w:rFonts w:eastAsia="Calibri"/>
        </w:rPr>
        <w:t xml:space="preserve"> Η</w:t>
      </w:r>
      <w:r w:rsidR="001C4633" w:rsidRPr="00A831E7">
        <w:rPr>
          <w:rFonts w:eastAsia="Calibri"/>
        </w:rPr>
        <w:t xml:space="preserve"> μ</w:t>
      </w:r>
      <w:r w:rsidR="004677E6" w:rsidRPr="00A831E7">
        <w:rPr>
          <w:rFonts w:eastAsia="Calibri"/>
        </w:rPr>
        <w:t>ελέτη έγινε</w:t>
      </w:r>
      <w:r w:rsidR="001C4633" w:rsidRPr="00A831E7">
        <w:rPr>
          <w:rFonts w:eastAsia="Calibri"/>
        </w:rPr>
        <w:t xml:space="preserve"> σε ελεγχόμενες εργαστηριακές συνθήκες και δεν είναι ακόμη πλήρως φορητή, όπως οι </w:t>
      </w:r>
      <w:r w:rsidR="004677E6" w:rsidRPr="00A831E7">
        <w:rPr>
          <w:rFonts w:eastAsia="Calibri"/>
        </w:rPr>
        <w:t>καθιερωμένες συσκευές βιοχημικών αναλύσεων.</w:t>
      </w:r>
    </w:p>
    <w:p w14:paraId="3B9179F6" w14:textId="6296E902" w:rsidR="00CC59F7" w:rsidRPr="00A831E7" w:rsidRDefault="00CC59F7" w:rsidP="0057069D">
      <w:pPr>
        <w:pStyle w:val="4"/>
        <w:spacing w:line="360" w:lineRule="auto"/>
        <w:rPr>
          <w:rFonts w:eastAsia="Calibri"/>
          <w:b w:val="0"/>
          <w:bCs/>
        </w:rPr>
      </w:pPr>
      <w:r w:rsidRPr="00A831E7">
        <w:rPr>
          <w:rFonts w:eastAsia="Calibri"/>
          <w:bCs/>
        </w:rPr>
        <w:t>PoC εφαρμογή με ανίχνευση GFAP</w:t>
      </w:r>
    </w:p>
    <w:p w14:paraId="4E83D826" w14:textId="56033893" w:rsidR="001C4633" w:rsidRPr="00A831E7" w:rsidRDefault="00CC59F7" w:rsidP="0057069D">
      <w:pPr>
        <w:spacing w:line="360" w:lineRule="auto"/>
        <w:ind w:firstLine="720"/>
        <w:jc w:val="both"/>
        <w:rPr>
          <w:rFonts w:eastAsia="Calibri"/>
        </w:rPr>
      </w:pPr>
      <w:r w:rsidRPr="00A831E7">
        <w:rPr>
          <w:rFonts w:eastAsia="Calibri"/>
        </w:rPr>
        <w:t xml:space="preserve">Στη μελέτη των </w:t>
      </w:r>
      <w:r w:rsidR="00A82EBE" w:rsidRPr="00A831E7">
        <w:t xml:space="preserve">A. Sayad </w:t>
      </w:r>
      <w:r w:rsidR="00A82EBE" w:rsidRPr="00A831E7">
        <w:rPr>
          <w:i/>
          <w:iCs/>
        </w:rPr>
        <w:t>et al.</w:t>
      </w:r>
      <w:r w:rsidR="00A82EBE" w:rsidRPr="00A831E7">
        <w:rPr>
          <w:rFonts w:eastAsia="Calibri"/>
        </w:rPr>
        <w:t xml:space="preserve"> </w:t>
      </w:r>
      <w:r w:rsidR="00A82EBE" w:rsidRPr="00A831E7">
        <w:rPr>
          <w:rFonts w:eastAsia="Calibri"/>
        </w:rPr>
        <w:fldChar w:fldCharType="begin"/>
      </w:r>
      <w:r w:rsidR="00B61252">
        <w:rPr>
          <w:rFonts w:eastAsia="Calibri"/>
        </w:rPr>
        <w:instrText xml:space="preserve"> ADDIN ZOTERO_ITEM CSL_CITATION {"citationID":"HdPXuDqS","properties":{"formattedCitation":"[95]","plainCitation":"[95]","noteIndex":0},"citationItems":[{"id":341,"uris":["http://zotero.org/users/local/mfHf28QG/items/ZZTKU2NW"],"itemData":{"id":341,"type":"article-journal","abstract":"Acute stroke is the third leading cause of mortality and disability worldwide. Administration of appropriate therapy for acute stroke is critically dependent on timely classification into either ischemic or hemorrhagic subtypes, which have divergent treatment pathways. The current classification method is based on neuroimaging, which generally requires the transport of the patient to a hospital-based facility unless a mobile stroke unit is available. Plasma glial fibrillary acidic protein (GFAP) level has been identified as a useful blood-based biomarker to differentiate stroke subtypes. However, its conventional immunoassay methods are laboratory-based and time-consuming. Novel approaches for rapid stroke classification near the patients are urgently needed. Here, we report the development and testing of a microfluidic-based magnetoimpedance biosensor platform for measuring GFAP levels. The platform consists of a microfluidic chip for GFAP extraction from a blood sample and a magnetoimpedance (MI) biosensor that employs Dynabeads as a magnetic label to capture the GFAP molecules. We demonstrated the detection of recombinant GFAP protein in phosphate-buffered saline (PBS) and in mouse blood samples (detection limit 0.01 ng/mL) and of physiological GFAP in blood and plasma samples (detection limit 1.0 ng/mL) obtained from acute stroke patients. This detection level is within the range of cut-off levels required for clinical stroke subtype differentiation. This platform has the potential to be incorporated into a small device with further development to assist in the classification of acute stroke patients and clinical decision-making at the point-of-care.","container-title":"Biosensors and Bioelectronics","DOI":"10.1016/j.bios.2022.114410","ISSN":"0956-5663","journalAbbreviation":"Biosensors and Bioelectronics","page":"114410","source":"ScienceDirect","title":"A magnetoimpedance biosensor microfluidic platform for detection of glial fibrillary acidic protein in blood for acute stroke classification","volume":"211","author":[{"family":"Sayad","given":"Abkar"},{"family":"Uddin","given":"Shah Mukim"},{"family":"Yao","given":"Scarlett"},{"family":"Wilson","given":"Harold"},{"family":"Chan","given":"Jianxiong"},{"family":"Zhao","given":"Henry"},{"family":"Donnan","given":"Geoffrey"},{"family":"Davis","given":"Stephen"},{"family":"Skafidas","given":"Efstratios"},{"family":"Yan","given":"Bernard"},{"family":"Kwan","given":"Patrick"}],"issued":{"date-parts":[["2022",9,1]]}}}],"schema":"https://github.com/citation-style-language/schema/raw/master/csl-citation.json"} </w:instrText>
      </w:r>
      <w:r w:rsidR="00A82EBE" w:rsidRPr="00A831E7">
        <w:rPr>
          <w:rFonts w:eastAsia="Calibri"/>
        </w:rPr>
        <w:fldChar w:fldCharType="separate"/>
      </w:r>
      <w:r w:rsidR="00B61252" w:rsidRPr="00B61252">
        <w:rPr>
          <w:rFonts w:eastAsia="Calibri"/>
        </w:rPr>
        <w:t>[95]</w:t>
      </w:r>
      <w:r w:rsidR="00A82EBE" w:rsidRPr="00A831E7">
        <w:rPr>
          <w:rFonts w:eastAsia="Calibri"/>
        </w:rPr>
        <w:fldChar w:fldCharType="end"/>
      </w:r>
      <w:r w:rsidRPr="00A831E7">
        <w:rPr>
          <w:rFonts w:eastAsia="Calibri"/>
        </w:rPr>
        <w:t xml:space="preserve"> παρουσιάζεται </w:t>
      </w:r>
      <w:r w:rsidR="001C4633" w:rsidRPr="00A831E7">
        <w:rPr>
          <w:rFonts w:eastAsia="Calibri"/>
        </w:rPr>
        <w:t>ένα</w:t>
      </w:r>
      <w:r w:rsidR="00C05308">
        <w:rPr>
          <w:rFonts w:eastAsia="Calibri"/>
        </w:rPr>
        <w:t>ς</w:t>
      </w:r>
      <w:r w:rsidR="001C4633" w:rsidRPr="00A831E7">
        <w:rPr>
          <w:rFonts w:eastAsia="Calibri"/>
        </w:rPr>
        <w:t xml:space="preserve"> μαγνητοαντιστατικό</w:t>
      </w:r>
      <w:r w:rsidR="00C05308">
        <w:rPr>
          <w:rFonts w:eastAsia="Calibri"/>
        </w:rPr>
        <w:t>ς</w:t>
      </w:r>
      <w:r w:rsidR="001C4633" w:rsidRPr="00A831E7">
        <w:rPr>
          <w:rFonts w:eastAsia="Calibri"/>
        </w:rPr>
        <w:t xml:space="preserve"> βιοαισθητήρα</w:t>
      </w:r>
      <w:r w:rsidR="00C05308">
        <w:rPr>
          <w:rFonts w:eastAsia="Calibri"/>
        </w:rPr>
        <w:t>ς</w:t>
      </w:r>
      <w:r w:rsidR="001C4633" w:rsidRPr="00A831E7">
        <w:rPr>
          <w:rFonts w:eastAsia="Calibri"/>
        </w:rPr>
        <w:t xml:space="preserve"> μικρορευστομηχανικής</w:t>
      </w:r>
      <w:r w:rsidR="0027217E" w:rsidRPr="00A831E7">
        <w:rPr>
          <w:rFonts w:eastAsia="Calibri"/>
        </w:rPr>
        <w:t xml:space="preserve"> (microfluidics)</w:t>
      </w:r>
      <w:r w:rsidR="00C05308">
        <w:rPr>
          <w:rFonts w:eastAsia="Calibri"/>
        </w:rPr>
        <w:t xml:space="preserve"> </w:t>
      </w:r>
      <w:r w:rsidR="001C4633" w:rsidRPr="00A831E7">
        <w:rPr>
          <w:rFonts w:eastAsia="Calibri"/>
        </w:rPr>
        <w:t xml:space="preserve">για την ανίχνευση της GFAP  στο αίμα, προσφέροντας μια λύση για τη διαφοροποίηση μεταξύ ισχαιμικού και αιμορραγικού εγκεφαλικού. Συγκριτικά με καθιερωμένες PoC συσκευές, το σύστημα προσφέρει υψηλή ευαισθησία με κατώτερο όριο ανίχνευσης 1.0 ng/mL, εντός του κλινικού εύρους διαφοροποίησης εγκεφαλικών επεισοδίων. </w:t>
      </w:r>
      <w:r w:rsidR="0027217E" w:rsidRPr="00A831E7">
        <w:rPr>
          <w:rFonts w:eastAsia="Calibri"/>
        </w:rPr>
        <w:t>Η</w:t>
      </w:r>
      <w:r w:rsidR="001C4633" w:rsidRPr="00A831E7">
        <w:rPr>
          <w:rFonts w:eastAsia="Calibri"/>
        </w:rPr>
        <w:t xml:space="preserve"> μέθοδος ανίχνευσης της GFAP χρησιμοποιεί </w:t>
      </w:r>
      <w:r w:rsidR="004677E6" w:rsidRPr="00A831E7">
        <w:rPr>
          <w:rFonts w:eastAsia="Calibri"/>
        </w:rPr>
        <w:t>μαγνητικά</w:t>
      </w:r>
      <w:r w:rsidR="001C4633" w:rsidRPr="00A831E7">
        <w:rPr>
          <w:rFonts w:eastAsia="Calibri"/>
        </w:rPr>
        <w:t xml:space="preserve"> </w:t>
      </w:r>
      <w:r w:rsidR="004677E6" w:rsidRPr="00A831E7">
        <w:rPr>
          <w:rFonts w:eastAsia="Calibri"/>
        </w:rPr>
        <w:t>«</w:t>
      </w:r>
      <w:r w:rsidR="001C4633" w:rsidRPr="00A831E7">
        <w:rPr>
          <w:rFonts w:eastAsia="Calibri"/>
        </w:rPr>
        <w:t>Dynabeads</w:t>
      </w:r>
      <w:r w:rsidR="004677E6" w:rsidRPr="00A831E7">
        <w:rPr>
          <w:rFonts w:eastAsia="Calibri"/>
        </w:rPr>
        <w:t>»</w:t>
      </w:r>
      <w:r w:rsidR="001C4633" w:rsidRPr="00A831E7">
        <w:rPr>
          <w:rFonts w:eastAsia="Calibri"/>
        </w:rPr>
        <w:t>, απαιτώντας ειδικ</w:t>
      </w:r>
      <w:r w:rsidR="004677E6" w:rsidRPr="00A831E7">
        <w:rPr>
          <w:rFonts w:eastAsia="Calibri"/>
        </w:rPr>
        <w:t>ό</w:t>
      </w:r>
      <w:r w:rsidR="001C4633" w:rsidRPr="00A831E7">
        <w:rPr>
          <w:rFonts w:eastAsia="Calibri"/>
        </w:rPr>
        <w:t xml:space="preserve"> βιοαισθητήρα</w:t>
      </w:r>
      <w:r w:rsidR="004677E6" w:rsidRPr="00A831E7">
        <w:rPr>
          <w:rFonts w:eastAsia="Calibri"/>
        </w:rPr>
        <w:t>,</w:t>
      </w:r>
      <w:r w:rsidR="001C4633" w:rsidRPr="00A831E7">
        <w:rPr>
          <w:rFonts w:eastAsia="Calibri"/>
        </w:rPr>
        <w:t xml:space="preserve"> καθιστώντας τη λιγότερο φορητή από άλλες PoC εφαρμογές.</w:t>
      </w:r>
      <w:r w:rsidR="004677E6" w:rsidRPr="00A831E7">
        <w:rPr>
          <w:rFonts w:eastAsia="Calibri"/>
        </w:rPr>
        <w:t xml:space="preserve"> </w:t>
      </w:r>
      <w:r w:rsidR="001C4633" w:rsidRPr="00A831E7">
        <w:rPr>
          <w:rFonts w:eastAsia="Calibri"/>
        </w:rPr>
        <w:t xml:space="preserve">Μελλοντική ενσωμάτωση σε αυτόματα PoC συστήματα και </w:t>
      </w:r>
      <w:r w:rsidR="00B715B7">
        <w:rPr>
          <w:rFonts w:eastAsia="Calibri"/>
        </w:rPr>
        <w:t xml:space="preserve">πλατφόρμες με </w:t>
      </w:r>
      <w:r w:rsidR="001C4633" w:rsidRPr="00A831E7">
        <w:rPr>
          <w:rFonts w:eastAsia="Calibri"/>
        </w:rPr>
        <w:t>πολυβιοδείκτες θα μπορούσε να ενισχύσει την κλινική της εφαρμοσιμότητα.</w:t>
      </w:r>
    </w:p>
    <w:p w14:paraId="216C70D0" w14:textId="77777777" w:rsidR="00CC59F7" w:rsidRPr="00A831E7" w:rsidRDefault="00CC59F7" w:rsidP="0057069D">
      <w:pPr>
        <w:spacing w:line="360" w:lineRule="auto"/>
        <w:ind w:firstLine="720"/>
        <w:jc w:val="both"/>
        <w:rPr>
          <w:rFonts w:eastAsia="Calibri"/>
        </w:rPr>
      </w:pPr>
    </w:p>
    <w:p w14:paraId="7A1723A0" w14:textId="356BCEF5" w:rsidR="004677E6" w:rsidRPr="00A831E7" w:rsidRDefault="00CC59F7" w:rsidP="0057069D">
      <w:pPr>
        <w:pStyle w:val="4"/>
        <w:spacing w:line="360" w:lineRule="auto"/>
        <w:rPr>
          <w:rFonts w:eastAsia="Calibri"/>
          <w:b w:val="0"/>
          <w:bCs/>
        </w:rPr>
      </w:pPr>
      <w:r w:rsidRPr="00A831E7">
        <w:rPr>
          <w:rFonts w:eastAsia="Calibri"/>
          <w:bCs/>
        </w:rPr>
        <w:t xml:space="preserve">PoC εφαρμογή με παράλληλη ανίχνευση τριών βιοδεικτών (SERS-LFIA) </w:t>
      </w:r>
    </w:p>
    <w:p w14:paraId="3307F6E8" w14:textId="1B0C78C8" w:rsidR="001C4633" w:rsidRPr="00A831E7" w:rsidRDefault="001C4633" w:rsidP="0057069D">
      <w:pPr>
        <w:spacing w:line="360" w:lineRule="auto"/>
        <w:ind w:firstLine="720"/>
        <w:jc w:val="both"/>
        <w:rPr>
          <w:rFonts w:eastAsia="Calibri"/>
        </w:rPr>
      </w:pPr>
      <w:r w:rsidRPr="00A831E7">
        <w:rPr>
          <w:rFonts w:eastAsia="Calibri"/>
        </w:rPr>
        <w:t>Η μελέτη</w:t>
      </w:r>
      <w:r w:rsidR="00CC59F7" w:rsidRPr="00A831E7">
        <w:rPr>
          <w:rFonts w:eastAsia="Calibri"/>
        </w:rPr>
        <w:t xml:space="preserve"> </w:t>
      </w:r>
      <w:r w:rsidR="00A82EBE" w:rsidRPr="00A831E7">
        <w:t xml:space="preserve">Y. Wang </w:t>
      </w:r>
      <w:r w:rsidR="00A82EBE" w:rsidRPr="00A831E7">
        <w:rPr>
          <w:i/>
          <w:iCs/>
        </w:rPr>
        <w:t xml:space="preserve">et al. </w:t>
      </w:r>
      <w:r w:rsidR="00A82EBE" w:rsidRPr="00A831E7">
        <w:rPr>
          <w:i/>
          <w:iCs/>
        </w:rPr>
        <w:fldChar w:fldCharType="begin"/>
      </w:r>
      <w:r w:rsidR="00A82EBE" w:rsidRPr="00A831E7">
        <w:rPr>
          <w:i/>
          <w:iCs/>
        </w:rPr>
        <w:instrText xml:space="preserve"> ADDIN ZOTERO_ITEM CSL_CITATION {"citationID":"dqCRqEmc","properties":{"formattedCitation":"[85]","plainCitation":"[85]","noteIndex":0},"citationItems":[{"id":125,"uris":["http://zotero.org/users/local/mfHf28QG/items/44DISKZG"],"itemData":{"id":125,"type":"article-journal","abstract":"Stroke ranks as the second leading cause of disability and mortality globally. Biomarker detection represents a promising avenue for predicting disease severity and prognosis. The expression levels of metalloproteinase-9 (MMP-9), neuron-specific enolase (NSE), and N-terminal pro-brain natriuretic peptide (NT-pro BNP) in blood correlate with stroke severity. Hence, monitoring these biomarkers is crucial for stroke diagnosis and management. Point-of-care testing (POCT) offers on-site diagnostic capabilities, with lateral flow immunoassay (LFIA) being the most widely used method currently. However, traditional LFIA sensitivity requires enhancement. This study introduces an ultra-sensitive surface-enhanced Raman scattering-based lateral flow immunoassay (SERS-based LFIA) strip for simultaneous detection of the three stroke biomarkers using SERS immune tags. Bimetallic core-shell structured SERS immune tags leverage the advantages of two metals, ensuring stability and enhancing Raman signals through plasmon resonance. This development of a POCT based on SERS-based LFIA strips offers rapid, sensitive, and multiplex detection of stroke biomarkers. The limits of detection (LODs) for MMP-9, NSE, and NT-pro BNP were 0.00020 ng mL−1, 0.00016 ng mL−1, and 0.00012 ng mL−1, respectively. Furthermore, enzyme-linked immunosorbent assay (ELISA) validated the accuracy of SERS-based LFIA. Clinical sample analysis demonstrated consistency between outcomes obtained by SERS-based LFIA and ELISA. Thus, SERS-based LFIA presents a novel POCT approach for stroke diagnosis.","container-title":"Talanta","DOI":"10.1016/j.talanta.2024.127166","ISSN":"0039-9140","journalAbbreviation":"Talanta","page":"127166","source":"ScienceDirect","title":"A colorimetric and SERS-based LFIA for sensitive and simultaneous detection of three stroke biomarkers: An ultra-fast and sensitive point-of-care testing platform","title-short":"A colorimetric and SERS-based LFIA for sensitive and simultaneous detection of three stroke biomarkers","volume":"283","author":[{"family":"Wang","given":"Yutong"},{"family":"Zhang","given":"Qianchun"},{"family":"Huang","given":"Mengping"},{"family":"Ai","given":"Ganggang"},{"family":"Liu","given":"Xiaofeng"},{"family":"Zhang","given":"Yuqi"},{"family":"Li","given":"Ran"},{"family":"Wu","given":"Jie"}],"issued":{"date-parts":[["2025",2,1]]}}}],"schema":"https://github.com/citation-style-language/schema/raw/master/csl-citation.json"} </w:instrText>
      </w:r>
      <w:r w:rsidR="00A82EBE" w:rsidRPr="00A831E7">
        <w:rPr>
          <w:i/>
          <w:iCs/>
        </w:rPr>
        <w:fldChar w:fldCharType="separate"/>
      </w:r>
      <w:r w:rsidR="00A82EBE" w:rsidRPr="00A831E7">
        <w:t>[85]</w:t>
      </w:r>
      <w:r w:rsidR="00A82EBE" w:rsidRPr="00A831E7">
        <w:rPr>
          <w:i/>
          <w:iCs/>
        </w:rPr>
        <w:fldChar w:fldCharType="end"/>
      </w:r>
      <w:r w:rsidRPr="00A831E7">
        <w:rPr>
          <w:rFonts w:eastAsia="Calibri"/>
        </w:rPr>
        <w:t xml:space="preserve"> παρουσιάζει ένα χρωματομετρικό SERS-</w:t>
      </w:r>
      <w:r w:rsidR="004677E6" w:rsidRPr="00A831E7">
        <w:rPr>
          <w:rFonts w:eastAsia="Calibri"/>
        </w:rPr>
        <w:t>based</w:t>
      </w:r>
      <w:r w:rsidRPr="00A831E7">
        <w:rPr>
          <w:rFonts w:eastAsia="Calibri"/>
        </w:rPr>
        <w:t xml:space="preserve"> LFIA για την ταυτόχρονη ανίχνευση τριών βιοδεικτών εγκεφαλικού επεισοδίου: MMP-9, NSE και NT-proBNP. Το σύστημα </w:t>
      </w:r>
      <w:r w:rsidR="004677E6" w:rsidRPr="00A831E7">
        <w:rPr>
          <w:rFonts w:eastAsia="Calibri"/>
        </w:rPr>
        <w:t xml:space="preserve">χρησιμοποιεί </w:t>
      </w:r>
      <w:r w:rsidRPr="00A831E7">
        <w:rPr>
          <w:rFonts w:eastAsia="Calibri"/>
        </w:rPr>
        <w:t>Raman σκέδασ</w:t>
      </w:r>
      <w:r w:rsidR="004677E6" w:rsidRPr="00A831E7">
        <w:rPr>
          <w:rFonts w:eastAsia="Calibri"/>
        </w:rPr>
        <w:t>η</w:t>
      </w:r>
      <w:r w:rsidRPr="00A831E7">
        <w:rPr>
          <w:rFonts w:eastAsia="Calibri"/>
        </w:rPr>
        <w:t xml:space="preserve"> </w:t>
      </w:r>
      <w:r w:rsidR="004677E6" w:rsidRPr="00A831E7">
        <w:rPr>
          <w:rFonts w:eastAsia="Calibri"/>
        </w:rPr>
        <w:t>και</w:t>
      </w:r>
      <w:r w:rsidRPr="00A831E7">
        <w:rPr>
          <w:rFonts w:eastAsia="Calibri"/>
        </w:rPr>
        <w:t xml:space="preserve"> βιοαισθητήρα, επιτυγχάνοντας εξαιρετικά χαμηλά όρια ανίχνευσης (0.00020 ng/mL για MMP-9, 0.00016 ng/mL για NSE και 0.00012 ng/mL για NT-proBNP).</w:t>
      </w:r>
    </w:p>
    <w:p w14:paraId="5397F899" w14:textId="5A4BCFA8" w:rsidR="001C4633" w:rsidRPr="00A831E7" w:rsidRDefault="001C4633" w:rsidP="0057069D">
      <w:pPr>
        <w:spacing w:line="360" w:lineRule="auto"/>
        <w:ind w:firstLine="720"/>
        <w:jc w:val="both"/>
        <w:rPr>
          <w:rFonts w:eastAsia="Calibri"/>
        </w:rPr>
      </w:pPr>
      <w:r w:rsidRPr="00A831E7">
        <w:rPr>
          <w:rFonts w:eastAsia="Calibri"/>
        </w:rPr>
        <w:lastRenderedPageBreak/>
        <w:t>Σε σύγκριση με καθιερωμένες PoC τεχνολογίες, προσφέρει υψηλότερη ευαισθησία και ταυτόχρονη ανίχνευση πολλαπλών βιοδεικτών. Ωστόσο, η μέθοδος βασίζεται σε πολύπλοκη νανοσωματιδιακή σύνθεση (Au</w:t>
      </w:r>
      <w:r w:rsidR="004677E6" w:rsidRPr="00A831E7">
        <w:rPr>
          <w:rFonts w:eastAsia="Calibri"/>
        </w:rPr>
        <w:t>-</w:t>
      </w:r>
      <w:r w:rsidRPr="00A831E7">
        <w:rPr>
          <w:rFonts w:eastAsia="Calibri"/>
        </w:rPr>
        <w:t xml:space="preserve">Ag πυρήνες) και </w:t>
      </w:r>
      <w:r w:rsidR="004677E6" w:rsidRPr="00A831E7">
        <w:rPr>
          <w:rFonts w:eastAsia="Calibri"/>
        </w:rPr>
        <w:t xml:space="preserve">ανίχνευση με </w:t>
      </w:r>
      <w:r w:rsidRPr="00A831E7">
        <w:rPr>
          <w:rFonts w:eastAsia="Calibri"/>
        </w:rPr>
        <w:t>Raman</w:t>
      </w:r>
      <w:r w:rsidR="004677E6" w:rsidRPr="00A831E7">
        <w:rPr>
          <w:rFonts w:eastAsia="Calibri"/>
        </w:rPr>
        <w:t xml:space="preserve"> σκέδαση</w:t>
      </w:r>
      <w:r w:rsidRPr="00A831E7">
        <w:rPr>
          <w:rFonts w:eastAsia="Calibri"/>
        </w:rPr>
        <w:t>, καθιστώντας τη λιγότερο πρακτική για άμεση κλινική εφαρμογή σε προνοσοκομειακό περιβάλλον.</w:t>
      </w:r>
    </w:p>
    <w:p w14:paraId="5089F28E" w14:textId="77777777" w:rsidR="00CC59F7" w:rsidRPr="00A831E7" w:rsidRDefault="00CC59F7" w:rsidP="0057069D">
      <w:pPr>
        <w:spacing w:line="360" w:lineRule="auto"/>
        <w:jc w:val="both"/>
        <w:rPr>
          <w:rFonts w:eastAsia="Calibri"/>
        </w:rPr>
      </w:pPr>
    </w:p>
    <w:p w14:paraId="2BF468A8" w14:textId="40E68690" w:rsidR="00CC59F7" w:rsidRPr="00A831E7" w:rsidRDefault="00CC59F7" w:rsidP="0057069D">
      <w:pPr>
        <w:pStyle w:val="4"/>
        <w:spacing w:line="360" w:lineRule="auto"/>
        <w:rPr>
          <w:rFonts w:eastAsia="Calibri"/>
          <w:b w:val="0"/>
          <w:bCs/>
        </w:rPr>
      </w:pPr>
      <w:r w:rsidRPr="00A831E7">
        <w:rPr>
          <w:rFonts w:eastAsia="Calibri"/>
          <w:bCs/>
        </w:rPr>
        <w:t>PoC εφαρμογή με ανίχνευση τριών βιοδεικτών (SRP)</w:t>
      </w:r>
    </w:p>
    <w:p w14:paraId="5ADEFBDF" w14:textId="24E5FD09" w:rsidR="00B07E2B" w:rsidRDefault="001C4633" w:rsidP="00C7272A">
      <w:pPr>
        <w:spacing w:line="360" w:lineRule="auto"/>
        <w:ind w:firstLine="720"/>
        <w:jc w:val="both"/>
        <w:rPr>
          <w:rFonts w:eastAsia="Calibri"/>
        </w:rPr>
      </w:pPr>
      <w:r w:rsidRPr="00A831E7">
        <w:rPr>
          <w:rFonts w:eastAsia="Calibri"/>
        </w:rPr>
        <w:t xml:space="preserve"> Η μελέτη</w:t>
      </w:r>
      <w:r w:rsidR="00CC59F7" w:rsidRPr="00A831E7">
        <w:rPr>
          <w:rFonts w:eastAsia="Calibri"/>
        </w:rPr>
        <w:t xml:space="preserve"> των</w:t>
      </w:r>
      <w:r w:rsidR="00A5161B" w:rsidRPr="00A831E7">
        <w:rPr>
          <w:rFonts w:eastAsia="Calibri"/>
        </w:rPr>
        <w:t xml:space="preserve"> Harpaz</w:t>
      </w:r>
      <w:r w:rsidR="00CC59F7" w:rsidRPr="00A831E7">
        <w:rPr>
          <w:rFonts w:eastAsia="Calibri"/>
        </w:rPr>
        <w:t xml:space="preserve"> </w:t>
      </w:r>
      <w:r w:rsidR="00CC59F7" w:rsidRPr="00A831E7">
        <w:rPr>
          <w:rFonts w:eastAsia="Calibri"/>
          <w:i/>
          <w:iCs/>
        </w:rPr>
        <w:t>et al.</w:t>
      </w:r>
      <w:r w:rsidR="00A5161B" w:rsidRPr="00A831E7">
        <w:rPr>
          <w:rFonts w:eastAsia="Calibri"/>
        </w:rPr>
        <w:t xml:space="preserve"> </w:t>
      </w:r>
      <w:r w:rsidR="00A5161B" w:rsidRPr="00A831E7">
        <w:rPr>
          <w:rFonts w:eastAsia="Calibri"/>
        </w:rPr>
        <w:fldChar w:fldCharType="begin"/>
      </w:r>
      <w:r w:rsidR="00A5161B" w:rsidRPr="00A831E7">
        <w:rPr>
          <w:rFonts w:eastAsia="Calibri"/>
        </w:rPr>
        <w:instrText xml:space="preserve"> ADDIN ZOTERO_ITEM CSL_CITATION {"citationID":"ZF2a0iM9","properties":{"formattedCitation":"[64]","plainCitation":"[64]","noteIndex":0},"citationItems":[{"id":355,"uris":["http://zotero.org/users/local/mfHf28QG/items/ZGPB4CMC"],"itemData":{"id":355,"type":"article-journal","abstract":"Surface-plasmon-resonance (SPR) is a quantum-electromagnetic phenomenon arising from the interaction of light with free electrons at a metal-dielectric interface. At a specific angle/wavelength of light, the photon’s energy is transferred to excite ...","container-title":"Sensors (Basel, Switzerland)","DOI":"10.3390/s19112533","issue":"11","language":"en","note":"PMID: 31163612","page":"2533","source":"pmc.ncbi.nlm.nih.gov","title":"Point-of-Care Surface Plasmon Resonance Biosensor for Stroke Biomarkers NT-proBNP and S100β Using a Functionalized Gold Chip with Specific Antibody","volume":"19","author":[{"family":"Harpaz","given":"Dorin"},{"family":"Koh","given":"Brescia"},{"family":"Marks","given":"Robert S."},{"family":"Seet","given":"Raymond CS"},{"family":"Abdulhalim","given":"Ibrahim"},{"family":"Tok","given":"Alfred IY"}],"issued":{"date-parts":[["2019",6,3]]}}}],"schema":"https://github.com/citation-style-language/schema/raw/master/csl-citation.json"} </w:instrText>
      </w:r>
      <w:r w:rsidR="00A5161B" w:rsidRPr="00A831E7">
        <w:rPr>
          <w:rFonts w:eastAsia="Calibri"/>
        </w:rPr>
        <w:fldChar w:fldCharType="separate"/>
      </w:r>
      <w:r w:rsidR="00A5161B" w:rsidRPr="00A831E7">
        <w:rPr>
          <w:rFonts w:eastAsia="Calibri"/>
        </w:rPr>
        <w:t>[64]</w:t>
      </w:r>
      <w:r w:rsidR="00A5161B" w:rsidRPr="00A831E7">
        <w:rPr>
          <w:rFonts w:eastAsia="Calibri"/>
        </w:rPr>
        <w:fldChar w:fldCharType="end"/>
      </w:r>
      <w:r w:rsidRPr="00A831E7">
        <w:rPr>
          <w:rFonts w:eastAsia="Calibri"/>
        </w:rPr>
        <w:t xml:space="preserve"> παρουσιάζει έναν </w:t>
      </w:r>
      <w:r w:rsidR="004677E6" w:rsidRPr="00A831E7">
        <w:rPr>
          <w:rFonts w:eastAsia="Calibri"/>
        </w:rPr>
        <w:t xml:space="preserve">Surface-plasmon-resonance </w:t>
      </w:r>
      <w:r w:rsidRPr="00A831E7">
        <w:rPr>
          <w:rFonts w:eastAsia="Calibri"/>
        </w:rPr>
        <w:t>(SPR) βιοαισθητήρα για την ανίχνευση των βιοδεικτών NT-proBNP και S100β</w:t>
      </w:r>
      <w:r w:rsidR="00893734" w:rsidRPr="00A831E7">
        <w:rPr>
          <w:rFonts w:eastAsia="Calibri"/>
        </w:rPr>
        <w:t>. Χ</w:t>
      </w:r>
      <w:r w:rsidRPr="00A831E7">
        <w:rPr>
          <w:rFonts w:eastAsia="Calibri"/>
        </w:rPr>
        <w:t>ρησιμοποιεί εξειδικευμένο χρυσό chip με δεσμευτικά αντισώματα. Σε αντίθεση με καθιερωμένες PoC τεχνολογίες</w:t>
      </w:r>
      <w:r w:rsidR="00893734" w:rsidRPr="00A831E7">
        <w:rPr>
          <w:rFonts w:eastAsia="Calibri"/>
        </w:rPr>
        <w:t xml:space="preserve">, </w:t>
      </w:r>
      <w:r w:rsidRPr="00A831E7">
        <w:rPr>
          <w:rFonts w:eastAsia="Calibri"/>
        </w:rPr>
        <w:t xml:space="preserve"> το σύστημα SPR προσφέρει υψηλότερη ευαισθησία, επιτυγχάνοντας όρια ανίχνευσης κάτω από 1 ng/mL. Η αναγνώριση βιοδεικτών γίνεται μέσω αλλαγής του διαθλαστικού δείκτη (RI), επιτρέποντας ταχεία διάγνωση του καρδιοεμβολικού εγκεφαλικού.</w:t>
      </w:r>
      <w:r w:rsidR="00C7272A">
        <w:rPr>
          <w:rFonts w:eastAsia="Calibri"/>
        </w:rPr>
        <w:br w:type="page"/>
      </w:r>
    </w:p>
    <w:p w14:paraId="539BB08B" w14:textId="21C051F5" w:rsidR="006B3C52" w:rsidRPr="00EB2D8D" w:rsidRDefault="006B3C52" w:rsidP="0057069D">
      <w:pPr>
        <w:pStyle w:val="1"/>
        <w:spacing w:line="360" w:lineRule="auto"/>
        <w:rPr>
          <w:rFonts w:ascii="Times New Roman" w:eastAsia="Calibri" w:hAnsi="Times New Roman" w:cs="Times New Roman"/>
          <w:b/>
          <w:bCs/>
          <w:color w:val="auto"/>
          <w:sz w:val="32"/>
          <w:szCs w:val="32"/>
        </w:rPr>
      </w:pPr>
      <w:bookmarkStart w:id="134" w:name="_Toc199787412"/>
      <w:bookmarkStart w:id="135" w:name="_Toc199946483"/>
      <w:r w:rsidRPr="00EB2D8D">
        <w:rPr>
          <w:rFonts w:ascii="Times New Roman" w:eastAsia="Calibri" w:hAnsi="Times New Roman" w:cs="Times New Roman"/>
          <w:b/>
          <w:bCs/>
          <w:color w:val="auto"/>
          <w:sz w:val="32"/>
          <w:szCs w:val="32"/>
        </w:rPr>
        <w:lastRenderedPageBreak/>
        <w:t>5. Διάγνωση Εγκεφαλικού Επεισοδίου με EVs</w:t>
      </w:r>
      <w:bookmarkEnd w:id="134"/>
      <w:bookmarkEnd w:id="135"/>
    </w:p>
    <w:p w14:paraId="10DC7E71" w14:textId="2AB2A067" w:rsidR="00E1623D" w:rsidRPr="00A831E7" w:rsidRDefault="006B3C52" w:rsidP="0057069D">
      <w:pPr>
        <w:pStyle w:val="2"/>
        <w:spacing w:line="360" w:lineRule="auto"/>
        <w:rPr>
          <w:rFonts w:ascii="Times New Roman" w:hAnsi="Times New Roman" w:cs="Times New Roman"/>
          <w:b/>
          <w:bCs/>
          <w:i/>
          <w:iCs/>
          <w:color w:val="auto"/>
          <w:sz w:val="28"/>
          <w:szCs w:val="28"/>
        </w:rPr>
      </w:pPr>
      <w:bookmarkStart w:id="136" w:name="_Toc199787413"/>
      <w:bookmarkStart w:id="137" w:name="_Toc199946484"/>
      <w:r w:rsidRPr="00A831E7">
        <w:rPr>
          <w:rFonts w:ascii="Times New Roman" w:hAnsi="Times New Roman" w:cs="Times New Roman"/>
          <w:b/>
          <w:bCs/>
          <w:i/>
          <w:iCs/>
          <w:color w:val="auto"/>
          <w:sz w:val="28"/>
          <w:szCs w:val="28"/>
        </w:rPr>
        <w:t>5.1 Γενικά</w:t>
      </w:r>
      <w:bookmarkEnd w:id="136"/>
      <w:bookmarkEnd w:id="137"/>
    </w:p>
    <w:p w14:paraId="616C67DA" w14:textId="22B89757" w:rsidR="00E1623D" w:rsidRPr="00A831E7" w:rsidRDefault="006B3C52" w:rsidP="0057069D">
      <w:pPr>
        <w:spacing w:line="360" w:lineRule="auto"/>
        <w:ind w:firstLine="720"/>
        <w:jc w:val="both"/>
        <w:rPr>
          <w:rFonts w:eastAsia="Calibri"/>
        </w:rPr>
      </w:pPr>
      <w:r w:rsidRPr="00A831E7">
        <w:rPr>
          <w:rFonts w:eastAsia="Calibri"/>
        </w:rPr>
        <w:t xml:space="preserve">Τα εξωκυτταρικά κυστίδια (EVs) είναι μικρά σωματίδια που απελευθερώνονται από τα κύτταρα και μπορούν να μεταφέρουν διάφορους τύπους μορίων, όπως πρωτεΐνες, λιπίδια και νουκλεϊκά οξέα. </w:t>
      </w:r>
      <w:r w:rsidR="00A74CD7">
        <w:rPr>
          <w:rFonts w:eastAsia="Calibri"/>
        </w:rPr>
        <w:t>Μερικοί τύπου</w:t>
      </w:r>
      <w:r w:rsidRPr="00A831E7">
        <w:rPr>
          <w:rFonts w:eastAsia="Calibri"/>
        </w:rPr>
        <w:t xml:space="preserve"> βιοδε</w:t>
      </w:r>
      <w:r w:rsidR="00A74CD7">
        <w:rPr>
          <w:rFonts w:eastAsia="Calibri"/>
        </w:rPr>
        <w:t>ι</w:t>
      </w:r>
      <w:r w:rsidRPr="00A831E7">
        <w:rPr>
          <w:rFonts w:eastAsia="Calibri"/>
        </w:rPr>
        <w:t>κτ</w:t>
      </w:r>
      <w:r w:rsidR="00A74CD7">
        <w:rPr>
          <w:rFonts w:eastAsia="Calibri"/>
        </w:rPr>
        <w:t>ών</w:t>
      </w:r>
      <w:r w:rsidRPr="00A831E7">
        <w:rPr>
          <w:rFonts w:eastAsia="Calibri"/>
        </w:rPr>
        <w:t xml:space="preserve"> που εξετάστηκαν σε προηγούμενα κεφάλαια, όπως miRNAs, πρωτεΐνες, λιπίδια και μεταβολίτες, μπορούν να διατηρηθούν ως φορτίο μέσα στα EVs και να αναλυθούν μετά την εξαγωγή και απομόνωση τους. Τα EVs μπορούν να βρεθούν σε σωματικά υγρά και να </w:t>
      </w:r>
      <w:r w:rsidR="00185741" w:rsidRPr="00A831E7">
        <w:rPr>
          <w:rFonts w:eastAsia="Calibri"/>
        </w:rPr>
        <w:t>αλληλοεπιδράσουν</w:t>
      </w:r>
      <w:r w:rsidRPr="00A831E7">
        <w:rPr>
          <w:rFonts w:eastAsia="Calibri"/>
        </w:rPr>
        <w:t xml:space="preserve"> με άλλα κύτταρα, είτε προσκολλώντας στην επιφάνειά τους είτε εισχωρώντας μέσα σε αυτά. Στη συνέχεια, μπορούν να μεταφέρουν τα μόρια τους στα κύτταρα-δέκτες, επηρεάζοντας τις λειτουργίες και τη συμπεριφορά </w:t>
      </w:r>
      <w:r w:rsidR="002B2AFA" w:rsidRPr="00A831E7">
        <w:rPr>
          <w:rFonts w:eastAsia="Calibri"/>
        </w:rPr>
        <w:t xml:space="preserve">τους </w:t>
      </w:r>
      <w:r w:rsidR="002B2AFA" w:rsidRPr="00A831E7">
        <w:rPr>
          <w:rFonts w:eastAsia="Calibri"/>
        </w:rPr>
        <w:fldChar w:fldCharType="begin"/>
      </w:r>
      <w:r w:rsidR="00B61252">
        <w:rPr>
          <w:rFonts w:eastAsia="Calibri"/>
        </w:rPr>
        <w:instrText xml:space="preserve"> ADDIN ZOTERO_ITEM CSL_CITATION {"citationID":"TyFagL7c","properties":{"formattedCitation":"[96]","plainCitation":"[96]","noteIndex":0},"citationItems":[{"id":1799,"uris":["http://zotero.org/users/local/mfHf28QG/items/P25Z5KBJ"],"itemData":{"id":1799,"type":"article-journal","abstract":"Extracellular vesicles (EVs) have recently attracted a great deal of interest as they may represent a new biosignaling paradigm. According to the mode of biogenesis, size and composition, two broad categories of EVs have been described, exosomes and microvesicles. EVs have been shown to carry cargoes of signaling proteins, RNA species, DNA and lipids. Once released, their content is selectively taken up by near or distant target cells, influencing their behavior. Exosomes are involved in cell–cell communication in a wide range of embryonic developmental processes and in fetal–maternal communication. In the present review, an outline of the role of EVs in neural development, regeneration and diseases is presented. EVs can act as regulators of normal homeostasis, but they can also promote either neuroinflammation/degeneration or tissue repair in pathological conditions, depending on their content. Since EV molecular cargo constitutes a representation of the origin cell status, EVs can be exploited in the diagnosis of several diseases. Due to their capability to cross the blood–brain barrier (BBB), EVs not only have been suggested for the diagnosis of central nervous system disorders by means of minimally invasive procedures, i.e., “liquid biopsies”, but they are also considered attractive tools for targeted drug delivery across the BBB. From the therapeutic perspective, mesenchymal stem cells (MSCs) represent one of the most promising sources of EVs. In particular, the neuroprotective properties of MSCs derived from the dental pulp are here discussed.","container-title":"International Journal of Molecular Sciences","DOI":"10.3390/ijms21186859","ISSN":"1422-0067","issue":"18","language":"en","license":"http://creativecommons.org/licenses/by/3.0/","note":"number: 18\npublisher: Multidisciplinary Digital Publishing Institute","page":"6859","source":"www.mdpi.com","title":"Extracellular Vesicles as Innovative Tool for Diagnosis, Regeneration and Protection against Neurological Damage","volume":"21","author":[{"family":"Andjus","given":"Pavle"},{"family":"Kosanović","given":"Maja"},{"family":"Milićević","given":"Katarina"},{"family":"Gautam","given":"Mukesh"},{"family":"Vainio","given":"Seppo J."},{"family":"Jagečić","given":"Denis"},{"family":"Kozlova","given":"Elena N."},{"family":"Pivoriūnas","given":"Augustas"},{"family":"Chachques","given":"Juan-Carlos"},{"family":"Sakaj","given":"Mirena"},{"family":"Brunello","given":"Giulia"},{"family":"Mitrecic","given":"Dinko"},{"family":"Zavan","given":"Barbara"}],"issued":{"date-parts":[["2020",1]]}}}],"schema":"https://github.com/citation-style-language/schema/raw/master/csl-citation.json"} </w:instrText>
      </w:r>
      <w:r w:rsidR="002B2AFA" w:rsidRPr="00A831E7">
        <w:rPr>
          <w:rFonts w:eastAsia="Calibri"/>
        </w:rPr>
        <w:fldChar w:fldCharType="separate"/>
      </w:r>
      <w:r w:rsidR="00B61252" w:rsidRPr="00B61252">
        <w:rPr>
          <w:rFonts w:eastAsia="Calibri"/>
        </w:rPr>
        <w:t>[96]</w:t>
      </w:r>
      <w:r w:rsidR="002B2AFA" w:rsidRPr="00A831E7">
        <w:rPr>
          <w:rFonts w:eastAsia="Calibri"/>
        </w:rPr>
        <w:fldChar w:fldCharType="end"/>
      </w:r>
      <w:r w:rsidRPr="00A831E7">
        <w:rPr>
          <w:rFonts w:eastAsia="Calibri"/>
        </w:rPr>
        <w:t>. Αποτελούν ενδιαφέροντες υποψήφιους φορείς κυκλοφορούντων βιοδεικτών λόγω της υψηλής σταθερότητάς τους στο αίμα, της ικανότητάς τους να δια</w:t>
      </w:r>
      <w:r w:rsidR="00185741">
        <w:rPr>
          <w:rFonts w:eastAsia="Calibri"/>
        </w:rPr>
        <w:t xml:space="preserve">περνούν πληροφορία </w:t>
      </w:r>
      <w:r w:rsidR="00811FE1">
        <w:rPr>
          <w:rFonts w:eastAsia="Calibri"/>
        </w:rPr>
        <w:t>από</w:t>
      </w:r>
      <w:r w:rsidRPr="00A831E7">
        <w:rPr>
          <w:rFonts w:eastAsia="Calibri"/>
        </w:rPr>
        <w:t xml:space="preserve"> τον αιματοεγκεφαλικό φραγμό (Blood</w:t>
      </w:r>
      <w:r w:rsidR="00D85493" w:rsidRPr="00A831E7">
        <w:rPr>
          <w:rFonts w:eastAsia="Calibri"/>
        </w:rPr>
        <w:t>-</w:t>
      </w:r>
      <w:r w:rsidRPr="00A831E7">
        <w:rPr>
          <w:rFonts w:eastAsia="Calibri"/>
        </w:rPr>
        <w:t>Brain</w:t>
      </w:r>
      <w:r w:rsidR="00D85493" w:rsidRPr="00A831E7">
        <w:rPr>
          <w:rFonts w:eastAsia="Calibri"/>
        </w:rPr>
        <w:t>-</w:t>
      </w:r>
      <w:r w:rsidRPr="00A831E7">
        <w:rPr>
          <w:rFonts w:eastAsia="Calibri"/>
        </w:rPr>
        <w:t>Barrier</w:t>
      </w:r>
      <w:r w:rsidR="00D85493" w:rsidRPr="00A831E7">
        <w:rPr>
          <w:rFonts w:eastAsia="Calibri"/>
        </w:rPr>
        <w:t>,</w:t>
      </w:r>
      <w:r w:rsidRPr="00A831E7">
        <w:rPr>
          <w:rFonts w:eastAsia="Calibri"/>
        </w:rPr>
        <w:t xml:space="preserve"> BBB), της μοναδικότητάς τους ως προς τις επιφανειακές πρωτεΐνες </w:t>
      </w:r>
      <w:r w:rsidR="00A74CD7">
        <w:rPr>
          <w:rFonts w:eastAsia="Calibri"/>
        </w:rPr>
        <w:t xml:space="preserve">αλλά </w:t>
      </w:r>
      <w:r w:rsidRPr="00A831E7">
        <w:rPr>
          <w:rFonts w:eastAsia="Calibri"/>
        </w:rPr>
        <w:t>και το φορτίο τους, καθιστώντας τα ιδιαίτερα σημαντικά για τη διάγνωση και τη θεραπεία του εγκεφαλικού επεισοδίο</w:t>
      </w:r>
      <w:r w:rsidR="002B2AFA" w:rsidRPr="00A831E7">
        <w:rPr>
          <w:rFonts w:eastAsia="Calibri"/>
        </w:rPr>
        <w:t>υ</w:t>
      </w:r>
      <w:r w:rsidRPr="00A831E7">
        <w:rPr>
          <w:rFonts w:eastAsia="Calibri"/>
        </w:rPr>
        <w:t>.</w:t>
      </w:r>
    </w:p>
    <w:p w14:paraId="3546B2F8" w14:textId="097E9435" w:rsidR="00892094" w:rsidRPr="00A831E7" w:rsidRDefault="006B3C52" w:rsidP="0057069D">
      <w:pPr>
        <w:keepNext/>
        <w:spacing w:line="360" w:lineRule="auto"/>
        <w:ind w:firstLine="720"/>
        <w:jc w:val="both"/>
        <w:rPr>
          <w:rFonts w:eastAsia="Calibri"/>
        </w:rPr>
      </w:pPr>
      <w:r w:rsidRPr="00A831E7">
        <w:rPr>
          <w:rFonts w:eastAsia="Calibri"/>
        </w:rPr>
        <w:t>Ο αιματοεγκεφαλικός φραγμός (BBB) αποτελεί μια εξαιρετικά επιλεκτική ημιπερατή δομή που διαχωρίζει το κεντρικό νευρικό σύστημα (ΚΝΣ) από την κυκλοφορία του αίματος, αποτρέποντας την είσοδο ανεπιθύμητων παραγόντων ενώ επιτρέπει τη μεταφορά απαραίτητων θρεπτικών συστατικών. Τα μικροαγγεία του αιματοεγκεφαλικού φραγμού (BBB) αποτελούνται από ενδοθηλιακά κύτταρα (</w:t>
      </w:r>
      <w:r w:rsidR="00C0694C" w:rsidRPr="00A831E7">
        <w:rPr>
          <w:rFonts w:eastAsia="Calibri"/>
        </w:rPr>
        <w:t>ECs</w:t>
      </w:r>
      <w:r w:rsidRPr="00A831E7">
        <w:rPr>
          <w:rFonts w:eastAsia="Calibri"/>
        </w:rPr>
        <w:t>) συνδεδεμένα με σφιχτ</w:t>
      </w:r>
      <w:r w:rsidR="000330BC" w:rsidRPr="00A831E7">
        <w:rPr>
          <w:rFonts w:eastAsia="Calibri"/>
        </w:rPr>
        <w:t>ού</w:t>
      </w:r>
      <w:r w:rsidRPr="00A831E7">
        <w:rPr>
          <w:rFonts w:eastAsia="Calibri"/>
        </w:rPr>
        <w:t>ς συνδέσ</w:t>
      </w:r>
      <w:r w:rsidR="000330BC" w:rsidRPr="00A831E7">
        <w:rPr>
          <w:rFonts w:eastAsia="Calibri"/>
        </w:rPr>
        <w:t>μους</w:t>
      </w:r>
      <w:r w:rsidRPr="00A831E7">
        <w:rPr>
          <w:rFonts w:eastAsia="Calibri"/>
        </w:rPr>
        <w:t xml:space="preserve"> (</w:t>
      </w:r>
      <w:r w:rsidR="000330BC" w:rsidRPr="00A831E7">
        <w:rPr>
          <w:rFonts w:eastAsia="Calibri"/>
        </w:rPr>
        <w:t>Tight Junction</w:t>
      </w:r>
      <w:r w:rsidR="00D85493" w:rsidRPr="00A831E7">
        <w:rPr>
          <w:rFonts w:eastAsia="Calibri"/>
        </w:rPr>
        <w:t>,</w:t>
      </w:r>
      <w:r w:rsidR="000330BC" w:rsidRPr="00A831E7">
        <w:rPr>
          <w:rFonts w:eastAsia="Calibri"/>
        </w:rPr>
        <w:t xml:space="preserve"> </w:t>
      </w:r>
      <w:r w:rsidRPr="00A831E7">
        <w:rPr>
          <w:rFonts w:eastAsia="Calibri"/>
        </w:rPr>
        <w:t>TJ), ενώ</w:t>
      </w:r>
      <w:r w:rsidR="000330BC" w:rsidRPr="00A831E7">
        <w:rPr>
          <w:rFonts w:eastAsia="Calibri"/>
        </w:rPr>
        <w:t xml:space="preserve"> τα</w:t>
      </w:r>
      <w:r w:rsidRPr="00A831E7">
        <w:rPr>
          <w:rFonts w:eastAsia="Calibri"/>
        </w:rPr>
        <w:t xml:space="preserve"> γειτονικά γλοιακά κύτταρα</w:t>
      </w:r>
      <w:r w:rsidR="000330BC" w:rsidRPr="00A831E7">
        <w:rPr>
          <w:rFonts w:eastAsia="Calibri"/>
        </w:rPr>
        <w:t xml:space="preserve"> όπως τα </w:t>
      </w:r>
      <w:r w:rsidRPr="00A831E7">
        <w:rPr>
          <w:rFonts w:eastAsia="Calibri"/>
        </w:rPr>
        <w:t>αστροκύτταρα και</w:t>
      </w:r>
      <w:r w:rsidR="000330BC" w:rsidRPr="00A831E7">
        <w:rPr>
          <w:rFonts w:eastAsia="Calibri"/>
        </w:rPr>
        <w:t xml:space="preserve"> τα</w:t>
      </w:r>
      <w:r w:rsidRPr="00A831E7">
        <w:rPr>
          <w:rFonts w:eastAsia="Calibri"/>
        </w:rPr>
        <w:t xml:space="preserve"> μικρογλοία</w:t>
      </w:r>
      <w:r w:rsidR="000330BC" w:rsidRPr="00A831E7">
        <w:rPr>
          <w:rFonts w:eastAsia="Calibri"/>
        </w:rPr>
        <w:t xml:space="preserve"> κύτταρα, </w:t>
      </w:r>
      <w:r w:rsidRPr="00A831E7">
        <w:rPr>
          <w:rFonts w:eastAsia="Calibri"/>
        </w:rPr>
        <w:t xml:space="preserve">συμβάλλουν στη λειτουργία </w:t>
      </w:r>
      <w:r w:rsidR="000330BC" w:rsidRPr="00A831E7">
        <w:rPr>
          <w:rFonts w:eastAsia="Calibri"/>
        </w:rPr>
        <w:t>του φραγμού</w:t>
      </w:r>
      <w:r w:rsidRPr="00A831E7">
        <w:rPr>
          <w:rFonts w:eastAsia="Calibri"/>
        </w:rPr>
        <w:t>. Όλα αυτά τα στοιχεία, μαζί με τα ολιγοδενδροκύτταρα, τα περικύτταρα (PCs), τα</w:t>
      </w:r>
      <w:r w:rsidR="000330BC" w:rsidRPr="00A831E7">
        <w:rPr>
          <w:rFonts w:eastAsia="Calibri"/>
        </w:rPr>
        <w:t xml:space="preserve"> λεία μυϊκά κύτταρα αγγείων</w:t>
      </w:r>
      <w:r w:rsidRPr="00A831E7">
        <w:rPr>
          <w:rFonts w:eastAsia="Calibri"/>
        </w:rPr>
        <w:t>, τη βασική μεμβράνη και την εξωκυττάρια μήτρα, συγκροτούν τη νευροαγγειακή μονάδα (</w:t>
      </w:r>
      <w:r w:rsidR="000330BC" w:rsidRPr="00A831E7">
        <w:rPr>
          <w:rFonts w:eastAsia="Calibri"/>
        </w:rPr>
        <w:t>Neuro-Vascular Unit</w:t>
      </w:r>
      <w:r w:rsidR="00D85493" w:rsidRPr="00A831E7">
        <w:rPr>
          <w:rFonts w:eastAsia="Calibri"/>
        </w:rPr>
        <w:t>,</w:t>
      </w:r>
      <w:r w:rsidR="000330BC" w:rsidRPr="00A831E7">
        <w:rPr>
          <w:rFonts w:eastAsia="Calibri"/>
        </w:rPr>
        <w:t xml:space="preserve"> </w:t>
      </w:r>
      <w:r w:rsidRPr="00A831E7">
        <w:rPr>
          <w:rFonts w:eastAsia="Calibri"/>
        </w:rPr>
        <w:t>NVU)</w:t>
      </w:r>
      <w:r w:rsidR="00FE6A05" w:rsidRPr="00A831E7">
        <w:rPr>
          <w:rFonts w:eastAsia="Calibri"/>
        </w:rPr>
        <w:t xml:space="preserve"> που παρουσιάζεται στην </w:t>
      </w:r>
      <w:r w:rsidR="00FE6A05" w:rsidRPr="00A831E7">
        <w:rPr>
          <w:i/>
          <w:iCs/>
        </w:rPr>
        <w:t>Εικόνα 1</w:t>
      </w:r>
      <w:r w:rsidR="00FE6A05" w:rsidRPr="00A831E7">
        <w:t xml:space="preserve"> </w:t>
      </w:r>
      <w:r w:rsidR="00FE6A05" w:rsidRPr="00A831E7">
        <w:rPr>
          <w:rFonts w:eastAsia="Calibri"/>
        </w:rPr>
        <w:fldChar w:fldCharType="begin"/>
      </w:r>
      <w:r w:rsidR="00FE6A05" w:rsidRPr="00A831E7">
        <w:rPr>
          <w:rFonts w:eastAsia="Calibri"/>
        </w:rPr>
        <w:instrText xml:space="preserve"> ADDIN ZOTERO_ITEM CSL_CITATION {"citationID":"6qNrZE1J","properties":{"formattedCitation":"[16], [20]","plainCitation":"[16], [20]","noteIndex":0},"citationItems":[{"id":172,"uris":["http://zotero.org/users/local/mfHf28QG/items/NFV5AQIQ"],"itemData":{"id":172,"type":"article-journal","abstract":"There is a short time window (4.5 h) for the effective treatment of acute ischemic stroke (AIS), which uses recombinant tissue plasminogen activator (rt-PA). Unfortunately, this short therapeutic timeframe is a contributing factor to the relatively ...","container-title":"Expert review of molecular diagnostics","DOI":"10.1080/14737159.2020.1777859","issue":"8","language":"en","note":"PMID: 32500751","page":"771","source":"pmc.ncbi.nlm.nih.gov","title":"Liquid biopsy markers for stroke diagnosis","volume":"20","author":[{"family":"Wijerathne","given":"Harshani"},{"family":"Witek","given":"Malgorzata A."},{"family":"Baird","given":"Alison E."},{"family":"Soper","given":"Steven A."}],"issued":{"date-parts":[["2020",7,5]]}}},{"id":180,"uris":["http://zotero.org/users/local/mfHf28QG/items/56CU9CM3"],"itemData":{"id":180,"type":"article-journal","abstract":"Ischemic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chema":"https://github.com/citation-style-language/schema/raw/master/csl-citation.json"} </w:instrText>
      </w:r>
      <w:r w:rsidR="00FE6A05" w:rsidRPr="00A831E7">
        <w:rPr>
          <w:rFonts w:eastAsia="Calibri"/>
        </w:rPr>
        <w:fldChar w:fldCharType="separate"/>
      </w:r>
      <w:r w:rsidR="00FE6A05" w:rsidRPr="00A831E7">
        <w:rPr>
          <w:rFonts w:eastAsia="Calibri"/>
        </w:rPr>
        <w:t>[16], [20]</w:t>
      </w:r>
      <w:r w:rsidR="00FE6A05" w:rsidRPr="00A831E7">
        <w:rPr>
          <w:rFonts w:eastAsia="Calibri"/>
        </w:rPr>
        <w:fldChar w:fldCharType="end"/>
      </w:r>
      <w:r w:rsidRPr="00A831E7">
        <w:rPr>
          <w:rFonts w:eastAsia="Calibri"/>
        </w:rPr>
        <w:t xml:space="preserve">. Η </w:t>
      </w:r>
      <w:r w:rsidR="000330BC" w:rsidRPr="00A831E7">
        <w:rPr>
          <w:rFonts w:eastAsia="Calibri"/>
        </w:rPr>
        <w:t>επιλεκτική φύση του φραγμού</w:t>
      </w:r>
      <w:r w:rsidRPr="00A831E7">
        <w:rPr>
          <w:rFonts w:eastAsia="Calibri"/>
        </w:rPr>
        <w:t xml:space="preserve"> BBB, αν και προστατεύει τον εγκέφαλο από παθογόνα και τοξικούς παράγοντες,</w:t>
      </w:r>
      <w:r w:rsidR="00892094" w:rsidRPr="00A831E7">
        <w:rPr>
          <w:rFonts w:eastAsia="Calibri"/>
        </w:rPr>
        <w:t xml:space="preserve"> </w:t>
      </w:r>
      <w:r w:rsidR="00F32EEE" w:rsidRPr="00A831E7">
        <w:rPr>
          <w:rFonts w:eastAsia="Calibri"/>
        </w:rPr>
        <w:t>π</w:t>
      </w:r>
      <w:r w:rsidRPr="00A831E7">
        <w:rPr>
          <w:rFonts w:eastAsia="Calibri"/>
        </w:rPr>
        <w:t>εριορίζει την απελευθέρωση βιοδεικτών</w:t>
      </w:r>
      <w:r w:rsidR="000330BC" w:rsidRPr="00A831E7">
        <w:rPr>
          <w:rFonts w:eastAsia="Calibri"/>
        </w:rPr>
        <w:t>, με προέλευση το ΚΝΣ,</w:t>
      </w:r>
      <w:r w:rsidRPr="00A831E7">
        <w:rPr>
          <w:rFonts w:eastAsia="Calibri"/>
        </w:rPr>
        <w:t xml:space="preserve"> στην κυκλοφορία του αίματος, καθιστώντας δύσκολη την ανίχνευσή τους </w:t>
      </w:r>
      <w:r w:rsidR="000330BC" w:rsidRPr="00A831E7">
        <w:rPr>
          <w:rFonts w:eastAsia="Calibri"/>
        </w:rPr>
        <w:fldChar w:fldCharType="begin"/>
      </w:r>
      <w:r w:rsidR="00FE6A05" w:rsidRPr="00A831E7">
        <w:rPr>
          <w:rFonts w:eastAsia="Calibri"/>
        </w:rPr>
        <w:instrText xml:space="preserve"> ADDIN ZOTERO_ITEM CSL_CITATION {"citationID":"tK43Pb8k","properties":{"formattedCitation":"[11]","plainCitation":"[11]","noteIndex":0},"citationItems":[{"id":127,"uris":["http://zotero.org/users/local/mfHf28QG/items/NIFKWPSY"],"itemData":{"id":127,"type":"article-journal","abstract":"There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000330BC" w:rsidRPr="00A831E7">
        <w:rPr>
          <w:rFonts w:eastAsia="Calibri"/>
        </w:rPr>
        <w:fldChar w:fldCharType="separate"/>
      </w:r>
      <w:r w:rsidR="00FE6A05" w:rsidRPr="00A831E7">
        <w:rPr>
          <w:rFonts w:eastAsia="Calibri"/>
        </w:rPr>
        <w:t>[11]</w:t>
      </w:r>
      <w:r w:rsidR="000330BC" w:rsidRPr="00A831E7">
        <w:rPr>
          <w:rFonts w:eastAsia="Calibri"/>
        </w:rPr>
        <w:fldChar w:fldCharType="end"/>
      </w:r>
      <w:r w:rsidRPr="00A831E7">
        <w:rPr>
          <w:rFonts w:eastAsia="Calibri"/>
        </w:rPr>
        <w:t>.</w:t>
      </w:r>
      <w:r w:rsidR="00FE6A05" w:rsidRPr="00A831E7">
        <w:rPr>
          <w:rFonts w:eastAsia="Calibri"/>
        </w:rPr>
        <w:t xml:space="preserve"> </w:t>
      </w:r>
    </w:p>
    <w:p w14:paraId="26732E13" w14:textId="77777777" w:rsidR="00667F5D" w:rsidRPr="00A831E7" w:rsidRDefault="00667F5D" w:rsidP="00667F5D">
      <w:pPr>
        <w:keepNext/>
        <w:spacing w:line="360" w:lineRule="auto"/>
        <w:ind w:firstLine="720"/>
        <w:jc w:val="both"/>
        <w:rPr>
          <w:rFonts w:eastAsia="Calibri"/>
        </w:rPr>
      </w:pPr>
    </w:p>
    <w:p w14:paraId="3DED0DA9" w14:textId="1FAD88EC" w:rsidR="00892094" w:rsidRPr="00A831E7" w:rsidRDefault="00892094" w:rsidP="0091505C">
      <w:pPr>
        <w:pStyle w:val="af5"/>
        <w:jc w:val="both"/>
        <w:rPr>
          <w:b/>
          <w:bCs/>
          <w:color w:val="auto"/>
          <w:sz w:val="20"/>
          <w:szCs w:val="20"/>
        </w:rPr>
      </w:pPr>
    </w:p>
    <w:p w14:paraId="17284B35" w14:textId="7FD9F915" w:rsidR="0027217E" w:rsidRPr="00A831E7" w:rsidRDefault="0027217E" w:rsidP="0027217E">
      <w:r w:rsidRPr="00A831E7">
        <w:rPr>
          <w:b/>
          <w:bCs/>
          <w:noProof/>
          <w:sz w:val="20"/>
          <w:szCs w:val="20"/>
        </w:rPr>
        <w:lastRenderedPageBreak/>
        <w:drawing>
          <wp:inline distT="0" distB="0" distL="0" distR="0" wp14:anchorId="683589BF" wp14:editId="778C2F0C">
            <wp:extent cx="5278120" cy="3868420"/>
            <wp:effectExtent l="0" t="0" r="0" b="0"/>
            <wp:docPr id="1676503576" name="Εικόνα 1" descr="Εικόνα που περιέχει παιδική τέχνη, ζωγραφιά, σκίτσο/σχέδι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3576" name="Εικόνα 1" descr="Εικόνα που περιέχει παιδική τέχνη, ζωγραφιά, σκίτσο/σχέδιο&#10;&#10;Το περιεχόμενο που δημιουργείται από τεχνολογία AI ενδέχεται να είναι εσφαλμένο."/>
                    <pic:cNvPicPr/>
                  </pic:nvPicPr>
                  <pic:blipFill>
                    <a:blip r:embed="rId32"/>
                    <a:stretch>
                      <a:fillRect/>
                    </a:stretch>
                  </pic:blipFill>
                  <pic:spPr>
                    <a:xfrm>
                      <a:off x="0" y="0"/>
                      <a:ext cx="5278120" cy="3868420"/>
                    </a:xfrm>
                    <a:prstGeom prst="rect">
                      <a:avLst/>
                    </a:prstGeom>
                  </pic:spPr>
                </pic:pic>
              </a:graphicData>
            </a:graphic>
          </wp:inline>
        </w:drawing>
      </w:r>
    </w:p>
    <w:p w14:paraId="411D5F86" w14:textId="74C69436" w:rsidR="002914C3" w:rsidRDefault="00892094" w:rsidP="0091505C">
      <w:pPr>
        <w:pStyle w:val="af5"/>
        <w:jc w:val="both"/>
        <w:rPr>
          <w:color w:val="auto"/>
        </w:rPr>
      </w:pPr>
      <w:bookmarkStart w:id="138" w:name="_Toc199787689"/>
      <w:r w:rsidRPr="00A831E7">
        <w:rPr>
          <w:b/>
          <w:bCs/>
          <w:color w:val="auto"/>
          <w:sz w:val="20"/>
          <w:szCs w:val="20"/>
        </w:rPr>
        <w:t xml:space="preserve">Εικόνα </w:t>
      </w:r>
      <w:r w:rsidRPr="00A831E7">
        <w:rPr>
          <w:b/>
          <w:bCs/>
          <w:color w:val="auto"/>
          <w:sz w:val="20"/>
          <w:szCs w:val="20"/>
        </w:rPr>
        <w:fldChar w:fldCharType="begin"/>
      </w:r>
      <w:r w:rsidRPr="00A831E7">
        <w:rPr>
          <w:b/>
          <w:bCs/>
          <w:color w:val="auto"/>
          <w:sz w:val="20"/>
          <w:szCs w:val="20"/>
        </w:rPr>
        <w:instrText xml:space="preserve"> SEQ Εικόνα \* ARABIC </w:instrText>
      </w:r>
      <w:r w:rsidRPr="00A831E7">
        <w:rPr>
          <w:b/>
          <w:bCs/>
          <w:color w:val="auto"/>
          <w:sz w:val="20"/>
          <w:szCs w:val="20"/>
        </w:rPr>
        <w:fldChar w:fldCharType="separate"/>
      </w:r>
      <w:r w:rsidR="00A36475" w:rsidRPr="00A831E7">
        <w:rPr>
          <w:b/>
          <w:bCs/>
          <w:color w:val="auto"/>
          <w:sz w:val="20"/>
          <w:szCs w:val="20"/>
        </w:rPr>
        <w:t>2</w:t>
      </w:r>
      <w:r w:rsidRPr="00A831E7">
        <w:rPr>
          <w:b/>
          <w:bCs/>
          <w:color w:val="auto"/>
          <w:sz w:val="20"/>
          <w:szCs w:val="20"/>
        </w:rPr>
        <w:fldChar w:fldCharType="end"/>
      </w:r>
      <w:r w:rsidRPr="00A831E7">
        <w:rPr>
          <w:b/>
          <w:bCs/>
          <w:color w:val="auto"/>
          <w:sz w:val="20"/>
          <w:szCs w:val="20"/>
        </w:rPr>
        <w:t>:</w:t>
      </w:r>
      <w:r w:rsidRPr="00A831E7">
        <w:rPr>
          <w:b/>
          <w:bCs/>
          <w:i w:val="0"/>
          <w:iCs w:val="0"/>
          <w:color w:val="auto"/>
          <w:sz w:val="28"/>
          <w:szCs w:val="28"/>
        </w:rPr>
        <w:t xml:space="preserve"> </w:t>
      </w:r>
      <w:r w:rsidRPr="00A831E7">
        <w:rPr>
          <w:color w:val="auto"/>
        </w:rPr>
        <w:t>Η δομή της νευροαγγειακής μονάδας (NVU). Τα ενδοθηλιακά κύτταρα (ECs) σχηματίζουν τη σωληνοειδή δομή των τριχοειδών αγγείων στον εγκέφαλο και συνδέονται μεταξύ τους μέσω σφιχτών συνδέσμων</w:t>
      </w:r>
      <w:r w:rsidR="00A74CD7">
        <w:rPr>
          <w:color w:val="auto"/>
        </w:rPr>
        <w:t>(</w:t>
      </w:r>
      <w:r w:rsidR="00A74CD7">
        <w:rPr>
          <w:color w:val="auto"/>
          <w:lang w:val="en-US"/>
        </w:rPr>
        <w:t>Tight</w:t>
      </w:r>
      <w:r w:rsidR="00A74CD7" w:rsidRPr="00A74CD7">
        <w:rPr>
          <w:color w:val="auto"/>
        </w:rPr>
        <w:t xml:space="preserve"> </w:t>
      </w:r>
      <w:r w:rsidR="00A74CD7">
        <w:rPr>
          <w:color w:val="auto"/>
          <w:lang w:val="en-US"/>
        </w:rPr>
        <w:t>Junctions</w:t>
      </w:r>
      <w:r w:rsidR="00A74CD7" w:rsidRPr="00A74CD7">
        <w:rPr>
          <w:color w:val="auto"/>
        </w:rPr>
        <w:t>)</w:t>
      </w:r>
      <w:r w:rsidRPr="00A831E7">
        <w:rPr>
          <w:color w:val="auto"/>
        </w:rPr>
        <w:t>. Τα περικύτταρα (PCs) και οι καταλήξεις των αστροκυττάρων περιβάλλουν την περίμετρο της σωληνοειδούς δομής. Η βασική μεμβράνη, η οποία σχηματίζεται από την εξωκυττ</w:t>
      </w:r>
      <w:r w:rsidR="00811FE1">
        <w:rPr>
          <w:color w:val="auto"/>
        </w:rPr>
        <w:t>α</w:t>
      </w:r>
      <w:r w:rsidRPr="00A831E7">
        <w:rPr>
          <w:color w:val="auto"/>
        </w:rPr>
        <w:t>ρι</w:t>
      </w:r>
      <w:r w:rsidR="00811FE1">
        <w:rPr>
          <w:color w:val="auto"/>
        </w:rPr>
        <w:t>κή</w:t>
      </w:r>
      <w:r w:rsidRPr="00A831E7">
        <w:rPr>
          <w:color w:val="auto"/>
        </w:rPr>
        <w:t xml:space="preserve"> μήτρα, περιβάλλει το εξωτερικό τμήμα της σωληνοειδούς δομής. Αυτές οι δομές, μαζί με τους νευρώνες, τα ολιγοδενδροκύτταρα και τη μικρογλοία, συγκροτούν τη νευροαγγειακή μονάδα (NVU) </w:t>
      </w:r>
      <w:r w:rsidRPr="00A831E7">
        <w:rPr>
          <w:color w:val="auto"/>
        </w:rPr>
        <w:fldChar w:fldCharType="begin"/>
      </w:r>
      <w:r w:rsidRPr="00A831E7">
        <w:rPr>
          <w:color w:val="auto"/>
        </w:rPr>
        <w:instrText xml:space="preserve"> ADDIN ZOTERO_ITEM CSL_CITATION {"citationID":"Sy3egNiD","properties":{"formattedCitation":"[20]","plainCitation":"[20]","noteIndex":0},"citationItems":[{"id":180,"uris":["http://zotero.org/users/local/mfHf28QG/items/56CU9CM3"],"itemData":{"id":180,"type":"article-journal","abstract":"Ischemic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chema":"https://github.com/citation-style-language/schema/raw/master/csl-citation.json"} </w:instrText>
      </w:r>
      <w:r w:rsidRPr="00A831E7">
        <w:rPr>
          <w:color w:val="auto"/>
        </w:rPr>
        <w:fldChar w:fldCharType="separate"/>
      </w:r>
      <w:r w:rsidRPr="00A831E7">
        <w:rPr>
          <w:color w:val="auto"/>
        </w:rPr>
        <w:t>[20]</w:t>
      </w:r>
      <w:r w:rsidRPr="00A831E7">
        <w:rPr>
          <w:color w:val="auto"/>
        </w:rPr>
        <w:fldChar w:fldCharType="end"/>
      </w:r>
      <w:r w:rsidRPr="00A831E7">
        <w:rPr>
          <w:color w:val="auto"/>
        </w:rPr>
        <w:t>.</w:t>
      </w:r>
      <w:bookmarkEnd w:id="138"/>
    </w:p>
    <w:p w14:paraId="5CA7F680" w14:textId="77777777" w:rsidR="00FE03E1" w:rsidRPr="00FE03E1" w:rsidRDefault="00FE03E1" w:rsidP="00FE03E1"/>
    <w:p w14:paraId="27FCC388" w14:textId="1502358C" w:rsidR="002914C3" w:rsidRPr="00A831E7" w:rsidRDefault="002914C3" w:rsidP="0057069D">
      <w:pPr>
        <w:spacing w:line="360" w:lineRule="auto"/>
        <w:ind w:firstLine="720"/>
        <w:jc w:val="both"/>
        <w:rPr>
          <w:rFonts w:eastAsia="Calibri"/>
        </w:rPr>
      </w:pPr>
      <w:r w:rsidRPr="00A831E7">
        <w:rPr>
          <w:rFonts w:eastAsia="Calibri"/>
        </w:rPr>
        <w:t>Τα εξωκυτταρικά κυστίδια (EVs) αποτελούν μια ετερογενή ομάδα σωματιδίων κυτταρικής προέλευσης, περιβάλλονται από μεμβράνη και δεν μπορούν να αναπαραχθούν ανεξάρτητα</w:t>
      </w:r>
      <w:r w:rsidR="002B2AFA" w:rsidRPr="00A831E7">
        <w:rPr>
          <w:rFonts w:eastAsia="Calibri"/>
        </w:rPr>
        <w:t xml:space="preserve"> </w:t>
      </w:r>
      <w:r w:rsidR="002B2AFA" w:rsidRPr="00A831E7">
        <w:rPr>
          <w:rFonts w:eastAsia="Calibri"/>
        </w:rPr>
        <w:fldChar w:fldCharType="begin"/>
      </w:r>
      <w:r w:rsidR="00B61252">
        <w:rPr>
          <w:rFonts w:eastAsia="Calibri"/>
        </w:rPr>
        <w:instrText xml:space="preserve"> ADDIN ZOTERO_ITEM CSL_CITATION {"citationID":"6YTXvrp4","properties":{"formattedCitation":"[97]","plainCitation":"[97]","noteIndex":0},"citationItems":[{"id":1801,"uris":["http://zotero.org/users/local/mfHf28QG/items/NGMC34ZV"],"itemData":{"id":1801,"type":"article-journal","abstract":"The last decade has seen a sharp increase in the number of scientific publications describing physiological and pathological functions of extracellular vesicles (EVs), a collective term covering various subtypes of cell-released, membranous structures, called exosomes, microvesicles, microparticles, ectosomes, oncosomes, apoptotic bodies, and many other names. However, specific issues arise when working with these entities, whose size and amount often make them difficult to obtain as relatively pure preparations, and to characterize properly. The International Society for Extracellular Vesicles (ISEV) proposed Minimal Information for Studies of Extracellular Vesicles (“MISEV”) guidelines for the field in 2014. We now update these “MISEV2014” guidelines based on evolution of the collective knowledge in the last four years. An important point to consider is that ascribing a specific function to EVs in general, or to subtypes of EVs, requires reporting of specific information beyond mere description of function in a crude, potentially contaminated, and heterogeneous preparation. For example, claims that exosomes are endowed with exquisite and specific activities remain difficult to support experimentally, given our still limited knowledge of their specific molecular machineries of biogenesis and release, as compared with other biophysically similar EVs. The MISEV2018 guidelines include tables and outlines of suggested protocols and steps to follow to document specific EV-associated functional activities. Finally, a checklist is provided with summaries of key points.","container-title":"Journal of Extracellular Vesicles","DOI":"10.1080/20013078.2018.1535750","ISSN":"2001-3078","issue":"1","language":"en","license":"© 2018 The Author(s). Published by Informa UK Limited, trading as Taylor &amp; Francis Group on behalf of The International Society for Extracellular Vesicles.","note":"_eprint: https://onlinelibrary.wiley.com/doi/pdf/10.1080/20013078.2018.1535750","page":"1535750","source":"Wiley Online Library","title":"Minimal information for studies of extracellular vesicles 2018 (MISEV2018): a position statement of the International Society for Extracellular Vesicles and update of the MISEV2014 guidelines","title-short":"Minimal information for studies of extracellular vesicles 2018 (MISEV2018)","volume":"7","author":[{"family":"Théry","given":"Clotilde"},{"family":"Witwer","given":"Kenneth W"},{"family":"Aikawa","given":"Elena"},{"family":"Alcaraz","given":"Maria Jose"},{"family":"Anderson","given":"Johnathon D"},{"family":"Andriantsitohaina","given":"Ramaroson"},{"family":"Antoniou","given":"Anna"},{"family":"Arab","given":"Tanina"},{"family":"Archer","given":"Fabienne"},{"family":"Atkin-Smith","given":"Georgia K"},{"family":"Ayre","given":"D Craig"},{"family":"Bach","given":"Jean-Marie"},{"family":"Bachurski","given":"Daniel"},{"family":"Baharvand","given":"Hossein"},{"family":"Balaj","given":"Leonora"},{"family":"Baldacchino","given":"Shawn"},{"family":"Bauer","given":"Natalie N"},{"family":"Baxter","given":"Amy A"},{"family":"Bebawy","given":"Mary"},{"family":"Beckham","given":"Carla"},{"family":"Bedina Zavec","given":"Apolonija"},{"family":"Benmoussa","given":"Abderrahim"},{"family":"Berardi","given":"Anna C"},{"family":"Bergese","given":"Paolo"},{"family":"Bielska","given":"Ewa"},{"family":"Blenkiron","given":"Cherie"},{"family":"Bobis-Wozowicz","given":"Sylwia"},{"family":"Boilard","given":"Eric"},{"family":"Boireau","given":"Wilfrid"},{"family":"Bongiovanni","given":"Antonella"},{"family":"Borràs","given":"Francesc E"},{"family":"Bosch","given":"Steffi"},{"family":"Boulanger","given":"Chantal M"},{"family":"Breakefield","given":"Xandra"},{"family":"Breglio","given":"Andrew M"},{"family":"Brennan","given":"Meadhbh Á"},{"family":"Brigstock","given":"David R"},{"family":"Brisson","given":"Alain"},{"family":"Broekman","given":"Marike LD"},{"family":"Bromberg","given":"Jacqueline F"},{"family":"Bryl-Górecka","given":"Paulina"},{"family":"Buch","given":"Shilpa"},{"family":"Buck","given":"Amy H"},{"family":"Burger","given":"Dylan"},{"family":"Busatto","given":"Sara"},{"family":"Buschmann","given":"Dominik"},{"family":"Bussolati","given":"Benedetta"},{"family":"Buzás","given":"Edit I"},{"family":"Byrd","given":"James Bryan"},{"family":"Camussi","given":"Giovanni"},{"family":"Carter","given":"David RF"},{"family":"Caruso","given":"Sarah"},{"family":"Chamley","given":"Lawrence W"},{"family":"Chang","given":"Yu-Ting"},{"family":"Chen","given":"Chihchen"},{"family":"Chen","given":"Shuai"},{"family":"Cheng","given":"Lesley"},{"family":"Chin","given":"Andrew R"},{"family":"Clayton","given":"Aled"},{"family":"Clerici","given":"Stefano P"},{"family":"Cocks","given":"Alex"},{"family":"Cocucci","given":"Emanuele"},{"family":"Coffey","given":"Robert J"},{"family":"Cordeiro-da-Silva","given":"Anabela"},{"family":"Couch","given":"Yvonne"},{"family":"Coumans","given":"Frank AW"},{"family":"Coyle","given":"Beth"},{"family":"Crescitelli","given":"Rossella"},{"family":"Criado","given":"Miria Ferreira"},{"family":"D'Souza-Schorey","given":"Crislyn"},{"family":"Das","given":"Saumya"},{"family":"Datta Chaudhuri","given":"Amrita"},{"family":"Candia","given":"Paola","non-dropping-particle":"de"},{"family":"De Santana Junior","given":"Eliezer F"},{"family":"De Wever","given":"Olivier"},{"family":"Portillo","given":"Hernando A","non-dropping-particle":"del"},{"family":"Demaret","given":"Tanguy"},{"family":"Deville","given":"Sarah"},{"family":"Devitt","given":"Andrew"},{"family":"Dhondt","given":"Bert"},{"family":"Di Vizio","given":"Dolores"},{"family":"Dieterich","given":"Lothar C"},{"family":"Dolo","given":"Vincenza"},{"family":"Dominguez Rubio","given":"Ana Paula"},{"family":"Dominici","given":"Massimo"},{"family":"Dourado","given":"Mauricio R"},{"family":"Driedonks","given":"Tom AP"},{"family":"Duarte","given":"Filipe V"},{"family":"Duncan","given":"Heather M"},{"family":"Eichenberger","given":"Ramon M"},{"family":"Ekström","given":"Karin"},{"family":"EL Andaloussi","given":"Samir"},{"family":"Elie-Caille","given":"Celine"},{"family":"Erdbrügger","given":"Uta"},{"family":"Falcón-Pérez","given":"Juan M"},{"family":"Fatima","given":"Farah"},{"family":"Fish","given":"Jason E"},{"family":"Flores-Bellver","given":"Miguel"},{"family":"Försönits","given":"András"},{"family":"Frelet-Barrand","given":"Annie"},{"family":"Fricke","given":"Fabia"},{"family":"Fuhrmann","given":"Gregor"},{"family":"Gabrielsson","given":"Susanne"},{"family":"Gámez-Valero","given":"Ana"},{"family":"Gardiner","given":"Chris"},{"family":"Gärtner","given":"Kathrin"},{"family":"Gaudin","given":"Raphael"},{"family":"Gho","given":"Yong Song"},{"family":"Giebel","given":"Bernd"},{"family":"Gilbert","given":"Caroline"},{"family":"Gimona","given":"Mario"},{"family":"Giusti","given":"Ilaria"},{"family":"Goberdhan","given":"Deborah CI"},{"family":"Görgens","given":"André"},{"family":"Gorski","given":"Sharon M"},{"family":"Greening","given":"David W"},{"family":"Gross","given":"Julia Christina"},{"family":"Gualerzi","given":"Alice"},{"family":"Gupta","given":"Gopal N"},{"family":"Gustafson","given":"Dakota"},{"family":"Handberg","given":"Aase"},{"family":"Haraszti","given":"Reka A"},{"family":"Harrison","given":"Paul"},{"family":"Hegyesi","given":"Hargita"},{"family":"Hendrix","given":"An"},{"family":"Hill","given":"Andrew F"},{"family":"Hochberg","given":"Fred H"},{"family":"Hoffmann","given":"Karl F"},{"family":"Holder","given":"Beth"},{"family":"Holthofer","given":"Harry"},{"family":"Hosseinkhani","given":"Baharak"},{"family":"Hu","given":"Guoku"},{"family":"Huang","given":"Yiyao"},{"family":"Huber","given":"Veronica"},{"family":"Hunt","given":"Stuart"},{"family":"Ibrahim","given":"Ahmed Gamal-Eldin"},{"family":"Ikezu","given":"Tsuneya"},{"family":"Inal","given":"Jameel M"},{"family":"Isin","given":"Mustafa"},{"family":"Ivanova","given":"Alena"},{"family":"Jackson","given":"Hannah K"},{"family":"Jacobsen","given":"Soren"},{"family":"Jay","given":"Steven M"},{"family":"Jayachandran","given":"Muthuvel"},{"family":"Jenster","given":"Guido"},{"family":"Jiang","given":"Lanzhou"},{"family":"Johnson","given":"Suzanne M"},{"family":"Jones","given":"Jennifer C"},{"family":"Jong","given":"Ambrose"},{"family":"Jovanovic-Talisman","given":"Tijana"},{"family":"Jung","given":"Stephanie"},{"family":"Kalluri","given":"Raghu"},{"family":"Kano","given":"Shin-ichi"},{"family":"Kaur","given":"Sukhbir"},{"family":"Kawamura","given":"Yumi"},{"family":"Keller","given":"Evan T"},{"family":"Khamari","given":"Delaram"},{"family":"Khomyakova","given":"Elena"},{"family":"Khvorova","given":"Anastasia"},{"family":"Kierulf","given":"Peter"},{"family":"Kim","given":"Kwang Pyo"},{"family":"Kislinger","given":"Thomas"},{"family":"Klingeborn","given":"Mikael"},{"family":"Klinke II","given":"David J"},{"family":"Kornek","given":"Miroslaw"},{"family":"Kosanović","given":"Maja M"},{"family":"Kovács","given":"Árpád Ferenc"},{"family":"Krämer-Albers","given":"Eva-Maria"},{"family":"Krasemann","given":"Susanne"},{"family":"Krause","given":"Mirja"},{"family":"Kurochkin","given":"Igor V"},{"family":"Kusuma","given":"Gina D"},{"family":"Kuypers","given":"Sören"},{"family":"Laitinen","given":"Saara"},{"family":"Langevin","given":"Scott M"},{"family":"Languino","given":"Lucia R"},{"family":"Lannigan","given":"Joanne"},{"family":"Lässer","given":"Cecilia"},{"family":"Laurent","given":"Louise C"},{"family":"Lavieu","given":"Gregory"},{"family":"Lázaro-Ibáñez","given":"Elisa"},{"family":"Le Lay","given":"Soazig"},{"family":"Lee","given":"Myung-Shin"},{"family":"Lee","given":"Yi Xin Fiona"},{"family":"Lemos","given":"Debora S"},{"family":"Lenassi","given":"Metka"},{"family":"Leszczynska","given":"Aleksandra"},{"family":"Li","given":"Isaac TS"},{"family":"Liao","given":"Ke"},{"family":"Libregts","given":"Sten F"},{"family":"Ligeti","given":"Erzsebet"},{"family":"Lim","given":"Rebecca"},{"family":"Lim","given":"Sai Kiang"},{"family":"Linē","given":"Aija"},{"family":"Linnemannstöns","given":"Karen"},{"family":"Llorente","given":"Alicia"},{"family":"Lombard","given":"Catherine A"},{"family":"Lorenowicz","given":"Magdalena J"},{"family":"Lörincz","given":"Ákos M"},{"family":"Lötvall","given":"Jan"},{"family":"Lovett","given":"Jason"},{"family":"Lowry","given":"Michelle C"},{"family":"Loyer","given":"Xavier"},{"family":"Lu","given":"Quan"},{"family":"Lukomska","given":"Barbara"},{"family":"Lunavat","given":"Taral R"},{"family":"Maas","given":"Sybren LN"},{"family":"Malhi","given":"Harmeet"},{"family":"Marcilla","given":"Antonio"},{"family":"Mariani","given":"Jacopo"},{"family":"Mariscal","given":"Javier"},{"family":"Martens-Uzunova","given":"Elena S"},{"family":"Martin-Jaular","given":"Lorena"},{"family":"Martinez","given":"M Carmen"},{"family":"Martins","given":"Vilma Regina"},{"family":"Mathieu","given":"Mathilde"},{"family":"Mathivanan","given":"Suresh"},{"family":"Maugeri","given":"Marco"},{"family":"McGinnis","given":"Lynda K"},{"family":"McVey","given":"Mark J"},{"family":"Meckes Jr","given":"David G"},{"family":"Meehan","given":"Katie L"},{"family":"Mertens","given":"Inge"},{"family":"Minciacchi","given":"Valentina R"},{"family":"Möller","given":"Andreas"},{"family":"Møller Jørgensen","given":"Malene"},{"family":"Morales-Kastresana","given":"Aizea"},{"family":"Morhayim","given":"Jess"},{"family":"Mullier","given":"François"},{"family":"Muraca","given":"Maurizio"},{"family":"Musante","given":"Luca"},{"family":"Mussack","given":"Veronika"},{"family":"Muth","given":"Dillon C"},{"family":"Myburgh","given":"Kathryn H"},{"family":"Najrana","given":"Tanbir"},{"family":"Nawaz","given":"Muhammad"},{"family":"Nazarenko","given":"Irina"},{"family":"Nejsum","given":"Peter"},{"family":"Neri","given":"Christian"},{"family":"Neri","given":"Tommaso"},{"family":"Nieuwland","given":"Rienk"},{"family":"Nimrichter","given":"Leonardo"},{"family":"Nolan","given":"John P"},{"family":"Nolte-'t Hoen","given":"Esther NM"},{"family":"Noren Hooten","given":"Nicole"},{"family":"O'Driscoll","given":"Lorraine"},{"family":"O'Grady","given":"Tina"},{"family":"O'Loghlen","given":"Ana"},{"family":"Ochiya","given":"Takahiro"},{"family":"Olivier","given":"Martin"},{"family":"Ortiz","given":"Alberto"},{"family":"Ortiz","given":"Luis A"},{"family":"Osteikoetxea","given":"Xabier"},{"family":"Østergaard","given":"Ole"},{"family":"Ostrowski","given":"Matias"},{"family":"Park","given":"Jaesung"},{"family":"Pegtel","given":"D. Michiel"},{"family":"Peinado","given":"Hector"},{"family":"Perut","given":"Francesca"},{"family":"Pfaffl","given":"Michael W"},{"family":"Phinney","given":"Donald G"},{"family":"Pieters","given":"Bartijn CH"},{"family":"Pink","given":"Ryan C"},{"family":"Pisetsky","given":"David S"},{"family":"Pogge von Strandmann","given":"Elke"},{"family":"Polakovicova","given":"Iva"},{"family":"Poon","given":"Ivan KH"},{"family":"Powell","given":"Bonita H"},{"family":"Prada","given":"Ilaria"},{"family":"Pulliam","given":"Lynn"},{"family":"Quesenberry","given":"Peter"},{"family":"Radeghieri","given":"Annalisa"},{"family":"Raffai","given":"Robert L"},{"family":"Raimondo","given":"Stefania"},{"family":"Rak","given":"Janusz"},{"family":"Ramirez","given":"Marcel I"},{"family":"Raposo","given":"Graça"},{"family":"Rayyan","given":"Morsi S"},{"family":"Regev-Rudzki","given":"Neta"},{"family":"Ricklefs","given":"Franz L"},{"family":"Robbins","given":"Paul D"},{"family":"Roberts","given":"David D"},{"family":"Rodrigues","given":"Silvia C"},{"family":"Rohde","given":"Eva"},{"family":"Rome","given":"Sophie"},{"family":"Rouschop","given":"Kasper MA"},{"family":"Rughetti","given":"Aurelia"},{"family":"Russell","given":"Ashley E"},{"family":"Saá","given":"Paula"},{"family":"Sahoo","given":"Susmita"},{"family":"Salas-Huenuleo","given":"Edison"},{"family":"Sánchez","given":"Catherine"},{"family":"Saugstad","given":"Julie A"},{"family":"Saul","given":"Meike J"},{"family":"Schiffelers","given":"Raymond M"},{"family":"Schneider","given":"Raphael"},{"family":"Schøyen","given":"Tine Hiorth"},{"family":"Scott","given":"Aaron"},{"family":"Shahaj","given":"Eriomina"},{"family":"Sharma","given":"Shivani"},{"family":"Shatnyeva","given":"Olga"},{"family":"Shekari","given":"Faezeh"},{"family":"Shelke","given":"Ganesh Vilas"},{"family":"Shetty","given":"Ashok K"},{"family":"Shiba","given":"Kiyotaka"},{"family":"Siljander","given":"Pia R-M"},{"family":"Silva","given":"Andreia M"},{"family":"Skowronek","given":"Agata"},{"family":"Snyder II","given":"Orman L"},{"family":"Soares","given":"Rodrigo Pedro"},{"family":"Sódar","given":"Barbara W"},{"family":"Soekmadji","given":"Carolina"},{"family":"Sotillo","given":"Javier"},{"family":"Stahl","given":"Philip D"},{"family":"Stoorvogel","given":"Willem"},{"family":"Stott","given":"Shannon L"},{"family":"Strasser","given":"Erwin F"},{"family":"Swift","given":"Simon"},{"family":"Tahara","given":"Hidetoshi"},{"family":"Tewari","given":"Muneesh"},{"family":"Timms","given":"Kate"},{"family":"Tiwari","given":"Swasti"},{"family":"Tixeira","given":"Rochelle"},{"family":"Tkach","given":"Mercedes"},{"family":"Toh","given":"Wei Seong"},{"family":"Tomasini","given":"Richard"},{"family":"Torrecilhas","given":"Ana Claudia"},{"family":"Tosar","given":"Juan Pablo"},{"family":"Toxavidis","given":"Vasilis"},{"family":"Urbanelli","given":"Lorena"},{"family":"Vader","given":"Pieter"},{"family":"Balkom","given":"Bas WM","non-dropping-particle":"van"},{"family":"Grein","given":"Susanne G","non-dropping-particle":"van der"},{"family":"Van Deun","given":"Jan"},{"family":"Herwijnen","given":"Martijn JC","non-dropping-particle":"van"},{"family":"Van Keuren-Jensen","given":"Kendall"},{"family":"Niel","given":"Guillaume","non-dropping-particle":"van"},{"family":"Royen","given":"Martin E","non-dropping-particle":"van"},{"family":"Wijnen","given":"Andre J","non-dropping-particle":"van"},{"family":"Vasconcelos","given":"M Helena"},{"family":"Vechetti Jr","given":"Ivan J"},{"family":"Veit","given":"Tiago D"},{"family":"Vella","given":"Laura J"},{"family":"Velot","given":"Émilie"},{"family":"Verweij","given":"Frederik J"},{"family":"Vestad","given":"Beate"},{"family":"Viñas","given":"Jose L"},{"family":"Visnovitz","given":"Tamás"},{"family":"Vukman","given":"Krisztina V"},{"family":"Wahlgren","given":"Jessica"},{"family":"Watson","given":"Dionysios C"},{"family":"Wauben","given":"Marca HM"},{"family":"Weaver","given":"Alissa"},{"family":"Webber","given":"Jason P"},{"family":"Weber","given":"Viktoria"},{"family":"Wehman","given":"Ann M"},{"family":"Weiss","given":"Daniel J"},{"family":"Welsh","given":"Joshua A"},{"family":"Wendt","given":"Sebastian"},{"family":"Wheelock","given":"Asa M"},{"family":"Wiener","given":"Zoltán"},{"family":"Witte","given":"Leonie"},{"family":"Wolfram","given":"Joy"},{"family":"Xagorari","given":"Angeliki"},{"family":"Xander","given":"Patricia"},{"family":"Xu","given":"Jing"},{"family":"Yan","given":"Xiaomei"},{"family":"Yáñez-Mó","given":"María"},{"family":"Yin","given":"Hang"},{"family":"Yuana","given":"Yuana"},{"family":"Zappulli","given":"Valentina"},{"family":"Zarubova","given":"Jana"},{"family":"Žėkas","given":"Vytautas"},{"family":"Zhang","given":"Jian-ye"},{"family":"Zhao","given":"Zezhou"},{"family":"Zheng","given":"Lei"},{"family":"Zheutlin","given":"Alexander R"},{"family":"Zickler","given":"Antje M"},{"family":"Zimmermann","given":"Pascale"},{"family":"Zivkovic","given":"Angela M"},{"family":"Zocco","given":"Davide"},{"family":"Zuba-Surma","given":"Ewa K"}],"issued":{"date-parts":[["2018"]]}}}],"schema":"https://github.com/citation-style-language/schema/raw/master/csl-citation.json"} </w:instrText>
      </w:r>
      <w:r w:rsidR="002B2AFA" w:rsidRPr="00A831E7">
        <w:rPr>
          <w:rFonts w:eastAsia="Calibri"/>
        </w:rPr>
        <w:fldChar w:fldCharType="separate"/>
      </w:r>
      <w:r w:rsidR="00B61252" w:rsidRPr="00B61252">
        <w:rPr>
          <w:rFonts w:eastAsia="Calibri"/>
        </w:rPr>
        <w:t>[97]</w:t>
      </w:r>
      <w:r w:rsidR="002B2AFA" w:rsidRPr="00A831E7">
        <w:rPr>
          <w:rFonts w:eastAsia="Calibri"/>
        </w:rPr>
        <w:fldChar w:fldCharType="end"/>
      </w:r>
      <w:r w:rsidRPr="00A831E7">
        <w:rPr>
          <w:rFonts w:eastAsia="Calibri"/>
        </w:rPr>
        <w:t>. Χαρακτηρίζονται βάσει των φυσικών τους ιδιοτήτων, της βιοχημικής τους σύνθεσης και της προέλευσής τους. Διακρίνονται σε διάφορες υποκατηγορίες, δυο εκ των οποίων είναι τα εξωσώματα και τα εκτοσώματα (γνωστά και ως μικροκυστίδια/μικροσωματίδια, MP</w:t>
      </w:r>
      <w:r w:rsidR="00C0694C" w:rsidRPr="00A831E7">
        <w:rPr>
          <w:rFonts w:eastAsia="Calibri"/>
        </w:rPr>
        <w:t>s</w:t>
      </w:r>
      <w:r w:rsidRPr="00A831E7">
        <w:rPr>
          <w:rFonts w:eastAsia="Calibri"/>
        </w:rPr>
        <w:t xml:space="preserve">) </w:t>
      </w:r>
      <w:r w:rsidRPr="00A831E7">
        <w:rPr>
          <w:rFonts w:eastAsia="Calibri"/>
        </w:rPr>
        <w:fldChar w:fldCharType="begin"/>
      </w:r>
      <w:r w:rsidRPr="00A831E7">
        <w:rPr>
          <w:rFonts w:eastAsia="Calibri"/>
        </w:rPr>
        <w:instrText xml:space="preserve"> ADDIN ZOTERO_ITEM CSL_CITATION {"citationID":"k6yuWc75","properties":{"formattedCitation":"[11]","plainCitation":"[11]","noteIndex":0},"citationItems":[{"id":127,"uris":["http://zotero.org/users/local/mfHf28QG/items/NIFKWPSY"],"itemData":{"id":127,"type":"article-journal","abstract":"There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Pr="00A831E7">
        <w:rPr>
          <w:rFonts w:eastAsia="Calibri"/>
        </w:rPr>
        <w:fldChar w:fldCharType="separate"/>
      </w:r>
      <w:r w:rsidRPr="00A831E7">
        <w:rPr>
          <w:rFonts w:eastAsia="Calibri"/>
        </w:rPr>
        <w:t>[11]</w:t>
      </w:r>
      <w:r w:rsidRPr="00A831E7">
        <w:rPr>
          <w:rFonts w:eastAsia="Calibri"/>
        </w:rPr>
        <w:fldChar w:fldCharType="end"/>
      </w:r>
      <w:r w:rsidRPr="00A831E7">
        <w:rPr>
          <w:rFonts w:eastAsia="Calibri"/>
        </w:rPr>
        <w:t>. Τα εξωσώματα αποτελούν τη μικρότερη κατηγορία EVs, διαμέτρου 30-100 nm, και προέρχονται από πολυκυστικά σωμ</w:t>
      </w:r>
      <w:r w:rsidR="00A74CD7">
        <w:rPr>
          <w:rFonts w:eastAsia="Calibri"/>
          <w:lang w:val="en-US"/>
        </w:rPr>
        <w:t>a</w:t>
      </w:r>
      <w:r w:rsidR="00A74CD7">
        <w:rPr>
          <w:rFonts w:eastAsia="Calibri"/>
        </w:rPr>
        <w:t>τίδια</w:t>
      </w:r>
      <w:r w:rsidRPr="00A831E7">
        <w:rPr>
          <w:rFonts w:eastAsia="Calibri"/>
        </w:rPr>
        <w:t xml:space="preserve"> (MVB) όταν αυτά ενώνονται με την πλασματική μεμβράνη του αρχικού κυττάρου</w:t>
      </w:r>
      <w:r w:rsidR="002B2AFA" w:rsidRPr="00A831E7">
        <w:rPr>
          <w:rFonts w:eastAsia="Calibri"/>
        </w:rPr>
        <w:t xml:space="preserve"> </w:t>
      </w:r>
      <w:r w:rsidR="002B2AFA" w:rsidRPr="00A831E7">
        <w:rPr>
          <w:rFonts w:eastAsia="Calibri"/>
        </w:rPr>
        <w:fldChar w:fldCharType="begin"/>
      </w:r>
      <w:r w:rsidR="00B61252">
        <w:rPr>
          <w:rFonts w:eastAsia="Calibri"/>
        </w:rPr>
        <w:instrText xml:space="preserve"> ADDIN ZOTERO_ITEM CSL_CITATION {"citationID":"KmbNZYmc","properties":{"formattedCitation":"[97], [98]","plainCitation":"[97], [98]","noteIndex":0},"citationItems":[{"id":1801,"uris":["http://zotero.org/users/local/mfHf28QG/items/NGMC34ZV"],"itemData":{"id":1801,"type":"article-journal","abstract":"The last decade has seen a sharp increase in the number of scientific publications describing physiological and pathological functions of extracellular vesicles (EVs), a collective term covering various subtypes of cell-released, membranous structures, called exosomes, microvesicles, microparticles, ectosomes, oncosomes, apoptotic bodies, and many other names. However, specific issues arise when working with these entities, whose size and amount often make them difficult to obtain as relatively pure preparations, and to characterize properly. The International Society for Extracellular Vesicles (ISEV) proposed Minimal Information for Studies of Extracellular Vesicles (“MISEV”) guidelines for the field in 2014. We now update these “MISEV2014” guidelines based on evolution of the collective knowledge in the last four years. An important point to consider is that ascribing a specific function to EVs in general, or to subtypes of EVs, requires reporting of specific information beyond mere description of function in a crude, potentially contaminated, and heterogeneous preparation. For example, claims that exosomes are endowed with exquisite and specific activities remain difficult to support experimentally, given our still limited knowledge of their specific molecular machineries of biogenesis and release, as compared with other biophysically similar EVs. The MISEV2018 guidelines include tables and outlines of suggested protocols and steps to follow to document specific EV-associated functional activities. Finally, a checklist is provided with summaries of key points.","container-title":"Journal of Extracellular Vesicles","DOI":"10.1080/20013078.2018.1535750","ISSN":"2001-3078","issue":"1","language":"en","license":"© 2018 The Author(s). Published by Informa UK Limited, trading as Taylor &amp; Francis Group on behalf of The International Society for Extracellular Vesicles.","note":"_eprint: https://onlinelibrary.wiley.com/doi/pdf/10.1080/20013078.2018.1535750","page":"1535750","source":"Wiley Online Library","title":"Minimal information for studies of extracellular vesicles 2018 (MISEV2018): a position statement of the International Society for Extracellular Vesicles and update of the MISEV2014 guidelines","title-short":"Minimal information for studies of extracellular vesicles 2018 (MISEV2018)","volume":"7","author":[{"family":"Théry","given":"Clotilde"},{"family":"Witwer","given":"Kenneth W"},{"family":"Aikawa","given":"Elena"},{"family":"Alcaraz","given":"Maria Jose"},{"family":"Anderson","given":"Johnathon D"},{"family":"Andriantsitohaina","given":"Ramaroson"},{"family":"Antoniou","given":"Anna"},{"family":"Arab","given":"Tanina"},{"family":"Archer","given":"Fabienne"},{"family":"Atkin-Smith","given":"Georgia K"},{"family":"Ayre","given":"D Craig"},{"family":"Bach","given":"Jean-Marie"},{"family":"Bachurski","given":"Daniel"},{"family":"Baharvand","given":"Hossein"},{"family":"Balaj","given":"Leonora"},{"family":"Baldacchino","given":"Shawn"},{"family":"Bauer","given":"Natalie N"},{"family":"Baxter","given":"Amy A"},{"family":"Bebawy","given":"Mary"},{"family":"Beckham","given":"Carla"},{"family":"Bedina Zavec","given":"Apolonija"},{"family":"Benmoussa","given":"Abderrahim"},{"family":"Berardi","given":"Anna C"},{"family":"Bergese","given":"Paolo"},{"family":"Bielska","given":"Ewa"},{"family":"Blenkiron","given":"Cherie"},{"family":"Bobis-Wozowicz","given":"Sylwia"},{"family":"Boilard","given":"Eric"},{"family":"Boireau","given":"Wilfrid"},{"family":"Bongiovanni","given":"Antonella"},{"family":"Borràs","given":"Francesc E"},{"family":"Bosch","given":"Steffi"},{"family":"Boulanger","given":"Chantal M"},{"family":"Breakefield","given":"Xandra"},{"family":"Breglio","given":"Andrew M"},{"family":"Brennan","given":"Meadhbh Á"},{"family":"Brigstock","given":"David R"},{"family":"Brisson","given":"Alain"},{"family":"Broekman","given":"Marike LD"},{"family":"Bromberg","given":"Jacqueline F"},{"family":"Bryl-Górecka","given":"Paulina"},{"family":"Buch","given":"Shilpa"},{"family":"Buck","given":"Amy H"},{"family":"Burger","given":"Dylan"},{"family":"Busatto","given":"Sara"},{"family":"Buschmann","given":"Dominik"},{"family":"Bussolati","given":"Benedetta"},{"family":"Buzás","given":"Edit I"},{"family":"Byrd","given":"James Bryan"},{"family":"Camussi","given":"Giovanni"},{"family":"Carter","given":"David RF"},{"family":"Caruso","given":"Sarah"},{"family":"Chamley","given":"Lawrence W"},{"family":"Chang","given":"Yu-Ting"},{"family":"Chen","given":"Chihchen"},{"family":"Chen","given":"Shuai"},{"family":"Cheng","given":"Lesley"},{"family":"Chin","given":"Andrew R"},{"family":"Clayton","given":"Aled"},{"family":"Clerici","given":"Stefano P"},{"family":"Cocks","given":"Alex"},{"family":"Cocucci","given":"Emanuele"},{"family":"Coffey","given":"Robert J"},{"family":"Cordeiro-da-Silva","given":"Anabela"},{"family":"Couch","given":"Yvonne"},{"family":"Coumans","given":"Frank AW"},{"family":"Coyle","given":"Beth"},{"family":"Crescitelli","given":"Rossella"},{"family":"Criado","given":"Miria Ferreira"},{"family":"D'Souza-Schorey","given":"Crislyn"},{"family":"Das","given":"Saumya"},{"family":"Datta Chaudhuri","given":"Amrita"},{"family":"Candia","given":"Paola","non-dropping-particle":"de"},{"family":"De Santana Junior","given":"Eliezer F"},{"family":"De Wever","given":"Olivier"},{"family":"Portillo","given":"Hernando A","non-dropping-particle":"del"},{"family":"Demaret","given":"Tanguy"},{"family":"Deville","given":"Sarah"},{"family":"Devitt","given":"Andrew"},{"family":"Dhondt","given":"Bert"},{"family":"Di Vizio","given":"Dolores"},{"family":"Dieterich","given":"Lothar C"},{"family":"Dolo","given":"Vincenza"},{"family":"Dominguez Rubio","given":"Ana Paula"},{"family":"Dominici","given":"Massimo"},{"family":"Dourado","given":"Mauricio R"},{"family":"Driedonks","given":"Tom AP"},{"family":"Duarte","given":"Filipe V"},{"family":"Duncan","given":"Heather M"},{"family":"Eichenberger","given":"Ramon M"},{"family":"Ekström","given":"Karin"},{"family":"EL Andaloussi","given":"Samir"},{"family":"Elie-Caille","given":"Celine"},{"family":"Erdbrügger","given":"Uta"},{"family":"Falcón-Pérez","given":"Juan M"},{"family":"Fatima","given":"Farah"},{"family":"Fish","given":"Jason E"},{"family":"Flores-Bellver","given":"Miguel"},{"family":"Försönits","given":"András"},{"family":"Frelet-Barrand","given":"Annie"},{"family":"Fricke","given":"Fabia"},{"family":"Fuhrmann","given":"Gregor"},{"family":"Gabrielsson","given":"Susanne"},{"family":"Gámez-Valero","given":"Ana"},{"family":"Gardiner","given":"Chris"},{"family":"Gärtner","given":"Kathrin"},{"family":"Gaudin","given":"Raphael"},{"family":"Gho","given":"Yong Song"},{"family":"Giebel","given":"Bernd"},{"family":"Gilbert","given":"Caroline"},{"family":"Gimona","given":"Mario"},{"family":"Giusti","given":"Ilaria"},{"family":"Goberdhan","given":"Deborah CI"},{"family":"Görgens","given":"André"},{"family":"Gorski","given":"Sharon M"},{"family":"Greening","given":"David W"},{"family":"Gross","given":"Julia Christina"},{"family":"Gualerzi","given":"Alice"},{"family":"Gupta","given":"Gopal N"},{"family":"Gustafson","given":"Dakota"},{"family":"Handberg","given":"Aase"},{"family":"Haraszti","given":"Reka A"},{"family":"Harrison","given":"Paul"},{"family":"Hegyesi","given":"Hargita"},{"family":"Hendrix","given":"An"},{"family":"Hill","given":"Andrew F"},{"family":"Hochberg","given":"Fred H"},{"family":"Hoffmann","given":"Karl F"},{"family":"Holder","given":"Beth"},{"family":"Holthofer","given":"Harry"},{"family":"Hosseinkhani","given":"Baharak"},{"family":"Hu","given":"Guoku"},{"family":"Huang","given":"Yiyao"},{"family":"Huber","given":"Veronica"},{"family":"Hunt","given":"Stuart"},{"family":"Ibrahim","given":"Ahmed Gamal-Eldin"},{"family":"Ikezu","given":"Tsuneya"},{"family":"Inal","given":"Jameel M"},{"family":"Isin","given":"Mustafa"},{"family":"Ivanova","given":"Alena"},{"family":"Jackson","given":"Hannah K"},{"family":"Jacobsen","given":"Soren"},{"family":"Jay","given":"Steven M"},{"family":"Jayachandran","given":"Muthuvel"},{"family":"Jenster","given":"Guido"},{"family":"Jiang","given":"Lanzhou"},{"family":"Johnson","given":"Suzanne M"},{"family":"Jones","given":"Jennifer C"},{"family":"Jong","given":"Ambrose"},{"family":"Jovanovic-Talisman","given":"Tijana"},{"family":"Jung","given":"Stephanie"},{"family":"Kalluri","given":"Raghu"},{"family":"Kano","given":"Shin-ichi"},{"family":"Kaur","given":"Sukhbir"},{"family":"Kawamura","given":"Yumi"},{"family":"Keller","given":"Evan T"},{"family":"Khamari","given":"Delaram"},{"family":"Khomyakova","given":"Elena"},{"family":"Khvorova","given":"Anastasia"},{"family":"Kierulf","given":"Peter"},{"family":"Kim","given":"Kwang Pyo"},{"family":"Kislinger","given":"Thomas"},{"family":"Klingeborn","given":"Mikael"},{"family":"Klinke II","given":"David J"},{"family":"Kornek","given":"Miroslaw"},{"family":"Kosanović","given":"Maja M"},{"family":"Kovács","given":"Árpád Ferenc"},{"family":"Krämer-Albers","given":"Eva-Maria"},{"family":"Krasemann","given":"Susanne"},{"family":"Krause","given":"Mirja"},{"family":"Kurochkin","given":"Igor V"},{"family":"Kusuma","given":"Gina D"},{"family":"Kuypers","given":"Sören"},{"family":"Laitinen","given":"Saara"},{"family":"Langevin","given":"Scott M"},{"family":"Languino","given":"Lucia R"},{"family":"Lannigan","given":"Joanne"},{"family":"Lässer","given":"Cecilia"},{"family":"Laurent","given":"Louise C"},{"family":"Lavieu","given":"Gregory"},{"family":"Lázaro-Ibáñez","given":"Elisa"},{"family":"Le Lay","given":"Soazig"},{"family":"Lee","given":"Myung-Shin"},{"family":"Lee","given":"Yi Xin Fiona"},{"family":"Lemos","given":"Debora S"},{"family":"Lenassi","given":"Metka"},{"family":"Leszczynska","given":"Aleksandra"},{"family":"Li","given":"Isaac TS"},{"family":"Liao","given":"Ke"},{"family":"Libregts","given":"Sten F"},{"family":"Ligeti","given":"Erzsebet"},{"family":"Lim","given":"Rebecca"},{"family":"Lim","given":"Sai Kiang"},{"family":"Linē","given":"Aija"},{"family":"Linnemannstöns","given":"Karen"},{"family":"Llorente","given":"Alicia"},{"family":"Lombard","given":"Catherine A"},{"family":"Lorenowicz","given":"Magdalena J"},{"family":"Lörincz","given":"Ákos M"},{"family":"Lötvall","given":"Jan"},{"family":"Lovett","given":"Jason"},{"family":"Lowry","given":"Michelle C"},{"family":"Loyer","given":"Xavier"},{"family":"Lu","given":"Quan"},{"family":"Lukomska","given":"Barbara"},{"family":"Lunavat","given":"Taral R"},{"family":"Maas","given":"Sybren LN"},{"family":"Malhi","given":"Harmeet"},{"family":"Marcilla","given":"Antonio"},{"family":"Mariani","given":"Jacopo"},{"family":"Mariscal","given":"Javier"},{"family":"Martens-Uzunova","given":"Elena S"},{"family":"Martin-Jaular","given":"Lorena"},{"family":"Martinez","given":"M Carmen"},{"family":"Martins","given":"Vilma Regina"},{"family":"Mathieu","given":"Mathilde"},{"family":"Mathivanan","given":"Suresh"},{"family":"Maugeri","given":"Marco"},{"family":"McGinnis","given":"Lynda K"},{"family":"McVey","given":"Mark J"},{"family":"Meckes Jr","given":"David G"},{"family":"Meehan","given":"Katie L"},{"family":"Mertens","given":"Inge"},{"family":"Minciacchi","given":"Valentina R"},{"family":"Möller","given":"Andreas"},{"family":"Møller Jørgensen","given":"Malene"},{"family":"Morales-Kastresana","given":"Aizea"},{"family":"Morhayim","given":"Jess"},{"family":"Mullier","given":"François"},{"family":"Muraca","given":"Maurizio"},{"family":"Musante","given":"Luca"},{"family":"Mussack","given":"Veronika"},{"family":"Muth","given":"Dillon C"},{"family":"Myburgh","given":"Kathryn H"},{"family":"Najrana","given":"Tanbir"},{"family":"Nawaz","given":"Muhammad"},{"family":"Nazarenko","given":"Irina"},{"family":"Nejsum","given":"Peter"},{"family":"Neri","given":"Christian"},{"family":"Neri","given":"Tommaso"},{"family":"Nieuwland","given":"Rienk"},{"family":"Nimrichter","given":"Leonardo"},{"family":"Nolan","given":"John P"},{"family":"Nolte-'t Hoen","given":"Esther NM"},{"family":"Noren Hooten","given":"Nicole"},{"family":"O'Driscoll","given":"Lorraine"},{"family":"O'Grady","given":"Tina"},{"family":"O'Loghlen","given":"Ana"},{"family":"Ochiya","given":"Takahiro"},{"family":"Olivier","given":"Martin"},{"family":"Ortiz","given":"Alberto"},{"family":"Ortiz","given":"Luis A"},{"family":"Osteikoetxea","given":"Xabier"},{"family":"Østergaard","given":"Ole"},{"family":"Ostrowski","given":"Matias"},{"family":"Park","given":"Jaesung"},{"family":"Pegtel","given":"D. Michiel"},{"family":"Peinado","given":"Hector"},{"family":"Perut","given":"Francesca"},{"family":"Pfaffl","given":"Michael W"},{"family":"Phinney","given":"Donald G"},{"family":"Pieters","given":"Bartijn CH"},{"family":"Pink","given":"Ryan C"},{"family":"Pisetsky","given":"David S"},{"family":"Pogge von Strandmann","given":"Elke"},{"family":"Polakovicova","given":"Iva"},{"family":"Poon","given":"Ivan KH"},{"family":"Powell","given":"Bonita H"},{"family":"Prada","given":"Ilaria"},{"family":"Pulliam","given":"Lynn"},{"family":"Quesenberry","given":"Peter"},{"family":"Radeghieri","given":"Annalisa"},{"family":"Raffai","given":"Robert L"},{"family":"Raimondo","given":"Stefania"},{"family":"Rak","given":"Janusz"},{"family":"Ramirez","given":"Marcel I"},{"family":"Raposo","given":"Graça"},{"family":"Rayyan","given":"Morsi S"},{"family":"Regev-Rudzki","given":"Neta"},{"family":"Ricklefs","given":"Franz L"},{"family":"Robbins","given":"Paul D"},{"family":"Roberts","given":"David D"},{"family":"Rodrigues","given":"Silvia C"},{"family":"Rohde","given":"Eva"},{"family":"Rome","given":"Sophie"},{"family":"Rouschop","given":"Kasper MA"},{"family":"Rughetti","given":"Aurelia"},{"family":"Russell","given":"Ashley E"},{"family":"Saá","given":"Paula"},{"family":"Sahoo","given":"Susmita"},{"family":"Salas-Huenuleo","given":"Edison"},{"family":"Sánchez","given":"Catherine"},{"family":"Saugstad","given":"Julie A"},{"family":"Saul","given":"Meike J"},{"family":"Schiffelers","given":"Raymond M"},{"family":"Schneider","given":"Raphael"},{"family":"Schøyen","given":"Tine Hiorth"},{"family":"Scott","given":"Aaron"},{"family":"Shahaj","given":"Eriomina"},{"family":"Sharma","given":"Shivani"},{"family":"Shatnyeva","given":"Olga"},{"family":"Shekari","given":"Faezeh"},{"family":"Shelke","given":"Ganesh Vilas"},{"family":"Shetty","given":"Ashok K"},{"family":"Shiba","given":"Kiyotaka"},{"family":"Siljander","given":"Pia R-M"},{"family":"Silva","given":"Andreia M"},{"family":"Skowronek","given":"Agata"},{"family":"Snyder II","given":"Orman L"},{"family":"Soares","given":"Rodrigo Pedro"},{"family":"Sódar","given":"Barbara W"},{"family":"Soekmadji","given":"Carolina"},{"family":"Sotillo","given":"Javier"},{"family":"Stahl","given":"Philip D"},{"family":"Stoorvogel","given":"Willem"},{"family":"Stott","given":"Shannon L"},{"family":"Strasser","given":"Erwin F"},{"family":"Swift","given":"Simon"},{"family":"Tahara","given":"Hidetoshi"},{"family":"Tewari","given":"Muneesh"},{"family":"Timms","given":"Kate"},{"family":"Tiwari","given":"Swasti"},{"family":"Tixeira","given":"Rochelle"},{"family":"Tkach","given":"Mercedes"},{"family":"Toh","given":"Wei Seong"},{"family":"Tomasini","given":"Richard"},{"family":"Torrecilhas","given":"Ana Claudia"},{"family":"Tosar","given":"Juan Pablo"},{"family":"Toxavidis","given":"Vasilis"},{"family":"Urbanelli","given":"Lorena"},{"family":"Vader","given":"Pieter"},{"family":"Balkom","given":"Bas WM","non-dropping-particle":"van"},{"family":"Grein","given":"Susanne G","non-dropping-particle":"van der"},{"family":"Van Deun","given":"Jan"},{"family":"Herwijnen","given":"Martijn JC","non-dropping-particle":"van"},{"family":"Van Keuren-Jensen","given":"Kendall"},{"family":"Niel","given":"Guillaume","non-dropping-particle":"van"},{"family":"Royen","given":"Martin E","non-dropping-particle":"van"},{"family":"Wijnen","given":"Andre J","non-dropping-particle":"van"},{"family":"Vasconcelos","given":"M Helena"},{"family":"Vechetti Jr","given":"Ivan J"},{"family":"Veit","given":"Tiago D"},{"family":"Vella","given":"Laura J"},{"family":"Velot","given":"Émilie"},{"family":"Verweij","given":"Frederik J"},{"family":"Vestad","given":"Beate"},{"family":"Viñas","given":"Jose L"},{"family":"Visnovitz","given":"Tamás"},{"family":"Vukman","given":"Krisztina V"},{"family":"Wahlgren","given":"Jessica"},{"family":"Watson","given":"Dionysios C"},{"family":"Wauben","given":"Marca HM"},{"family":"Weaver","given":"Alissa"},{"family":"Webber","given":"Jason P"},{"family":"Weber","given":"Viktoria"},{"family":"Wehman","given":"Ann M"},{"family":"Weiss","given":"Daniel J"},{"family":"Welsh","given":"Joshua A"},{"family":"Wendt","given":"Sebastian"},{"family":"Wheelock","given":"Asa M"},{"family":"Wiener","given":"Zoltán"},{"family":"Witte","given":"Leonie"},{"family":"Wolfram","given":"Joy"},{"family":"Xagorari","given":"Angeliki"},{"family":"Xander","given":"Patricia"},{"family":"Xu","given":"Jing"},{"family":"Yan","given":"Xiaomei"},{"family":"Yáñez-Mó","given":"María"},{"family":"Yin","given":"Hang"},{"family":"Yuana","given":"Yuana"},{"family":"Zappulli","given":"Valentina"},{"family":"Zarubova","given":"Jana"},{"family":"Žėkas","given":"Vytautas"},{"family":"Zhang","given":"Jian-ye"},{"family":"Zhao","given":"Zezhou"},{"family":"Zheng","given":"Lei"},{"family":"Zheutlin","given":"Alexander R"},{"family":"Zickler","given":"Antje M"},{"family":"Zimmermann","given":"Pascale"},{"family":"Zivkovic","given":"Angela M"},{"family":"Zocco","given":"Davide"},{"family":"Zuba-Surma","given":"Ewa K"}],"issued":{"date-parts":[["2018"]]}}},{"id":1807,"uris":["http://zotero.org/users/local/mfHf28QG/items/D87WBRZS"],"itemData":{"id":1807,"type":"article-journal","abstract":"In the 1980s, exosomes were described as vesicles of endosomal origin secreted from reticulocytes. Interest increased around these extracellular vesicles, as they appeared to participate in several cellular processes. Exosomes bear proteins, lipids, and RNAs, mediating intercellular communication between different cell types in the body, and thus affecting normal and pathological conditions. Only recently, scientists acknowledged the difficulty of separating exosomes from other types of extracellular vesicles, which precludes a clear attribution of a particular function to the different types of secreted vesicles. To shed light into this complex but expanding field of science, this review focuses on the definition of exosomes and other secreted extracellular vesicles. Their biogenesis, their secretion, and their subsequent fate are discussed, as their functions rely on these important processes.","container-title":"Annual Review of Cell and Developmental Biology","DOI":"10.1146/annurev-cellbio-101512-122326","ISSN":"1081-0706, 1530-8995","issue":"Volume 30, 2014","language":"en","note":"publisher: Annual Reviews","page":"255-289","source":"www.annualreviews.org","title":"Biogenesis, Secretion, and Intercellular Interactions of Exosomes and Other Extracellular Vesicles","volume":"30","author":[{"family":"Colombo","given":"Marina"},{"family":"Raposo","given":"Graça"},{"family":"Théry","given":"Clotilde"}],"issued":{"date-parts":[["2014",10,6]]}}}],"schema":"https://github.com/citation-style-language/schema/raw/master/csl-citation.json"} </w:instrText>
      </w:r>
      <w:r w:rsidR="002B2AFA" w:rsidRPr="00A831E7">
        <w:rPr>
          <w:rFonts w:eastAsia="Calibri"/>
        </w:rPr>
        <w:fldChar w:fldCharType="separate"/>
      </w:r>
      <w:r w:rsidR="00B61252" w:rsidRPr="00B61252">
        <w:rPr>
          <w:rFonts w:eastAsia="Calibri"/>
        </w:rPr>
        <w:t>[97], [98]</w:t>
      </w:r>
      <w:r w:rsidR="002B2AFA" w:rsidRPr="00A831E7">
        <w:rPr>
          <w:rFonts w:eastAsia="Calibri"/>
        </w:rPr>
        <w:fldChar w:fldCharType="end"/>
      </w:r>
      <w:r w:rsidRPr="00A831E7">
        <w:rPr>
          <w:rFonts w:eastAsia="Calibri"/>
        </w:rPr>
        <w:t>. Τα εκτοσώματα, τα οποία είναι μεγαλύτερα και ακανόνιστου σχήματος, έχουν μέγεθος 50-1000</w:t>
      </w:r>
      <w:r w:rsidR="00EB76D4" w:rsidRPr="00A831E7">
        <w:rPr>
          <w:rFonts w:eastAsia="Calibri"/>
        </w:rPr>
        <w:t xml:space="preserve"> </w:t>
      </w:r>
      <w:r w:rsidRPr="00A831E7">
        <w:rPr>
          <w:rFonts w:eastAsia="Calibri"/>
        </w:rPr>
        <w:t>nm και σχηματίζονται μέσω εξωτερίκευσης τμήματος της πλασματικής μεμβράνης, είτε κατά την ενεργοποίηση είτε μετά από κυτταρική βλάβη</w:t>
      </w:r>
      <w:r w:rsidR="002B2AFA" w:rsidRPr="00A831E7">
        <w:rPr>
          <w:rFonts w:eastAsia="Calibri"/>
        </w:rPr>
        <w:t xml:space="preserve"> </w:t>
      </w:r>
      <w:r w:rsidR="002B2AFA" w:rsidRPr="00A831E7">
        <w:rPr>
          <w:rFonts w:eastAsia="Calibri"/>
        </w:rPr>
        <w:fldChar w:fldCharType="begin"/>
      </w:r>
      <w:r w:rsidR="00B61252">
        <w:rPr>
          <w:rFonts w:eastAsia="Calibri"/>
        </w:rPr>
        <w:instrText xml:space="preserve"> ADDIN ZOTERO_ITEM CSL_CITATION {"citationID":"27tdS6UV","properties":{"formattedCitation":"[99]","plainCitation":"[99]","noteIndex":0},"citationItems":[{"id":1809,"uris":["http://zotero.org/users/local/mfHf28QG/items/YNKRPJYM"],"itemData":{"id":1809,"type":"article-journal","abstract":"The secretion of extracellular vesicles was initially described as a means of selective elimination of proteins, lipids and RNA from cells. Now, extracellular vesicles are also considered a new mode of intercellular communication.In any given setting, the population of extracellular vesicles comprises diverse subpopulations that can differ in size, morphology, composition or biogenic mechanisms. Complementary methods of analysis are required to distinguish between these subpopulations.Several machineries, prominently including components of the endocytic sorting machineries, act concomitantly for the generation of extracellular vesicles. As a result, extracellular vesicles can vary widely in terms of their composition and may carry specific sets of proteins, lipids or RNA species that then determine their fate and functions.Generation of extracellular vesicles requires the fine-tuning of various intracellular trafficking processes, which define the composition of nascent vesicles and affect their generation and, in the case of exosomes, their secretion from an intracellular compartment.Interactions of extracellular vesicles with recipient cells can have various effects on the target cell, from stimulating signalling pathways to providing trophic support, depending on the mode of interaction and on the intracellular fate of the vesicles in case of their uptake.Studies of the cell biology of extracellular vesicles is not only essential for addressing cell biological questions but also critical to open new avenues for their clinical use as biomarkers, as cargo vehicles for the targeted delivery of compounds or as specific modulators of cell behaviours.","container-title":"Nature Reviews Molecular Cell Biology","DOI":"10.1038/nrm.2017.125","ISSN":"1471-0080","issue":"4","journalAbbreviation":"Nat Rev Mol Cell Biol","language":"en","license":"2018 Springer Nature Limited","note":"publisher: Nature Publishing Group","page":"213-228","source":"www.nature.com","title":"Shedding light on the cell biology of extracellular vesicles","volume":"19","author":[{"family":"Niel","given":"Guillaume","non-dropping-particle":"van"},{"family":"D'Angelo","given":"Gisela"},{"family":"Raposo","given":"Graça"}],"issued":{"date-parts":[["2018",4]]}}}],"schema":"https://github.com/citation-style-language/schema/raw/master/csl-citation.json"} </w:instrText>
      </w:r>
      <w:r w:rsidR="002B2AFA" w:rsidRPr="00A831E7">
        <w:rPr>
          <w:rFonts w:eastAsia="Calibri"/>
        </w:rPr>
        <w:fldChar w:fldCharType="separate"/>
      </w:r>
      <w:r w:rsidR="00B61252" w:rsidRPr="00B61252">
        <w:rPr>
          <w:rFonts w:eastAsia="Calibri"/>
        </w:rPr>
        <w:t>[99]</w:t>
      </w:r>
      <w:r w:rsidR="002B2AFA" w:rsidRPr="00A831E7">
        <w:rPr>
          <w:rFonts w:eastAsia="Calibri"/>
        </w:rPr>
        <w:fldChar w:fldCharType="end"/>
      </w:r>
      <w:r w:rsidRPr="00A831E7">
        <w:rPr>
          <w:rFonts w:eastAsia="Calibri"/>
        </w:rPr>
        <w:t>. Επιπλέον, η μεμβράνη των εκτοσωμάτων φέρει ειδικούς δείκτες, όπως φωσφατιδυλοσερίνη (PS), σελεκτίνες, τον παράγοντα ADP-ριβοσυλίωσης 6 (ARF6), CD40, και μέλη της οικογένειας Rho</w:t>
      </w:r>
      <w:r w:rsidR="002B2AFA" w:rsidRPr="00A831E7">
        <w:rPr>
          <w:rFonts w:eastAsia="Calibri"/>
        </w:rPr>
        <w:t xml:space="preserve"> </w:t>
      </w:r>
      <w:r w:rsidR="002B2AFA" w:rsidRPr="00A831E7">
        <w:rPr>
          <w:rFonts w:eastAsia="Calibri"/>
        </w:rPr>
        <w:fldChar w:fldCharType="begin"/>
      </w:r>
      <w:r w:rsidR="00B61252">
        <w:rPr>
          <w:rFonts w:eastAsia="Calibri"/>
        </w:rPr>
        <w:instrText xml:space="preserve"> ADDIN ZOTERO_ITEM CSL_CITATION {"citationID":"GB2EB4JY","properties":{"formattedCitation":"[99]","plainCitation":"[99]","noteIndex":0},"citationItems":[{"id":1809,"uris":["http://zotero.org/users/local/mfHf28QG/items/YNKRPJYM"],"itemData":{"id":1809,"type":"article-journal","abstract":"The secretion of extracellular vesicles was initially described as a means of selective elimination of proteins, lipids and RNA from cells. Now, extracellular vesicles are also considered a new mode of intercellular communication.In any given setting, the population of extracellular vesicles comprises diverse subpopulations that can differ in size, morphology, composition or biogenic mechanisms. Complementary methods of analysis are required to distinguish between these subpopulations.Several machineries, prominently including components of the endocytic sorting machineries, act concomitantly for the generation of extracellular vesicles. As a result, extracellular vesicles can vary widely in terms of their composition and may carry specific sets of proteins, lipids or RNA species that then determine their fate and functions.Generation of extracellular vesicles requires the fine-tuning of various intracellular trafficking processes, which define the composition of nascent vesicles and affect their generation and, in the case of exosomes, their secretion from an intracellular compartment.Interactions of extracellular vesicles with recipient cells can have various effects on the target cell, from stimulating signalling pathways to providing trophic support, depending on the mode of interaction and on the intracellular fate of the vesicles in case of their uptake.Studies of the cell biology of extracellular vesicles is not only essential for addressing cell biological questions but also critical to open new avenues for their clinical use as biomarkers, as cargo vehicles for the targeted delivery of compounds or as specific modulators of cell behaviours.","container-title":"Nature Reviews Molecular Cell Biology","DOI":"10.1038/nrm.2017.125","ISSN":"1471-0080","issue":"4","journalAbbreviation":"Nat Rev Mol Cell Biol","language":"en","license":"2018 Springer Nature Limited","note":"publisher: Nature Publishing Group","page":"213-228","source":"www.nature.com","title":"Shedding light on the cell biology of extracellular vesicles","volume":"19","author":[{"family":"Niel","given":"Guillaume","non-dropping-particle":"van"},{"family":"D'Angelo","given":"Gisela"},{"family":"Raposo","given":"Graça"}],"issued":{"date-parts":[["2018",4]]}}}],"schema":"https://github.com/citation-style-language/schema/raw/master/csl-citation.json"} </w:instrText>
      </w:r>
      <w:r w:rsidR="002B2AFA" w:rsidRPr="00A831E7">
        <w:rPr>
          <w:rFonts w:eastAsia="Calibri"/>
        </w:rPr>
        <w:fldChar w:fldCharType="separate"/>
      </w:r>
      <w:r w:rsidR="00B61252" w:rsidRPr="00B61252">
        <w:rPr>
          <w:rFonts w:eastAsia="Calibri"/>
        </w:rPr>
        <w:t>[99]</w:t>
      </w:r>
      <w:r w:rsidR="002B2AFA" w:rsidRPr="00A831E7">
        <w:rPr>
          <w:rFonts w:eastAsia="Calibri"/>
        </w:rPr>
        <w:fldChar w:fldCharType="end"/>
      </w:r>
      <w:r w:rsidRPr="00A831E7">
        <w:rPr>
          <w:rFonts w:eastAsia="Calibri"/>
        </w:rPr>
        <w:t xml:space="preserve">. Οι βιοδραστικές ουσίες που μεταφέρονται από τα EVs, όπως πρωτεΐνες και νουκλεϊκά οξέα, </w:t>
      </w:r>
      <w:r w:rsidRPr="00A831E7">
        <w:rPr>
          <w:rFonts w:eastAsia="Calibri"/>
        </w:rPr>
        <w:lastRenderedPageBreak/>
        <w:t xml:space="preserve">αντανακλούν τη φυσιολογική κατάσταση των μητρικών κυττάρων </w:t>
      </w:r>
      <w:r w:rsidRPr="00A831E7">
        <w:rPr>
          <w:rFonts w:eastAsia="Calibri"/>
        </w:rPr>
        <w:fldChar w:fldCharType="begin"/>
      </w:r>
      <w:r w:rsidRPr="00A831E7">
        <w:rPr>
          <w:rFonts w:eastAsia="Calibri"/>
        </w:rPr>
        <w:instrText xml:space="preserve"> ADDIN ZOTERO_ITEM CSL_CITATION {"citationID":"mTELg72t","properties":{"formattedCitation":"[20]","plainCitation":"[20]","noteIndex":0},"citationItems":[{"id":180,"uris":["http://zotero.org/users/local/mfHf28QG/items/56CU9CM3"],"itemData":{"id":180,"type":"article-journal","abstract":"Ischemic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chema":"https://github.com/citation-style-language/schema/raw/master/csl-citation.json"} </w:instrText>
      </w:r>
      <w:r w:rsidRPr="00A831E7">
        <w:rPr>
          <w:rFonts w:eastAsia="Calibri"/>
        </w:rPr>
        <w:fldChar w:fldCharType="separate"/>
      </w:r>
      <w:r w:rsidRPr="00A831E7">
        <w:rPr>
          <w:rFonts w:eastAsia="Calibri"/>
        </w:rPr>
        <w:t>[20]</w:t>
      </w:r>
      <w:r w:rsidRPr="00A831E7">
        <w:rPr>
          <w:rFonts w:eastAsia="Calibri"/>
        </w:rPr>
        <w:fldChar w:fldCharType="end"/>
      </w:r>
      <w:r w:rsidR="00A74CD7">
        <w:rPr>
          <w:rFonts w:eastAsia="Calibri"/>
        </w:rPr>
        <w:t xml:space="preserve">, ενώ συγκεκριμένα </w:t>
      </w:r>
      <w:r w:rsidR="00A74CD7" w:rsidRPr="00A831E7">
        <w:rPr>
          <w:rFonts w:eastAsia="Calibri"/>
        </w:rPr>
        <w:t xml:space="preserve"> </w:t>
      </w:r>
      <w:r w:rsidR="00A74CD7">
        <w:rPr>
          <w:rFonts w:eastAsia="Calibri"/>
        </w:rPr>
        <w:t>φ</w:t>
      </w:r>
      <w:r w:rsidRPr="00A831E7">
        <w:rPr>
          <w:rFonts w:eastAsia="Calibri"/>
        </w:rPr>
        <w:t>ορτία όπως τα miRNAs</w:t>
      </w:r>
      <w:r w:rsidR="00A74CD7">
        <w:rPr>
          <w:rFonts w:eastAsia="Calibri"/>
        </w:rPr>
        <w:t>,</w:t>
      </w:r>
      <w:r w:rsidRPr="00A831E7">
        <w:rPr>
          <w:rFonts w:eastAsia="Calibri"/>
        </w:rPr>
        <w:t xml:space="preserve"> μπορούν να λειτουργήσουν ως ακριβείς διαγνωστικοί βιοδείκτες για το εγκεφαλικό επεισόδιο </w:t>
      </w:r>
      <w:r w:rsidR="00EB76D4" w:rsidRPr="00A831E7">
        <w:rPr>
          <w:rFonts w:eastAsia="Calibri"/>
        </w:rPr>
        <w:fldChar w:fldCharType="begin"/>
      </w:r>
      <w:r w:rsidR="00B61252">
        <w:rPr>
          <w:rFonts w:eastAsia="Calibri"/>
        </w:rPr>
        <w:instrText xml:space="preserve"> ADDIN ZOTERO_ITEM CSL_CITATION {"citationID":"5QcGXg0q","properties":{"formattedCitation":"[100], [101]","plainCitation":"[100], [101]","noteIndex":0},"citationItems":[{"id":1079,"uris":["http://zotero.org/users/local/mfHf28QG/items/RYIDQXHY"],"itemData":{"id":1079,"type":"article-journal","abstract":"Ischemic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00EB76D4" w:rsidRPr="00A831E7">
        <w:rPr>
          <w:rFonts w:eastAsia="Calibri"/>
        </w:rPr>
        <w:fldChar w:fldCharType="separate"/>
      </w:r>
      <w:r w:rsidR="00B61252" w:rsidRPr="00B61252">
        <w:rPr>
          <w:rFonts w:eastAsia="Calibri"/>
        </w:rPr>
        <w:t>[100], [101]</w:t>
      </w:r>
      <w:r w:rsidR="00EB76D4" w:rsidRPr="00A831E7">
        <w:rPr>
          <w:rFonts w:eastAsia="Calibri"/>
        </w:rPr>
        <w:fldChar w:fldCharType="end"/>
      </w:r>
      <w:r w:rsidRPr="00A831E7">
        <w:rPr>
          <w:rFonts w:eastAsia="Calibri"/>
        </w:rPr>
        <w:t xml:space="preserve">. Επιπλέον, τα EVs </w:t>
      </w:r>
      <w:r w:rsidR="00EB76D4" w:rsidRPr="00A831E7">
        <w:rPr>
          <w:rFonts w:eastAsia="Calibri"/>
        </w:rPr>
        <w:t>μπορούν να βρεθούν</w:t>
      </w:r>
      <w:r w:rsidRPr="00A831E7">
        <w:rPr>
          <w:rFonts w:eastAsia="Calibri"/>
        </w:rPr>
        <w:t xml:space="preserve"> </w:t>
      </w:r>
      <w:r w:rsidR="00EB76D4" w:rsidRPr="00A831E7">
        <w:rPr>
          <w:rFonts w:eastAsia="Calibri"/>
        </w:rPr>
        <w:t>σε αφθονία μέσα</w:t>
      </w:r>
      <w:r w:rsidRPr="00A831E7">
        <w:rPr>
          <w:rFonts w:eastAsia="Calibri"/>
        </w:rPr>
        <w:t xml:space="preserve"> σε διάφορα σωματικά υγρά, όπως το αίμα, το εγκεφαλονωτιαίο υγρό (CSF), τα ούρα, το σάλιο, το μητρικό γάλα και το σπέρμα </w:t>
      </w:r>
      <w:r w:rsidR="00EB76D4" w:rsidRPr="00A831E7">
        <w:rPr>
          <w:rFonts w:eastAsia="Calibri"/>
        </w:rPr>
        <w:fldChar w:fldCharType="begin"/>
      </w:r>
      <w:r w:rsidR="00EB76D4" w:rsidRPr="00A831E7">
        <w:rPr>
          <w:rFonts w:eastAsia="Calibri"/>
        </w:rPr>
        <w:instrText xml:space="preserve"> ADDIN ZOTERO_ITEM CSL_CITATION {"citationID":"cQeTaba0","properties":{"formattedCitation":"[20]","plainCitation":"[20]","noteIndex":0},"citationItems":[{"id":180,"uris":["http://zotero.org/users/local/mfHf28QG/items/56CU9CM3"],"itemData":{"id":180,"type":"article-journal","abstract":"Ischemic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chema":"https://github.com/citation-style-language/schema/raw/master/csl-citation.json"} </w:instrText>
      </w:r>
      <w:r w:rsidR="00EB76D4" w:rsidRPr="00A831E7">
        <w:rPr>
          <w:rFonts w:eastAsia="Calibri"/>
        </w:rPr>
        <w:fldChar w:fldCharType="separate"/>
      </w:r>
      <w:r w:rsidR="00EB76D4" w:rsidRPr="00A831E7">
        <w:rPr>
          <w:rFonts w:eastAsia="Calibri"/>
        </w:rPr>
        <w:t>[20]</w:t>
      </w:r>
      <w:r w:rsidR="00EB76D4" w:rsidRPr="00A831E7">
        <w:rPr>
          <w:rFonts w:eastAsia="Calibri"/>
        </w:rPr>
        <w:fldChar w:fldCharType="end"/>
      </w:r>
      <w:r w:rsidR="00EB76D4" w:rsidRPr="00A831E7">
        <w:rPr>
          <w:rFonts w:eastAsia="Calibri"/>
        </w:rPr>
        <w:t>.</w:t>
      </w:r>
    </w:p>
    <w:p w14:paraId="449945CB" w14:textId="6BF336BF" w:rsidR="006B3C52" w:rsidRPr="00A831E7" w:rsidRDefault="00F235F5" w:rsidP="0057069D">
      <w:pPr>
        <w:spacing w:line="360" w:lineRule="auto"/>
        <w:ind w:firstLine="720"/>
        <w:jc w:val="both"/>
        <w:rPr>
          <w:rFonts w:eastAsia="Calibri"/>
        </w:rPr>
      </w:pPr>
      <w:r w:rsidRPr="00A831E7">
        <w:rPr>
          <w:rFonts w:eastAsia="Calibri"/>
        </w:rPr>
        <w:t>Κατά τη διάρκεια ενός ισχαιμικού εγκεφαλικού επεισοδίου</w:t>
      </w:r>
      <w:r w:rsidR="00C0484E" w:rsidRPr="00A831E7">
        <w:rPr>
          <w:rFonts w:eastAsia="Calibri"/>
        </w:rPr>
        <w:t>(IS)</w:t>
      </w:r>
      <w:r w:rsidRPr="00A831E7">
        <w:rPr>
          <w:rFonts w:eastAsia="Calibri"/>
        </w:rPr>
        <w:t xml:space="preserve">, η διακοπή της ροής αίματος </w:t>
      </w:r>
      <w:r w:rsidR="00EB76D4" w:rsidRPr="00A831E7">
        <w:rPr>
          <w:rFonts w:eastAsia="Calibri"/>
        </w:rPr>
        <w:t xml:space="preserve">στο NVU, </w:t>
      </w:r>
      <w:r w:rsidRPr="00A831E7">
        <w:rPr>
          <w:rFonts w:eastAsia="Calibri"/>
        </w:rPr>
        <w:t xml:space="preserve">οδηγεί σε ανεπάρκεια οξυγόνου και θρεπτικών συστατικών, στερώντας ενέργεια από τα ενδοθηλιακά κύτταρα και προκαλώντας τη διόγκωση τους. Τελικά διακόπτεται η επικοινωνία μεταξύ τους και με τις απολήξεις των αστροκυττάρων </w:t>
      </w:r>
      <w:r w:rsidRPr="00A831E7">
        <w:rPr>
          <w:rFonts w:eastAsia="Calibri"/>
        </w:rPr>
        <w:fldChar w:fldCharType="begin"/>
      </w:r>
      <w:r w:rsidRPr="00A831E7">
        <w:rPr>
          <w:rFonts w:eastAsia="Calibri"/>
        </w:rPr>
        <w:instrText xml:space="preserve"> ADDIN ZOTERO_ITEM CSL_CITATION {"citationID":"ks0AJdkB","properties":{"formattedCitation":"[11]","plainCitation":"[11]","noteIndex":0},"citationItems":[{"id":127,"uris":["http://zotero.org/users/local/mfHf28QG/items/NIFKWPSY"],"itemData":{"id":127,"type":"article-journal","abstract":"There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Pr="00A831E7">
        <w:rPr>
          <w:rFonts w:eastAsia="Calibri"/>
        </w:rPr>
        <w:fldChar w:fldCharType="separate"/>
      </w:r>
      <w:r w:rsidRPr="00A831E7">
        <w:rPr>
          <w:rFonts w:eastAsia="Calibri"/>
        </w:rPr>
        <w:t>[11]</w:t>
      </w:r>
      <w:r w:rsidRPr="00A831E7">
        <w:rPr>
          <w:rFonts w:eastAsia="Calibri"/>
        </w:rPr>
        <w:fldChar w:fldCharType="end"/>
      </w:r>
      <w:r w:rsidRPr="00A831E7">
        <w:rPr>
          <w:rFonts w:eastAsia="Calibri"/>
        </w:rPr>
        <w:t>. Σε συνδυασμό με την αποδόμηση της εξωκυττ</w:t>
      </w:r>
      <w:r w:rsidR="002040EF">
        <w:rPr>
          <w:rFonts w:eastAsia="Calibri"/>
        </w:rPr>
        <w:t>αρικής</w:t>
      </w:r>
      <w:r w:rsidRPr="00A831E7">
        <w:rPr>
          <w:rFonts w:eastAsia="Calibri"/>
        </w:rPr>
        <w:t xml:space="preserve"> μήτρας, αυτή η διαδικασία οδηγεί σε απόπτωση κυττάρων της νευροαγγειακής μονάδας (NVU) και σε αποσύνθεση του αιματοεγκεφαλικού φραγμού (BBB) και, τελικά, στη </w:t>
      </w:r>
      <w:r w:rsidR="00296834" w:rsidRPr="00A831E7">
        <w:rPr>
          <w:rFonts w:eastAsia="Calibri"/>
        </w:rPr>
        <w:t>εξέλιξη</w:t>
      </w:r>
      <w:r w:rsidRPr="00A831E7">
        <w:rPr>
          <w:rFonts w:eastAsia="Calibri"/>
        </w:rPr>
        <w:t xml:space="preserve"> του ισχαιμ</w:t>
      </w:r>
      <w:r w:rsidR="00A74CD7">
        <w:rPr>
          <w:rFonts w:eastAsia="Calibri"/>
        </w:rPr>
        <w:t>ίας</w:t>
      </w:r>
      <w:r w:rsidRPr="00A831E7">
        <w:rPr>
          <w:rFonts w:eastAsia="Calibri"/>
        </w:rPr>
        <w:t xml:space="preserve"> </w:t>
      </w:r>
      <w:r w:rsidR="00296834" w:rsidRPr="00A831E7">
        <w:rPr>
          <w:rFonts w:eastAsia="Calibri"/>
        </w:rPr>
        <w:t>σε έμφρακτο</w:t>
      </w:r>
      <w:r w:rsidR="00884A7B" w:rsidRPr="00A831E7">
        <w:rPr>
          <w:rFonts w:eastAsia="Calibri"/>
        </w:rPr>
        <w:t xml:space="preserve"> </w:t>
      </w:r>
      <w:r w:rsidR="00884A7B" w:rsidRPr="00A831E7">
        <w:rPr>
          <w:rFonts w:eastAsia="Calibri"/>
        </w:rPr>
        <w:fldChar w:fldCharType="begin"/>
      </w:r>
      <w:r w:rsidR="00B61252">
        <w:rPr>
          <w:rFonts w:eastAsia="Calibri"/>
        </w:rPr>
        <w:instrText xml:space="preserve"> ADDIN ZOTERO_ITEM CSL_CITATION {"citationID":"XOg2Xhfj","properties":{"formattedCitation":"[102]","plainCitation":"[102]","noteIndex":0},"citationItems":[{"id":1811,"uris":["http://zotero.org/users/local/mfHf28QG/items/LPIHAE8F"],"itemData":{"id":1811,"type":"article-journal","abstract":"Background and Purpose— The phrase “time is brain” emphasizes that human nervous tissue is rapidly lost as stroke progresses and emergent evaluation and therapy are required. Recent advances in quantitative neurostereology and stroke neuroimaging permit calculation of just how much brain is lost per unit time in acute ischemic stroke.Methods— Systematic literature-review identified consensus estimates of number of neurons, synapses, and myelinated fibers in the human forebrain; volume of large vessel, supratentorial ischemic stroke; and interval from onset to completion of large vessel, supratentorial ischemic stroke.Results— The typical final volume of large vessel, supratentorial ischemic stroke is 54 mL (varied in sensitivity analysis from 19 to 100 mL). The average duration of nonlacunar stroke evolution is 10 hours (range 6 to 18 hours), and the average number of neurons in the human forebrain is 22 billion. In patients experiencing a typical large vessel acute ischemic stroke, 120 million neurons, 830 billion synapses, and 714 km (447 miles) of myelinated fibers are lost each hour. In each minute, 1.9 million neurons, 14 billion synapses, and 12 km (7.5 miles) of myelinated fibers are destroyed. Compared with the normal rate of neuron loss in brain aging, the ischemic brain ages 3.6 years each hour without treatment. Altering single input variables in sensitivity analyses modestly affected the estimated point values but not order of magnitude.Conclusions— Quantitative estimates of the pace of neural circuitry loss in human ischemic stroke emphasize the time urgency of stroke care. The typical patient loses 1.9 million neurons each minute in which stroke is untreated.","container-title":"Stroke","DOI":"10.1161/01.STR.0000196957.55928.ab","issue":"1","note":"publisher: American Heart Association","page":"263-266","source":"ahajournals.org (Atypon)","title":"Time Is Brain—Quantified","volume":"37","author":[{"family":"Saver","given":"Jeffrey L."}],"issued":{"date-parts":[["2006",1]]}}}],"schema":"https://github.com/citation-style-language/schema/raw/master/csl-citation.json"} </w:instrText>
      </w:r>
      <w:r w:rsidR="00884A7B" w:rsidRPr="00A831E7">
        <w:rPr>
          <w:rFonts w:eastAsia="Calibri"/>
        </w:rPr>
        <w:fldChar w:fldCharType="separate"/>
      </w:r>
      <w:r w:rsidR="00B61252" w:rsidRPr="00B61252">
        <w:rPr>
          <w:rFonts w:eastAsia="Calibri"/>
        </w:rPr>
        <w:t>[102]</w:t>
      </w:r>
      <w:r w:rsidR="00884A7B" w:rsidRPr="00A831E7">
        <w:rPr>
          <w:rFonts w:eastAsia="Calibri"/>
        </w:rPr>
        <w:fldChar w:fldCharType="end"/>
      </w:r>
      <w:r w:rsidRPr="00A831E7">
        <w:rPr>
          <w:rFonts w:eastAsia="Calibri"/>
        </w:rPr>
        <w:t>.</w:t>
      </w:r>
      <w:r w:rsidR="00EB76D4" w:rsidRPr="00A831E7">
        <w:rPr>
          <w:rFonts w:eastAsia="Calibri"/>
        </w:rPr>
        <w:t xml:space="preserve"> </w:t>
      </w:r>
      <w:r w:rsidR="00C0484E" w:rsidRPr="00A831E7">
        <w:rPr>
          <w:rFonts w:eastAsia="Calibri"/>
        </w:rPr>
        <w:t xml:space="preserve">Η καταστροφική αλυσιδωτή αντίδραση που ακολουθεί τη διαταραχή του BBB αποτελεί μία σταδιακή διαδικασία αποδόμησης, γεγονός που σημαίνει ότι το πλήθος και το είδος των βιοδεικτών που απελευθερώνονται αλλάζει με την πάροδο του χρόνου </w:t>
      </w:r>
      <w:r w:rsidR="00C0484E" w:rsidRPr="00A831E7">
        <w:rPr>
          <w:rFonts w:eastAsia="Calibri"/>
        </w:rPr>
        <w:fldChar w:fldCharType="begin"/>
      </w:r>
      <w:r w:rsidR="00C0484E" w:rsidRPr="00A831E7">
        <w:rPr>
          <w:rFonts w:eastAsia="Calibri"/>
        </w:rPr>
        <w:instrText xml:space="preserve"> ADDIN ZOTERO_ITEM CSL_CITATION {"citationID":"iDMO64kE","properties":{"formattedCitation":"[4]","plainCitation":"[4]","noteIndex":0},"citationItems":[{"id":259,"uris":["http://zotero.org/users/local/mfHf28QG/items/BNXINVFS"],"itemData":{"id":259,"type":"article-journal","abstract":"Stroke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Sang"}],"issued":{"date-parts":[["2022",7,28]]}}}],"schema":"https://github.com/citation-style-language/schema/raw/master/csl-citation.json"} </w:instrText>
      </w:r>
      <w:r w:rsidR="00C0484E" w:rsidRPr="00A831E7">
        <w:rPr>
          <w:rFonts w:eastAsia="Calibri"/>
        </w:rPr>
        <w:fldChar w:fldCharType="separate"/>
      </w:r>
      <w:r w:rsidR="00C0484E" w:rsidRPr="00A831E7">
        <w:rPr>
          <w:rFonts w:eastAsia="Calibri"/>
        </w:rPr>
        <w:t>[4]</w:t>
      </w:r>
      <w:r w:rsidR="00C0484E" w:rsidRPr="00A831E7">
        <w:rPr>
          <w:rFonts w:eastAsia="Calibri"/>
        </w:rPr>
        <w:fldChar w:fldCharType="end"/>
      </w:r>
      <w:r w:rsidR="00C0484E" w:rsidRPr="00A831E7">
        <w:rPr>
          <w:rFonts w:eastAsia="Calibri"/>
        </w:rPr>
        <w:t xml:space="preserve">. </w:t>
      </w:r>
      <w:r w:rsidRPr="00A831E7">
        <w:rPr>
          <w:rFonts w:eastAsia="Calibri"/>
        </w:rPr>
        <w:t>Στην περίπτωση του αιμορραγικού εγκεφαλικού επεισοδίου</w:t>
      </w:r>
      <w:r w:rsidR="00C0484E" w:rsidRPr="00A831E7">
        <w:rPr>
          <w:rFonts w:eastAsia="Calibri"/>
        </w:rPr>
        <w:t>(HS)</w:t>
      </w:r>
      <w:r w:rsidRPr="00A831E7">
        <w:rPr>
          <w:rFonts w:eastAsia="Calibri"/>
        </w:rPr>
        <w:t xml:space="preserve">, ο αιματοεγκεφαλικός φραγμός </w:t>
      </w:r>
      <w:r w:rsidR="00296834" w:rsidRPr="00A831E7">
        <w:rPr>
          <w:rFonts w:eastAsia="Calibri"/>
        </w:rPr>
        <w:t>ξεκινάει να καταστρέφεται</w:t>
      </w:r>
      <w:r w:rsidRPr="00A831E7">
        <w:rPr>
          <w:rFonts w:eastAsia="Calibri"/>
        </w:rPr>
        <w:t xml:space="preserve"> αμέσως μόλις σχηματιστεί το αιμάτωμα.</w:t>
      </w:r>
      <w:r w:rsidR="00C0484E" w:rsidRPr="00A831E7">
        <w:rPr>
          <w:rFonts w:eastAsia="Calibri"/>
        </w:rPr>
        <w:t xml:space="preserve"> </w:t>
      </w:r>
      <w:r w:rsidRPr="00A831E7">
        <w:rPr>
          <w:rFonts w:eastAsia="Calibri"/>
        </w:rPr>
        <w:t xml:space="preserve">Μετά την διαταραχή του </w:t>
      </w:r>
      <w:r w:rsidR="00A74CD7">
        <w:rPr>
          <w:rFonts w:eastAsia="Calibri"/>
        </w:rPr>
        <w:t>φραγμού</w:t>
      </w:r>
      <w:r w:rsidRPr="00A831E7">
        <w:rPr>
          <w:rFonts w:eastAsia="Calibri"/>
        </w:rPr>
        <w:t>,</w:t>
      </w:r>
      <w:r w:rsidR="00296834" w:rsidRPr="00A831E7">
        <w:rPr>
          <w:rFonts w:eastAsia="Calibri"/>
        </w:rPr>
        <w:t xml:space="preserve"> τοξικές ελεύθερες ρίζες, </w:t>
      </w:r>
      <w:r w:rsidRPr="00A831E7">
        <w:rPr>
          <w:rFonts w:eastAsia="Calibri"/>
        </w:rPr>
        <w:t xml:space="preserve">πρωτεΐνες, λιπίδια και </w:t>
      </w:r>
      <w:r w:rsidR="00C0694C" w:rsidRPr="00A831E7">
        <w:rPr>
          <w:rFonts w:eastAsia="Calibri"/>
        </w:rPr>
        <w:t>micro</w:t>
      </w:r>
      <w:r w:rsidRPr="00A831E7">
        <w:rPr>
          <w:rFonts w:eastAsia="Calibri"/>
        </w:rPr>
        <w:t>RNA απελευθερώνονται στο αίμα</w:t>
      </w:r>
      <w:r w:rsidR="00884A7B" w:rsidRPr="00A831E7">
        <w:rPr>
          <w:rFonts w:eastAsia="Calibri"/>
        </w:rPr>
        <w:t xml:space="preserve"> </w:t>
      </w:r>
      <w:r w:rsidR="00884A7B" w:rsidRPr="00A831E7">
        <w:rPr>
          <w:rFonts w:eastAsia="Calibri"/>
        </w:rPr>
        <w:fldChar w:fldCharType="begin"/>
      </w:r>
      <w:r w:rsidR="00B61252">
        <w:rPr>
          <w:rFonts w:eastAsia="Calibri"/>
        </w:rPr>
        <w:instrText xml:space="preserve"> ADDIN ZOTERO_ITEM CSL_CITATION {"citationID":"RF3PNaez","properties":{"formattedCitation":"[102]","plainCitation":"[102]","noteIndex":0},"citationItems":[{"id":1811,"uris":["http://zotero.org/users/local/mfHf28QG/items/LPIHAE8F"],"itemData":{"id":1811,"type":"article-journal","abstract":"Background and Purpose— The phrase “time is brain” emphasizes that human nervous tissue is rapidly lost as stroke progresses and emergent evaluation and therapy are required. Recent advances in quantitative neurostereology and stroke neuroimaging permit calculation of just how much brain is lost per unit time in acute ischemic stroke.Methods— Systematic literature-review identified consensus estimates of number of neurons, synapses, and myelinated fibers in the human forebrain; volume of large vessel, supratentorial ischemic stroke; and interval from onset to completion of large vessel, supratentorial ischemic stroke.Results— The typical final volume of large vessel, supratentorial ischemic stroke is 54 mL (varied in sensitivity analysis from 19 to 100 mL). The average duration of nonlacunar stroke evolution is 10 hours (range 6 to 18 hours), and the average number of neurons in the human forebrain is 22 billion. In patients experiencing a typical large vessel acute ischemic stroke, 120 million neurons, 830 billion synapses, and 714 km (447 miles) of myelinated fibers are lost each hour. In each minute, 1.9 million neurons, 14 billion synapses, and 12 km (7.5 miles) of myelinated fibers are destroyed. Compared with the normal rate of neuron loss in brain aging, the ischemic brain ages 3.6 years each hour without treatment. Altering single input variables in sensitivity analyses modestly affected the estimated point values but not order of magnitude.Conclusions— Quantitative estimates of the pace of neural circuitry loss in human ischemic stroke emphasize the time urgency of stroke care. The typical patient loses 1.9 million neurons each minute in which stroke is untreated.","container-title":"Stroke","DOI":"10.1161/01.STR.0000196957.55928.ab","issue":"1","note":"publisher: American Heart Association","page":"263-266","source":"ahajournals.org (Atypon)","title":"Time Is Brain—Quantified","volume":"37","author":[{"family":"Saver","given":"Jeffrey L."}],"issued":{"date-parts":[["2006",1]]}}}],"schema":"https://github.com/citation-style-language/schema/raw/master/csl-citation.json"} </w:instrText>
      </w:r>
      <w:r w:rsidR="00884A7B" w:rsidRPr="00A831E7">
        <w:rPr>
          <w:rFonts w:eastAsia="Calibri"/>
        </w:rPr>
        <w:fldChar w:fldCharType="separate"/>
      </w:r>
      <w:r w:rsidR="00B61252" w:rsidRPr="00B61252">
        <w:rPr>
          <w:rFonts w:eastAsia="Calibri"/>
        </w:rPr>
        <w:t>[102]</w:t>
      </w:r>
      <w:r w:rsidR="00884A7B" w:rsidRPr="00A831E7">
        <w:rPr>
          <w:rFonts w:eastAsia="Calibri"/>
        </w:rPr>
        <w:fldChar w:fldCharType="end"/>
      </w:r>
      <w:r w:rsidRPr="00A831E7">
        <w:rPr>
          <w:rFonts w:eastAsia="Calibri"/>
        </w:rPr>
        <w:t>. Οι βιοδραστικές ουσίες που μεταφέρονται μέσω των εξωκυτταρικών κυστιδίων (E</w:t>
      </w:r>
      <w:r w:rsidR="00C0694C" w:rsidRPr="00A831E7">
        <w:rPr>
          <w:rFonts w:eastAsia="Calibri"/>
        </w:rPr>
        <w:t>V</w:t>
      </w:r>
      <w:r w:rsidRPr="00A831E7">
        <w:rPr>
          <w:rFonts w:eastAsia="Calibri"/>
        </w:rPr>
        <w:t xml:space="preserve">s) μπορούν να </w:t>
      </w:r>
      <w:r w:rsidR="00296834" w:rsidRPr="00A831E7">
        <w:rPr>
          <w:rFonts w:eastAsia="Calibri"/>
        </w:rPr>
        <w:t xml:space="preserve">φτάσουν στο εσωτερικό των </w:t>
      </w:r>
      <w:r w:rsidRPr="00A831E7">
        <w:rPr>
          <w:rFonts w:eastAsia="Calibri"/>
        </w:rPr>
        <w:t>κ</w:t>
      </w:r>
      <w:r w:rsidR="00296834" w:rsidRPr="00A831E7">
        <w:rPr>
          <w:rFonts w:eastAsia="Calibri"/>
        </w:rPr>
        <w:t>υ</w:t>
      </w:r>
      <w:r w:rsidRPr="00A831E7">
        <w:rPr>
          <w:rFonts w:eastAsia="Calibri"/>
        </w:rPr>
        <w:t>ττ</w:t>
      </w:r>
      <w:r w:rsidR="00296834" w:rsidRPr="00A831E7">
        <w:rPr>
          <w:rFonts w:eastAsia="Calibri"/>
        </w:rPr>
        <w:t>ά</w:t>
      </w:r>
      <w:r w:rsidRPr="00A831E7">
        <w:rPr>
          <w:rFonts w:eastAsia="Calibri"/>
        </w:rPr>
        <w:t>ρ</w:t>
      </w:r>
      <w:r w:rsidR="00296834" w:rsidRPr="00A831E7">
        <w:rPr>
          <w:rFonts w:eastAsia="Calibri"/>
        </w:rPr>
        <w:t>ων-</w:t>
      </w:r>
      <w:r w:rsidRPr="00A831E7">
        <w:rPr>
          <w:rFonts w:eastAsia="Calibri"/>
        </w:rPr>
        <w:t>στόχ</w:t>
      </w:r>
      <w:r w:rsidR="00296834" w:rsidRPr="00A831E7">
        <w:rPr>
          <w:rFonts w:eastAsia="Calibri"/>
        </w:rPr>
        <w:t>ων</w:t>
      </w:r>
      <w:r w:rsidRPr="00A831E7">
        <w:rPr>
          <w:rFonts w:eastAsia="Calibri"/>
        </w:rPr>
        <w:t xml:space="preserve"> και να επηρεάσουν τις βιολογικές τους διεργασίες</w:t>
      </w:r>
      <w:r w:rsidR="00296834" w:rsidRPr="00A831E7">
        <w:rPr>
          <w:rFonts w:eastAsia="Calibri"/>
        </w:rPr>
        <w:t xml:space="preserve"> </w:t>
      </w:r>
      <w:r w:rsidR="00296834" w:rsidRPr="00A831E7">
        <w:rPr>
          <w:rFonts w:eastAsia="Calibri"/>
        </w:rPr>
        <w:fldChar w:fldCharType="begin"/>
      </w:r>
      <w:r w:rsidR="00296834" w:rsidRPr="00A831E7">
        <w:rPr>
          <w:rFonts w:eastAsia="Calibri"/>
        </w:rPr>
        <w:instrText xml:space="preserve"> ADDIN ZOTERO_ITEM CSL_CITATION {"citationID":"ZS7NYwfo","properties":{"formattedCitation":"[11]","plainCitation":"[11]","noteIndex":0},"citationItems":[{"id":127,"uris":["http://zotero.org/users/local/mfHf28QG/items/NIFKWPSY"],"itemData":{"id":127,"type":"article-journal","abstract":"There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00296834" w:rsidRPr="00A831E7">
        <w:rPr>
          <w:rFonts w:eastAsia="Calibri"/>
        </w:rPr>
        <w:fldChar w:fldCharType="separate"/>
      </w:r>
      <w:r w:rsidR="00296834" w:rsidRPr="00A831E7">
        <w:rPr>
          <w:rFonts w:eastAsia="Calibri"/>
        </w:rPr>
        <w:t>[11]</w:t>
      </w:r>
      <w:r w:rsidR="00296834" w:rsidRPr="00A831E7">
        <w:rPr>
          <w:rFonts w:eastAsia="Calibri"/>
        </w:rPr>
        <w:fldChar w:fldCharType="end"/>
      </w:r>
      <w:r w:rsidRPr="00A831E7">
        <w:rPr>
          <w:rFonts w:eastAsia="Calibri"/>
        </w:rPr>
        <w:t xml:space="preserve">. </w:t>
      </w:r>
      <w:r w:rsidR="00C0484E" w:rsidRPr="00185741">
        <w:rPr>
          <w:rFonts w:eastAsia="Calibri"/>
          <w:b/>
          <w:bCs/>
        </w:rPr>
        <w:t>Τ</w:t>
      </w:r>
      <w:r w:rsidRPr="00185741">
        <w:rPr>
          <w:rFonts w:eastAsia="Calibri"/>
          <w:b/>
          <w:bCs/>
        </w:rPr>
        <w:t>α EVs</w:t>
      </w:r>
      <w:r w:rsidR="00EB76D4" w:rsidRPr="00A831E7">
        <w:rPr>
          <w:rFonts w:eastAsia="Calibri"/>
        </w:rPr>
        <w:t>, τα οποία</w:t>
      </w:r>
      <w:r w:rsidRPr="00A831E7">
        <w:rPr>
          <w:rFonts w:eastAsia="Calibri"/>
        </w:rPr>
        <w:t xml:space="preserve"> έχουν χαμηλή ανοσογονικότητα</w:t>
      </w:r>
      <w:r w:rsidR="00EB76D4" w:rsidRPr="00A831E7">
        <w:rPr>
          <w:rFonts w:eastAsia="Calibri"/>
        </w:rPr>
        <w:t xml:space="preserve">, </w:t>
      </w:r>
      <w:r w:rsidRPr="00185741">
        <w:rPr>
          <w:rFonts w:eastAsia="Calibri"/>
          <w:b/>
          <w:bCs/>
        </w:rPr>
        <w:t xml:space="preserve">μπορούν να διαπεράσουν τον </w:t>
      </w:r>
      <w:r w:rsidR="00A74CD7" w:rsidRPr="00185741">
        <w:rPr>
          <w:rFonts w:eastAsia="Calibri"/>
          <w:b/>
          <w:bCs/>
        </w:rPr>
        <w:t xml:space="preserve">φραγμό </w:t>
      </w:r>
      <w:r w:rsidR="00A74CD7" w:rsidRPr="00185741">
        <w:rPr>
          <w:rFonts w:eastAsia="Calibri"/>
          <w:b/>
          <w:bCs/>
          <w:lang w:val="en-US"/>
        </w:rPr>
        <w:t>BBB</w:t>
      </w:r>
      <w:r w:rsidR="00EB76D4" w:rsidRPr="00A831E7">
        <w:rPr>
          <w:rFonts w:eastAsia="Calibri"/>
        </w:rPr>
        <w:t xml:space="preserve"> ακόμη και πριν την αποδόμηση του όταν είναι ακόμη ακέραιος</w:t>
      </w:r>
      <w:r w:rsidR="00784B85" w:rsidRPr="00A831E7">
        <w:rPr>
          <w:rFonts w:eastAsia="Calibri"/>
        </w:rPr>
        <w:t xml:space="preserve"> </w:t>
      </w:r>
      <w:r w:rsidR="00784B85" w:rsidRPr="00A831E7">
        <w:rPr>
          <w:rFonts w:eastAsia="Calibri"/>
        </w:rPr>
        <w:fldChar w:fldCharType="begin"/>
      </w:r>
      <w:r w:rsidR="00784B85" w:rsidRPr="00A831E7">
        <w:rPr>
          <w:rFonts w:eastAsia="Calibri"/>
        </w:rPr>
        <w:instrText xml:space="preserve"> ADDIN ZOTERO_ITEM CSL_CITATION {"citationID":"WUcwyyUE","properties":{"formattedCitation":"[20]","plainCitation":"[20]","noteIndex":0},"citationItems":[{"id":180,"uris":["http://zotero.org/users/local/mfHf28QG/items/56CU9CM3"],"itemData":{"id":180,"type":"article-journal","abstract":"Ischemic stroke is a fatal and disabling disease worldwide and imposes a significant burden on society. At present, biological markers that can be conveniently measured in body fluids are lacking for the diagnosis of ischemic stroke, and there are ...","container-title":"Biomolecules","DOI":"10.3390/biom14030378","issue":"3","language":"en","note":"PMID: 38540796","page":"378","source":"pmc.ncbi.nlm.nih.gov","title":"Revolutionizing Ischemic Stroke Diagnosis and Treatment: The Promising Role of Neurovascular Unit-Derived Extracellular Vesicles","title-short":"Revolutionizing Ischemic Stroke Diagnosis and Treatment","volume":"14","author":[{"family":"Gao","given":"Xiangyu"},{"family":"Liu","given":"Dan"},{"family":"Yue","given":"Kangyi"},{"family":"Zhang","given":"Zhuoyuan"},{"family":"Jiang","given":"Xiaofan"},{"family":"Luo","given":"Peng"}],"issued":{"date-parts":[["2024",3,20]]}}}],"schema":"https://github.com/citation-style-language/schema/raw/master/csl-citation.json"} </w:instrText>
      </w:r>
      <w:r w:rsidR="00784B85" w:rsidRPr="00A831E7">
        <w:rPr>
          <w:rFonts w:eastAsia="Calibri"/>
        </w:rPr>
        <w:fldChar w:fldCharType="separate"/>
      </w:r>
      <w:r w:rsidR="00784B85" w:rsidRPr="00A831E7">
        <w:rPr>
          <w:rFonts w:eastAsia="Calibri"/>
        </w:rPr>
        <w:t>[20]</w:t>
      </w:r>
      <w:r w:rsidR="00784B85" w:rsidRPr="00A831E7">
        <w:rPr>
          <w:rFonts w:eastAsia="Calibri"/>
        </w:rPr>
        <w:fldChar w:fldCharType="end"/>
      </w:r>
      <w:r w:rsidR="00EB76D4" w:rsidRPr="00A831E7">
        <w:rPr>
          <w:rFonts w:eastAsia="Calibri"/>
        </w:rPr>
        <w:t>.</w:t>
      </w:r>
      <w:r w:rsidR="00C0484E" w:rsidRPr="00A831E7">
        <w:rPr>
          <w:rFonts w:eastAsia="Calibri"/>
        </w:rPr>
        <w:t xml:space="preserve"> Στην περίπτωση του ισχαιμικού εγκεφαλικού, αυτή η ιδιότητα είναι ιδιαίτερα σημαντική, καθώς η αποδόμηση του BBB συμβαίνει πιο αργά σε σχέση με την άμεση ρήξη στο αιμορραγικό εγκεφαλικό επεισόδιο.</w:t>
      </w:r>
      <w:r w:rsidR="00EB76D4" w:rsidRPr="00A831E7">
        <w:rPr>
          <w:rFonts w:eastAsia="Calibri"/>
        </w:rPr>
        <w:t xml:space="preserve"> Επομένως</w:t>
      </w:r>
      <w:r w:rsidR="00C0484E" w:rsidRPr="00A831E7">
        <w:rPr>
          <w:rFonts w:eastAsia="Calibri"/>
        </w:rPr>
        <w:t xml:space="preserve"> τα EVs</w:t>
      </w:r>
      <w:r w:rsidR="00EB76D4" w:rsidRPr="00A831E7">
        <w:rPr>
          <w:rFonts w:eastAsia="Calibri"/>
        </w:rPr>
        <w:t xml:space="preserve"> μπορούν</w:t>
      </w:r>
      <w:r w:rsidR="00784B85" w:rsidRPr="00A831E7">
        <w:rPr>
          <w:rFonts w:eastAsia="Calibri"/>
        </w:rPr>
        <w:t xml:space="preserve"> να </w:t>
      </w:r>
      <w:r w:rsidR="00EB76D4" w:rsidRPr="00A831E7">
        <w:rPr>
          <w:rFonts w:eastAsia="Calibri"/>
        </w:rPr>
        <w:t xml:space="preserve">μεταφέρουν πληροφορία για την κατάσταση του NVU </w:t>
      </w:r>
      <w:r w:rsidR="00784B85" w:rsidRPr="00A831E7">
        <w:rPr>
          <w:rFonts w:eastAsia="Calibri"/>
        </w:rPr>
        <w:t>πολύ νωρίτερα από άλλους, σχετικούς με το εγκεφαλικό επεισόδιο, βιοδείκτες και τελικά να οδηγήσουν σε συντομότερη διάγνωση.</w:t>
      </w:r>
    </w:p>
    <w:p w14:paraId="7A4DDC53" w14:textId="476ACDAC" w:rsidR="00A74CD7" w:rsidRPr="00730D74" w:rsidRDefault="006D4072" w:rsidP="0057069D">
      <w:pPr>
        <w:spacing w:line="360" w:lineRule="auto"/>
        <w:ind w:firstLine="720"/>
        <w:jc w:val="both"/>
        <w:rPr>
          <w:rFonts w:eastAsia="Calibri"/>
        </w:rPr>
      </w:pPr>
      <w:r w:rsidRPr="00A831E7">
        <w:rPr>
          <w:rFonts w:eastAsia="Calibri"/>
        </w:rPr>
        <w:t>Για την πλήρη αξιοποίηση των EVs, η σωστή απομόνωση και εξαγωγή τους, είναι απαραίτητη. Οι κλασικές μέθοδοι απομόνωσης EV</w:t>
      </w:r>
      <w:r w:rsidR="00C0694C" w:rsidRPr="00A831E7">
        <w:rPr>
          <w:rFonts w:eastAsia="Calibri"/>
        </w:rPr>
        <w:t>s</w:t>
      </w:r>
      <w:r w:rsidRPr="00A831E7">
        <w:rPr>
          <w:rFonts w:eastAsia="Calibri"/>
        </w:rPr>
        <w:t xml:space="preserve"> από πλάσμα περιλαμβάνουν διαφορική φυγοκέντρηση (υπερφυγοκέντρηση και φυγοκέντρ</w:t>
      </w:r>
      <w:r w:rsidR="00415CFD">
        <w:rPr>
          <w:rFonts w:eastAsia="Calibri"/>
        </w:rPr>
        <w:t>η</w:t>
      </w:r>
      <w:r w:rsidRPr="00A831E7">
        <w:rPr>
          <w:rFonts w:eastAsia="Calibri"/>
        </w:rPr>
        <w:t xml:space="preserve">ση με βαθμίδωση πυκνότητας), υπερδιήθηση, χρωματογραφία αποκλεισμού μεγέθους, </w:t>
      </w:r>
      <w:r w:rsidR="0095202A">
        <w:rPr>
          <w:rFonts w:eastAsia="Calibri"/>
        </w:rPr>
        <w:t>ανοσοσύνδεση (</w:t>
      </w:r>
      <w:r w:rsidRPr="00A831E7">
        <w:rPr>
          <w:rFonts w:eastAsia="Calibri"/>
        </w:rPr>
        <w:t>immunocapture</w:t>
      </w:r>
      <w:r w:rsidR="0095202A">
        <w:rPr>
          <w:rFonts w:eastAsia="Calibri"/>
        </w:rPr>
        <w:t>)</w:t>
      </w:r>
      <w:r w:rsidRPr="00A831E7">
        <w:rPr>
          <w:rFonts w:eastAsia="Calibri"/>
        </w:rPr>
        <w:t xml:space="preserve"> και καθίζηση πολυμερούς </w:t>
      </w:r>
      <w:r w:rsidR="00884A7B" w:rsidRPr="00A831E7">
        <w:rPr>
          <w:rFonts w:eastAsia="Calibri"/>
        </w:rPr>
        <w:fldChar w:fldCharType="begin"/>
      </w:r>
      <w:r w:rsidR="00B61252">
        <w:rPr>
          <w:rFonts w:eastAsia="Calibri"/>
        </w:rPr>
        <w:instrText xml:space="preserve"> ADDIN ZOTERO_ITEM CSL_CITATION {"citationID":"1YaaYzVJ","properties":{"formattedCitation":"[103]","plainCitation":"[103]","noteIndex":0},"citationItems":[{"id":1813,"uris":["http://zotero.org/users/local/mfHf28QG/items/A429H3NH"],"itemData":{"id":1813,"type":"webpage","title":"Review of the Isolation, Characterization, Biological Function, and Multifarious Therapeutic Approaches of Exosomes","URL":"https://www.mdpi.com/2073-4409/8/4/307","accessed":{"date-parts":[["2025",5,23]]}}}],"schema":"https://github.com/citation-style-language/schema/raw/master/csl-citation.json"} </w:instrText>
      </w:r>
      <w:r w:rsidR="00884A7B" w:rsidRPr="00A831E7">
        <w:rPr>
          <w:rFonts w:eastAsia="Calibri"/>
        </w:rPr>
        <w:fldChar w:fldCharType="separate"/>
      </w:r>
      <w:r w:rsidR="00B61252" w:rsidRPr="00B61252">
        <w:rPr>
          <w:rFonts w:eastAsia="Calibri"/>
        </w:rPr>
        <w:t>[103]</w:t>
      </w:r>
      <w:r w:rsidR="00884A7B" w:rsidRPr="00A831E7">
        <w:rPr>
          <w:rFonts w:eastAsia="Calibri"/>
        </w:rPr>
        <w:fldChar w:fldCharType="end"/>
      </w:r>
      <w:r w:rsidRPr="00A831E7">
        <w:rPr>
          <w:rFonts w:eastAsia="Calibri"/>
        </w:rPr>
        <w:t xml:space="preserve">. Μετά την απομόνωση, η </w:t>
      </w:r>
      <w:r w:rsidRPr="00A831E7">
        <w:rPr>
          <w:rFonts w:eastAsia="Calibri"/>
        </w:rPr>
        <w:lastRenderedPageBreak/>
        <w:t xml:space="preserve">συγκέντρωση των </w:t>
      </w:r>
      <w:r w:rsidR="00C0694C" w:rsidRPr="00A831E7">
        <w:rPr>
          <w:rFonts w:eastAsia="Calibri"/>
        </w:rPr>
        <w:t>EVs</w:t>
      </w:r>
      <w:r w:rsidRPr="00A831E7">
        <w:rPr>
          <w:rFonts w:eastAsia="Calibri"/>
        </w:rPr>
        <w:t xml:space="preserve">, η κατανομή του μεγέθους και το επιφανειακό τους φορτίο </w:t>
      </w:r>
      <w:r w:rsidR="00C0694C" w:rsidRPr="00A831E7">
        <w:rPr>
          <w:rFonts w:eastAsia="Calibri"/>
        </w:rPr>
        <w:t>μετρούνται</w:t>
      </w:r>
      <w:r w:rsidRPr="00A831E7">
        <w:rPr>
          <w:rFonts w:eastAsia="Calibri"/>
        </w:rPr>
        <w:t xml:space="preserve"> συνήθως μέσω ανάλυσης παρακολούθησης νανοσωματιδίων (</w:t>
      </w:r>
      <w:r w:rsidR="00C0694C" w:rsidRPr="00A831E7">
        <w:t>nanoparticle tracking analysis</w:t>
      </w:r>
      <w:r w:rsidR="00483326" w:rsidRPr="00A831E7">
        <w:t xml:space="preserve">, </w:t>
      </w:r>
      <w:r w:rsidRPr="00A831E7">
        <w:rPr>
          <w:rFonts w:eastAsia="Calibri"/>
        </w:rPr>
        <w:t>NTA), δυναμικής σκέδασης φωτός (</w:t>
      </w:r>
      <w:r w:rsidR="00C0694C" w:rsidRPr="00A831E7">
        <w:t>dynamic light scattering</w:t>
      </w:r>
      <w:r w:rsidR="00483326" w:rsidRPr="00A831E7">
        <w:rPr>
          <w:rFonts w:eastAsia="Calibri"/>
        </w:rPr>
        <w:t xml:space="preserve">, </w:t>
      </w:r>
      <w:r w:rsidRPr="00A831E7">
        <w:rPr>
          <w:rFonts w:eastAsia="Calibri"/>
        </w:rPr>
        <w:t>DLS) ή αισθητήρων παλμικής αντίστασης (</w:t>
      </w:r>
      <w:r w:rsidR="00C0694C" w:rsidRPr="00A831E7">
        <w:t>tunable resistive pulse sensing</w:t>
      </w:r>
      <w:r w:rsidR="00483326" w:rsidRPr="00A831E7">
        <w:t xml:space="preserve">, </w:t>
      </w:r>
      <w:r w:rsidRPr="00A831E7">
        <w:rPr>
          <w:rFonts w:eastAsia="Calibri"/>
        </w:rPr>
        <w:t xml:space="preserve">TRPS), με περαιτέρω επιβεβαίωση μέσω ηλεκτρονικής ή ατομικής μικροσκοπίας. Η ταυτοποίηση των </w:t>
      </w:r>
      <w:r w:rsidR="00C0694C" w:rsidRPr="00A831E7">
        <w:rPr>
          <w:rFonts w:eastAsia="Calibri"/>
        </w:rPr>
        <w:t>EVs</w:t>
      </w:r>
      <w:r w:rsidRPr="00A831E7">
        <w:rPr>
          <w:rFonts w:eastAsia="Calibri"/>
        </w:rPr>
        <w:t xml:space="preserve"> πραγματοποιείται συνήθως με την ανίχνευση δεικτών τετρασπανίνης, όπως CD9, CD63 και CD81, παρά την εγγενή ετερογένεια των εκκρινόμενων </w:t>
      </w:r>
      <w:r w:rsidR="00C0694C" w:rsidRPr="00A831E7">
        <w:rPr>
          <w:rFonts w:eastAsia="Calibri"/>
        </w:rPr>
        <w:t>EVs</w:t>
      </w:r>
      <w:r w:rsidR="00884A7B" w:rsidRPr="00A831E7">
        <w:rPr>
          <w:rFonts w:eastAsia="Calibri"/>
        </w:rPr>
        <w:t xml:space="preserve"> </w:t>
      </w:r>
      <w:r w:rsidR="00884A7B" w:rsidRPr="00A831E7">
        <w:rPr>
          <w:rFonts w:eastAsia="Calibri"/>
        </w:rPr>
        <w:fldChar w:fldCharType="begin"/>
      </w:r>
      <w:r w:rsidR="00B61252">
        <w:rPr>
          <w:rFonts w:eastAsia="Calibri"/>
        </w:rPr>
        <w:instrText xml:space="preserve"> ADDIN ZOTERO_ITEM CSL_CITATION {"citationID":"39Gt3nN2","properties":{"formattedCitation":"[103]","plainCitation":"[103]","noteIndex":0},"citationItems":[{"id":1813,"uris":["http://zotero.org/users/local/mfHf28QG/items/A429H3NH"],"itemData":{"id":1813,"type":"webpage","title":"Review of the Isolation, Characterization, Biological Function, and Multifarious Therapeutic Approaches of Exosomes","URL":"https://www.mdpi.com/2073-4409/8/4/307","accessed":{"date-parts":[["2025",5,23]]}}}],"schema":"https://github.com/citation-style-language/schema/raw/master/csl-citation.json"} </w:instrText>
      </w:r>
      <w:r w:rsidR="00884A7B" w:rsidRPr="00A831E7">
        <w:rPr>
          <w:rFonts w:eastAsia="Calibri"/>
        </w:rPr>
        <w:fldChar w:fldCharType="separate"/>
      </w:r>
      <w:r w:rsidR="00B61252" w:rsidRPr="00B61252">
        <w:rPr>
          <w:rFonts w:eastAsia="Calibri"/>
        </w:rPr>
        <w:t>[103]</w:t>
      </w:r>
      <w:r w:rsidR="00884A7B" w:rsidRPr="00A831E7">
        <w:rPr>
          <w:rFonts w:eastAsia="Calibri"/>
        </w:rPr>
        <w:fldChar w:fldCharType="end"/>
      </w:r>
      <w:r w:rsidR="00884A7B" w:rsidRPr="00A831E7">
        <w:rPr>
          <w:rFonts w:eastAsia="Calibri"/>
        </w:rPr>
        <w:t xml:space="preserve">, </w:t>
      </w:r>
      <w:r w:rsidR="00884A7B" w:rsidRPr="00A831E7">
        <w:rPr>
          <w:rFonts w:eastAsia="Calibri"/>
        </w:rPr>
        <w:fldChar w:fldCharType="begin"/>
      </w:r>
      <w:r w:rsidR="00B61252">
        <w:rPr>
          <w:rFonts w:eastAsia="Calibri"/>
        </w:rPr>
        <w:instrText xml:space="preserve"> ADDIN ZOTERO_ITEM CSL_CITATION {"citationID":"ZvRrMxSu","properties":{"formattedCitation":"[104]","plainCitation":"[104]","noteIndex":0},"citationItems":[{"id":1817,"uris":["http://zotero.org/users/local/mfHf28QG/items/QXJP4NTI"],"itemData":{"id":1817,"type":"webpage","title":"Reassessment of Exosome Composition: Cell","URL":"https://www.cell.com/cell/fulltext/S0092-8674(19)30212-0?_returnURL=https%3A%2F%2Flinkinghub.elsevier.com%2Fretrieve%2Fpii%2FS0092867419302120%3Fshowall%3Dtrue","accessed":{"date-parts":[["2025",5,23]]}}}],"schema":"https://github.com/citation-style-language/schema/raw/master/csl-citation.json"} </w:instrText>
      </w:r>
      <w:r w:rsidR="00884A7B" w:rsidRPr="00A831E7">
        <w:rPr>
          <w:rFonts w:eastAsia="Calibri"/>
        </w:rPr>
        <w:fldChar w:fldCharType="separate"/>
      </w:r>
      <w:r w:rsidR="00B61252" w:rsidRPr="00B61252">
        <w:rPr>
          <w:rFonts w:eastAsia="Calibri"/>
        </w:rPr>
        <w:t>[104]</w:t>
      </w:r>
      <w:r w:rsidR="00884A7B" w:rsidRPr="00A831E7">
        <w:rPr>
          <w:rFonts w:eastAsia="Calibri"/>
        </w:rPr>
        <w:fldChar w:fldCharType="end"/>
      </w:r>
      <w:r w:rsidR="00884A7B" w:rsidRPr="00A831E7">
        <w:rPr>
          <w:rFonts w:eastAsia="Calibri"/>
        </w:rPr>
        <w:t xml:space="preserve">  </w:t>
      </w:r>
      <w:r w:rsidRPr="00A831E7">
        <w:rPr>
          <w:rFonts w:eastAsia="Calibri"/>
        </w:rPr>
        <w:t>.</w:t>
      </w:r>
      <w:r w:rsidR="00483326" w:rsidRPr="00A831E7">
        <w:rPr>
          <w:rFonts w:eastAsia="Calibri"/>
        </w:rPr>
        <w:t xml:space="preserve"> Οι πρόσφατες εξελίξεις στην κυτταρομετρία ροής επιτρέπουν πλέον την ανίχνευση κυστιδίων μεγέθους έως 100 nm με τη χρήση φθορίζο</w:t>
      </w:r>
      <w:r w:rsidR="00C0694C" w:rsidRPr="00A831E7">
        <w:rPr>
          <w:rFonts w:eastAsia="Calibri"/>
        </w:rPr>
        <w:t>υσας</w:t>
      </w:r>
      <w:r w:rsidR="00483326" w:rsidRPr="00A831E7">
        <w:rPr>
          <w:rFonts w:eastAsia="Calibri"/>
        </w:rPr>
        <w:t xml:space="preserve"> </w:t>
      </w:r>
      <w:r w:rsidR="002F48B1">
        <w:rPr>
          <w:rFonts w:eastAsia="Calibri"/>
        </w:rPr>
        <w:t>επισήμανσης</w:t>
      </w:r>
      <w:r w:rsidR="00483326" w:rsidRPr="00A831E7">
        <w:rPr>
          <w:rFonts w:eastAsia="Calibri"/>
        </w:rPr>
        <w:t>, ενώ οι τεχνικές</w:t>
      </w:r>
      <w:r w:rsidR="00C0694C" w:rsidRPr="00A831E7">
        <w:rPr>
          <w:rFonts w:eastAsia="Calibri"/>
        </w:rPr>
        <w:t xml:space="preserve"> </w:t>
      </w:r>
      <w:r w:rsidR="0095202A">
        <w:rPr>
          <w:rFonts w:eastAsia="Calibri"/>
        </w:rPr>
        <w:t>πρωτεομικής</w:t>
      </w:r>
      <w:r w:rsidR="00483326" w:rsidRPr="00A831E7">
        <w:rPr>
          <w:rFonts w:eastAsia="Calibri"/>
        </w:rPr>
        <w:t xml:space="preserve"> (LC/MS/MS) έχουν εφαρμοστεί για την καταγραφή πρωτεϊνικών προφίλ </w:t>
      </w:r>
      <w:r w:rsidR="00EC67FF">
        <w:rPr>
          <w:rFonts w:eastAsia="Calibri"/>
        </w:rPr>
        <w:t xml:space="preserve">σε </w:t>
      </w:r>
      <w:r w:rsidR="00483326" w:rsidRPr="00A831E7">
        <w:rPr>
          <w:rFonts w:eastAsia="Calibri"/>
        </w:rPr>
        <w:t>EV</w:t>
      </w:r>
      <w:r w:rsidR="00C0694C" w:rsidRPr="00A831E7">
        <w:rPr>
          <w:rFonts w:eastAsia="Calibri"/>
        </w:rPr>
        <w:t>s</w:t>
      </w:r>
      <w:r w:rsidR="00483326" w:rsidRPr="00A831E7">
        <w:rPr>
          <w:rFonts w:eastAsia="Calibri"/>
        </w:rPr>
        <w:t xml:space="preserve"> που σχετίζονται με </w:t>
      </w:r>
      <w:r w:rsidR="00EC67FF">
        <w:rPr>
          <w:rFonts w:eastAsia="Calibri"/>
        </w:rPr>
        <w:t xml:space="preserve">το </w:t>
      </w:r>
      <w:r w:rsidR="00483326" w:rsidRPr="00A831E7">
        <w:rPr>
          <w:rFonts w:eastAsia="Calibri"/>
        </w:rPr>
        <w:t>εγκεφαλικ</w:t>
      </w:r>
      <w:r w:rsidR="00EC67FF">
        <w:rPr>
          <w:rFonts w:eastAsia="Calibri"/>
        </w:rPr>
        <w:t>ό</w:t>
      </w:r>
      <w:r w:rsidR="00483326" w:rsidRPr="00A831E7">
        <w:rPr>
          <w:rFonts w:eastAsia="Calibri"/>
        </w:rPr>
        <w:t xml:space="preserve"> επεισόδι</w:t>
      </w:r>
      <w:r w:rsidR="00EC67FF">
        <w:rPr>
          <w:rFonts w:eastAsia="Calibri"/>
        </w:rPr>
        <w:t>ο</w:t>
      </w:r>
      <w:r w:rsidR="00483326" w:rsidRPr="00A831E7">
        <w:rPr>
          <w:rFonts w:eastAsia="Calibri"/>
        </w:rPr>
        <w:t xml:space="preserve"> </w:t>
      </w:r>
      <w:r w:rsidR="00884A7B" w:rsidRPr="00A831E7">
        <w:rPr>
          <w:rFonts w:eastAsia="Calibri"/>
        </w:rPr>
        <w:fldChar w:fldCharType="begin"/>
      </w:r>
      <w:r w:rsidR="00884A7B" w:rsidRPr="00A831E7">
        <w:rPr>
          <w:rFonts w:eastAsia="Calibri"/>
        </w:rPr>
        <w:instrText xml:space="preserve"> ADDIN ZOTERO_ITEM CSL_CITATION {"citationID":"4GJRsr2w","properties":{"formattedCitation":"[11]","plainCitation":"[11]","noteIndex":0},"citationItems":[{"id":127,"uris":["http://zotero.org/users/local/mfHf28QG/items/NIFKWPSY"],"itemData":{"id":127,"type":"article-journal","abstract":"There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00884A7B" w:rsidRPr="00A831E7">
        <w:rPr>
          <w:rFonts w:eastAsia="Calibri"/>
        </w:rPr>
        <w:fldChar w:fldCharType="separate"/>
      </w:r>
      <w:r w:rsidR="00884A7B" w:rsidRPr="00A831E7">
        <w:rPr>
          <w:rFonts w:eastAsia="Calibri"/>
        </w:rPr>
        <w:t>[11]</w:t>
      </w:r>
      <w:r w:rsidR="00884A7B" w:rsidRPr="00A831E7">
        <w:rPr>
          <w:rFonts w:eastAsia="Calibri"/>
        </w:rPr>
        <w:fldChar w:fldCharType="end"/>
      </w:r>
      <w:r w:rsidR="00483326" w:rsidRPr="00A831E7">
        <w:rPr>
          <w:rFonts w:eastAsia="Calibri"/>
        </w:rPr>
        <w:t>.</w:t>
      </w:r>
      <w:r w:rsidRPr="00A831E7">
        <w:rPr>
          <w:rFonts w:eastAsia="Calibri"/>
        </w:rPr>
        <w:t xml:space="preserve"> </w:t>
      </w:r>
      <w:r w:rsidR="000924B0" w:rsidRPr="00A831E7">
        <w:rPr>
          <w:rFonts w:eastAsia="Calibri"/>
        </w:rPr>
        <w:t xml:space="preserve"> </w:t>
      </w:r>
    </w:p>
    <w:p w14:paraId="5F52CD8F" w14:textId="1A733E3D" w:rsidR="00884A7B" w:rsidRPr="00A831E7" w:rsidRDefault="00884A7B" w:rsidP="0057069D">
      <w:pPr>
        <w:spacing w:line="360" w:lineRule="auto"/>
        <w:ind w:firstLine="720"/>
        <w:jc w:val="both"/>
        <w:rPr>
          <w:rFonts w:eastAsia="Calibri"/>
        </w:rPr>
      </w:pPr>
      <w:r w:rsidRPr="00A831E7">
        <w:rPr>
          <w:rFonts w:eastAsia="Calibri"/>
        </w:rPr>
        <w:t xml:space="preserve">Για την εξαγωγή εξωκυτταρικών κυστιδίων (EVs) από ορό αίματος και εγκεφαλονωτιαίο υγρό (CSF), χρησιμοποιούνται συνήθως τεχνικές όπως η υπερφυγοκέντρηση (UC), εμπορικά </w:t>
      </w:r>
      <w:r w:rsidR="00C0694C" w:rsidRPr="00A831E7">
        <w:rPr>
          <w:rFonts w:eastAsia="Calibri"/>
        </w:rPr>
        <w:t>kit</w:t>
      </w:r>
      <w:r w:rsidRPr="00A831E7">
        <w:rPr>
          <w:rFonts w:eastAsia="Calibri"/>
        </w:rPr>
        <w:t xml:space="preserve"> όπως ExoQuick ή Total EV Isolation Reagent (TEI), καθώς και χρωματογραφία</w:t>
      </w:r>
      <w:r w:rsidR="00EC67FF">
        <w:rPr>
          <w:rFonts w:eastAsia="Calibri"/>
        </w:rPr>
        <w:t xml:space="preserve"> μοριακού</w:t>
      </w:r>
      <w:r w:rsidRPr="00A831E7">
        <w:rPr>
          <w:rFonts w:eastAsia="Calibri"/>
        </w:rPr>
        <w:t xml:space="preserve"> αποκλεισμού (</w:t>
      </w:r>
      <w:r w:rsidR="00EC67FF" w:rsidRPr="00EC67FF">
        <w:rPr>
          <w:rFonts w:eastAsia="Calibri"/>
        </w:rPr>
        <w:t>Size Exclusion Chromatography</w:t>
      </w:r>
      <w:r w:rsidR="00EC67FF">
        <w:rPr>
          <w:rFonts w:eastAsia="Calibri"/>
        </w:rPr>
        <w:t xml:space="preserve">, </w:t>
      </w:r>
      <w:r w:rsidRPr="00A831E7">
        <w:rPr>
          <w:rFonts w:eastAsia="Calibri"/>
        </w:rPr>
        <w:t xml:space="preserve">SEC) </w:t>
      </w:r>
      <w:r w:rsidRPr="00A831E7">
        <w:rPr>
          <w:rFonts w:eastAsia="Calibri"/>
        </w:rPr>
        <w:fldChar w:fldCharType="begin"/>
      </w:r>
      <w:r w:rsidR="000924B0" w:rsidRPr="00A831E7">
        <w:rPr>
          <w:rFonts w:eastAsia="Calibri"/>
        </w:rPr>
        <w:instrText xml:space="preserve"> ADDIN ZOTERO_ITEM CSL_CITATION {"citationID":"jgXEAkeK","properties":{"formattedCitation":"[4]","plainCitation":"[4]","noteIndex":0},"citationItems":[{"id":259,"uris":["http://zotero.org/users/local/mfHf28QG/items/BNXINVFS"],"itemData":{"id":259,"type":"article-journal","abstract":"Stroke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Sang"}],"issued":{"date-parts":[["2022",7,28]]}}}],"schema":"https://github.com/citation-style-language/schema/raw/master/csl-citation.json"} </w:instrText>
      </w:r>
      <w:r w:rsidRPr="00A831E7">
        <w:rPr>
          <w:rFonts w:eastAsia="Calibri"/>
        </w:rPr>
        <w:fldChar w:fldCharType="separate"/>
      </w:r>
      <w:r w:rsidR="000924B0" w:rsidRPr="00A831E7">
        <w:rPr>
          <w:rFonts w:eastAsia="Calibri"/>
        </w:rPr>
        <w:t>[4]</w:t>
      </w:r>
      <w:r w:rsidRPr="00A831E7">
        <w:rPr>
          <w:rFonts w:eastAsia="Calibri"/>
        </w:rPr>
        <w:fldChar w:fldCharType="end"/>
      </w:r>
      <w:r w:rsidRPr="00A831E7">
        <w:rPr>
          <w:rFonts w:eastAsia="Calibri"/>
        </w:rPr>
        <w:t xml:space="preserve">. Η </w:t>
      </w:r>
      <w:r w:rsidR="00C0694C" w:rsidRPr="00A831E7">
        <w:rPr>
          <w:rFonts w:eastAsia="Calibri"/>
        </w:rPr>
        <w:t>υπερφυγοκέντρηση</w:t>
      </w:r>
      <w:r w:rsidRPr="00A831E7">
        <w:rPr>
          <w:rFonts w:eastAsia="Calibri"/>
        </w:rPr>
        <w:t xml:space="preserve"> προσφέρει υψηλή καθαρότητα πρωτεϊνών, αν και έχει χαμηλότερη απόδοση ανάκτησης σωματιδίων, ενώ οι μέθοδοι που βασίζονται σε κιτ εξασφαλίζουν μεγαλύτερη αποδοτικότητα στην εξαγωγή. Στον ορό αίματος, η απομάκρυνση των πρωτεϊνών του πλάσματος (όπως της αλβουμίνης) είναι κρίσιμη για τη διατήρηση της ακεραιότητας των EVs, ενώ στο CSF χρειάζεται απομάκρυνση των κυτταρικών υπολειμμάτων </w:t>
      </w:r>
      <w:r w:rsidRPr="00A831E7">
        <w:rPr>
          <w:rFonts w:eastAsia="Calibri"/>
        </w:rPr>
        <w:fldChar w:fldCharType="begin"/>
      </w:r>
      <w:r w:rsidRPr="00A831E7">
        <w:rPr>
          <w:rFonts w:eastAsia="Calibri"/>
        </w:rPr>
        <w:instrText xml:space="preserve"> ADDIN ZOTERO_ITEM CSL_CITATION {"citationID":"FU0UnuK0","properties":{"formattedCitation":"[4]","plainCitation":"[4]","noteIndex":0},"citationItems":[{"id":259,"uris":["http://zotero.org/users/local/mfHf28QG/items/BNXINVFS"],"itemData":{"id":259,"type":"article-journal","abstract":"Stroke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Sang"}],"issued":{"date-parts":[["2022",7,28]]}}}],"schema":"https://github.com/citation-style-language/schema/raw/master/csl-citation.json"} </w:instrText>
      </w:r>
      <w:r w:rsidRPr="00A831E7">
        <w:rPr>
          <w:rFonts w:eastAsia="Calibri"/>
        </w:rPr>
        <w:fldChar w:fldCharType="separate"/>
      </w:r>
      <w:r w:rsidRPr="00A831E7">
        <w:rPr>
          <w:rFonts w:eastAsia="Calibri"/>
        </w:rPr>
        <w:t>[4]</w:t>
      </w:r>
      <w:r w:rsidRPr="00A831E7">
        <w:rPr>
          <w:rFonts w:eastAsia="Calibri"/>
        </w:rPr>
        <w:fldChar w:fldCharType="end"/>
      </w:r>
      <w:r w:rsidRPr="00A831E7">
        <w:rPr>
          <w:rFonts w:eastAsia="Calibri"/>
        </w:rPr>
        <w:t>.</w:t>
      </w:r>
    </w:p>
    <w:p w14:paraId="45359977" w14:textId="5DAAF23B" w:rsidR="000924B0" w:rsidRPr="00A831E7" w:rsidRDefault="000924B0" w:rsidP="0057069D">
      <w:pPr>
        <w:spacing w:line="360" w:lineRule="auto"/>
        <w:ind w:firstLine="720"/>
        <w:jc w:val="both"/>
        <w:rPr>
          <w:rFonts w:eastAsia="Calibri"/>
        </w:rPr>
      </w:pPr>
      <w:r w:rsidRPr="00A831E7">
        <w:rPr>
          <w:rFonts w:eastAsia="Calibri"/>
        </w:rPr>
        <w:t>Οι αναδυόμενες</w:t>
      </w:r>
      <w:r w:rsidR="00EC67FF">
        <w:rPr>
          <w:rFonts w:eastAsia="Calibri"/>
        </w:rPr>
        <w:t xml:space="preserve"> </w:t>
      </w:r>
      <w:r w:rsidRPr="00A831E7">
        <w:rPr>
          <w:rFonts w:eastAsia="Calibri"/>
        </w:rPr>
        <w:t>τεχνολογίες</w:t>
      </w:r>
      <w:r w:rsidR="00EC67FF">
        <w:rPr>
          <w:rFonts w:eastAsia="Calibri"/>
        </w:rPr>
        <w:t xml:space="preserve"> μικρορευστομηχανικής</w:t>
      </w:r>
      <w:r w:rsidR="00BA3DF0">
        <w:rPr>
          <w:rFonts w:eastAsia="Calibri"/>
        </w:rPr>
        <w:t xml:space="preserve"> </w:t>
      </w:r>
      <w:r w:rsidR="00EC67FF">
        <w:rPr>
          <w:rFonts w:eastAsia="Calibri"/>
        </w:rPr>
        <w:t>(</w:t>
      </w:r>
      <w:r w:rsidR="00EC67FF" w:rsidRPr="00A831E7">
        <w:rPr>
          <w:rFonts w:eastAsia="Calibri"/>
        </w:rPr>
        <w:t>microfluidic</w:t>
      </w:r>
      <w:r w:rsidR="00EC67FF">
        <w:rPr>
          <w:rFonts w:eastAsia="Calibri"/>
          <w:lang w:val="en-US"/>
        </w:rPr>
        <w:t>s</w:t>
      </w:r>
      <w:r w:rsidR="00EC67FF">
        <w:rPr>
          <w:rFonts w:eastAsia="Calibri"/>
        </w:rPr>
        <w:t>)</w:t>
      </w:r>
      <w:r w:rsidRPr="00A831E7">
        <w:rPr>
          <w:rFonts w:eastAsia="Calibri"/>
        </w:rPr>
        <w:t xml:space="preserve">, που συνδυάζουν διαδοχικό διαχωρισμό, ταξινόμηση και ανίχνευση μέσω μικρο-τσιπ, αναδεικνύονται ως υποσχόμενες λύσεις για ταχεία Point-of-Care διάγνωση, αξιοποιώντας μικρούς όγκους ολικού αίματος [11]. Παράλληλα, οι πρόσφατες εξελίξεις σε </w:t>
      </w:r>
      <w:r w:rsidR="0095202A">
        <w:rPr>
          <w:rFonts w:eastAsia="Calibri"/>
        </w:rPr>
        <w:t>ψηφιακούς προσδιορισμούς (</w:t>
      </w:r>
      <w:r w:rsidRPr="00A831E7">
        <w:rPr>
          <w:rFonts w:eastAsia="Calibri"/>
        </w:rPr>
        <w:t>digital assays</w:t>
      </w:r>
      <w:r w:rsidR="0095202A">
        <w:rPr>
          <w:rFonts w:eastAsia="Calibri"/>
        </w:rPr>
        <w:t>)</w:t>
      </w:r>
      <w:r w:rsidRPr="00A831E7">
        <w:rPr>
          <w:rFonts w:eastAsia="Calibri"/>
        </w:rPr>
        <w:t xml:space="preserve"> και στις τεχνικές απομόνωσης εξωκυτταρικών κυστιδίων (E</w:t>
      </w:r>
      <w:r w:rsidR="00C0694C" w:rsidRPr="00A831E7">
        <w:rPr>
          <w:rFonts w:eastAsia="Calibri"/>
        </w:rPr>
        <w:t>V</w:t>
      </w:r>
      <w:r w:rsidRPr="00A831E7">
        <w:rPr>
          <w:rFonts w:eastAsia="Calibri"/>
        </w:rPr>
        <w:t xml:space="preserve">s) επιτρέπουν τη γρήγορη και αποδοτική επεξεργασία με ελάχιστο όγκο δείγματος, διευκολύνοντας την ενσωμάτωση των EV βιοδεικτών σε φιλικές προς τον χρήστη διαγνωστικές πλατφόρμες Point-of-Care </w:t>
      </w:r>
      <w:r w:rsidRPr="00A831E7">
        <w:rPr>
          <w:rFonts w:eastAsia="Calibri"/>
        </w:rPr>
        <w:fldChar w:fldCharType="begin"/>
      </w:r>
      <w:r w:rsidR="00B61252">
        <w:rPr>
          <w:rFonts w:eastAsia="Calibri"/>
        </w:rPr>
        <w:instrText xml:space="preserve"> ADDIN ZOTERO_ITEM CSL_CITATION {"citationID":"Sm3YIPbQ","properties":{"formattedCitation":"[4], [105]","plainCitation":"[4], [105]","noteIndex":0},"citationItems":[{"id":259,"uris":["http://zotero.org/users/local/mfHf28QG/items/BNXINVFS"],"itemData":{"id":259,"type":"article-journal","abstract":"Stroke is the leading cause of death and neurological disorders worldwide. However, diagnostic techniques and treatments for stroke patients are still limited for certain types of stroke. Intensive research has been conducted so far to find suitable ...","container-title":"International Journal of Molecular Sciences","DOI":"10.3390/ijms23158367","issue":"15","language":"en","note":"PMID: 35955498","page":"8367","source":"pmc.ncbi.nlm.nih.gov","title":"Utility of Exosomes in Ischemic and Hemorrhagic Stroke Diagnosis and Treatment","volume":"23","author":[{"family":"Lee","given":"Eun Chae"},{"family":"Ha","given":"Tae Won"},{"family":"Lee","given":"Dong-Hun"},{"family":"Hong","given":"Dong-Yong"},{"family":"Park","given":"Sang-Won"},{"family":"Lee","given":"Ji Young"},{"family":"Lee","given":"Man Ryul"},{"family":"Oh","given":"Jae Sang"}],"issued":{"date-parts":[["2022",7,28]]}}},{"id":924,"uris":["http://zotero.org/users/local/mfHf28QG/items/MY488BZT"],"itemData":{"id":924,"type":"article-journal","abstract":"Extracellular vesicles (EVs) are complex lipid membrane vehicles with variable expressions of molecular cargo, composed of diverse subpopulations that participate in the intercellular signaling of biological responses in disease. EV-based liquid biopsies demonstrate invaluable clinical potential for overhauling current practices of disease management. Yet, EV heterogeneity is a major needle-in-a-haystack challenge to translate their use into clinical practice. In this review, existing digital assays will be discussed to analyze EVs at a single vesicle resolution, and future opportunities to optimize the throughput, multiplexing, and sensitivity of current digital EV assays will be highlighted. Furthermore, this review will outline the challenges and opportunities that impact the clinical translation of single EV technologies for disease diagnostics and treatment monitoring.","container-title":"ACS Nano","DOI":"10.1021/acsnano.2c04337","ISSN":"1936-0851","issue":"8","journalAbbreviation":"ACS Nano","note":"publisher: American Chemical Society","page":"11619-11645","source":"ACS Publications","title":"Future of Digital Assays to Resolve Clinical Heterogeneity of Single Extracellular Vesicles","volume":"16","author":[{"family":"Morales","given":"Renee-Tyler T."},{"family":"Ko","given":"Jina"}],"issued":{"date-parts":[["2022",8,23]]}}}],"schema":"https://github.com/citation-style-language/schema/raw/master/csl-citation.json"} </w:instrText>
      </w:r>
      <w:r w:rsidRPr="00A831E7">
        <w:rPr>
          <w:rFonts w:eastAsia="Calibri"/>
        </w:rPr>
        <w:fldChar w:fldCharType="separate"/>
      </w:r>
      <w:r w:rsidR="00B61252" w:rsidRPr="00B61252">
        <w:rPr>
          <w:rFonts w:eastAsia="Calibri"/>
        </w:rPr>
        <w:t>[4], [105]</w:t>
      </w:r>
      <w:r w:rsidRPr="00A831E7">
        <w:rPr>
          <w:rFonts w:eastAsia="Calibri"/>
        </w:rPr>
        <w:fldChar w:fldCharType="end"/>
      </w:r>
      <w:r w:rsidRPr="00A831E7">
        <w:rPr>
          <w:rFonts w:eastAsia="Calibri"/>
        </w:rPr>
        <w:t>.</w:t>
      </w:r>
    </w:p>
    <w:p w14:paraId="38B1B939" w14:textId="057AFC84" w:rsidR="00884A7B" w:rsidRPr="00A831E7" w:rsidRDefault="000924B0" w:rsidP="0057069D">
      <w:pPr>
        <w:spacing w:line="360" w:lineRule="auto"/>
        <w:ind w:firstLine="720"/>
        <w:jc w:val="both"/>
        <w:rPr>
          <w:rFonts w:eastAsia="Calibri"/>
        </w:rPr>
      </w:pPr>
      <w:r w:rsidRPr="00A831E7">
        <w:rPr>
          <w:rFonts w:eastAsia="Calibri"/>
        </w:rPr>
        <w:t xml:space="preserve">Πρόσφατα, η ενσωμάτωση της μηχανικής μάθησης (ML) στη διάγνωση ασθενειών έχει αποτελέσει σημαντικό ορόσημο στην εξέλιξη της υγειονομικής περίθαλψης και εφαρμόζεται όλο και περισσότερο σε ασθενείς με εγκεφαλικό επεισόδιο </w:t>
      </w:r>
      <w:r w:rsidRPr="00A831E7">
        <w:rPr>
          <w:rFonts w:eastAsia="Calibri"/>
        </w:rPr>
        <w:fldChar w:fldCharType="begin"/>
      </w:r>
      <w:r w:rsidR="00B61252">
        <w:rPr>
          <w:rFonts w:eastAsia="Calibri"/>
        </w:rPr>
        <w:instrText xml:space="preserve"> ADDIN ZOTERO_ITEM CSL_CITATION {"citationID":"Ws6XfndU","properties":{"formattedCitation":"[100]","plainCitation":"[100]","noteIndex":0},"citationItems":[{"id":1079,"uris":["http://zotero.org/users/local/mfHf28QG/items/RYIDQXHY"],"itemData":{"id":1079,"type":"article-journal","abstract":"Ischemic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Young"}],"issued":{"date-parts":[["2024",6,20]]}}}],"schema":"https://github.com/citation-style-language/schema/raw/master/csl-citation.json"} </w:instrText>
      </w:r>
      <w:r w:rsidRPr="00A831E7">
        <w:rPr>
          <w:rFonts w:eastAsia="Calibri"/>
        </w:rPr>
        <w:fldChar w:fldCharType="separate"/>
      </w:r>
      <w:r w:rsidR="00B61252" w:rsidRPr="00B61252">
        <w:rPr>
          <w:rFonts w:eastAsia="Calibri"/>
        </w:rPr>
        <w:t>[100]</w:t>
      </w:r>
      <w:r w:rsidRPr="00A831E7">
        <w:rPr>
          <w:rFonts w:eastAsia="Calibri"/>
        </w:rPr>
        <w:fldChar w:fldCharType="end"/>
      </w:r>
      <w:r w:rsidRPr="00A831E7">
        <w:rPr>
          <w:rFonts w:eastAsia="Calibri"/>
        </w:rPr>
        <w:t>. Οι ML τεχνικές διευκολύνουν την αναγνώριση σημαντικών προτύπων μέσα σε πολύπλοκα βιολογικά δεδομένα, όπως έχει ήδη παρατηρηθεί</w:t>
      </w:r>
      <w:r w:rsidR="0002795B" w:rsidRPr="00A831E7">
        <w:rPr>
          <w:rFonts w:eastAsia="Calibri"/>
        </w:rPr>
        <w:t xml:space="preserve"> σε προηγούμενα </w:t>
      </w:r>
      <w:r w:rsidR="0002795B" w:rsidRPr="00A831E7">
        <w:rPr>
          <w:rFonts w:eastAsia="Calibri"/>
        </w:rPr>
        <w:lastRenderedPageBreak/>
        <w:t>κεφάλαια</w:t>
      </w:r>
      <w:r w:rsidRPr="00A831E7">
        <w:rPr>
          <w:rFonts w:eastAsia="Calibri"/>
        </w:rPr>
        <w:t>.</w:t>
      </w:r>
      <w:r w:rsidR="0002795B" w:rsidRPr="00A831E7">
        <w:rPr>
          <w:rFonts w:eastAsia="Calibri"/>
        </w:rPr>
        <w:t xml:space="preserve"> Στην περίπτωση των εξωκυτταρικών κυστιδίων (EVs),</w:t>
      </w:r>
      <w:r w:rsidRPr="00A831E7">
        <w:rPr>
          <w:rFonts w:eastAsia="Calibri"/>
        </w:rPr>
        <w:t xml:space="preserve"> </w:t>
      </w:r>
      <w:r w:rsidR="0002795B" w:rsidRPr="00A831E7">
        <w:rPr>
          <w:rFonts w:eastAsia="Calibri"/>
        </w:rPr>
        <w:t>ε</w:t>
      </w:r>
      <w:r w:rsidRPr="00A831E7">
        <w:rPr>
          <w:rFonts w:eastAsia="Calibri"/>
        </w:rPr>
        <w:t>πιτρέπουν την ανάλυση μεγάλων συνόλων δεδομένων που σχετίζονται με το φορτίο συγκεκριμένων EVs, όπως γονίδια και επίπεδα έκφρασης miRNA</w:t>
      </w:r>
      <w:r w:rsidR="009E7C1F" w:rsidRPr="00A831E7">
        <w:rPr>
          <w:rFonts w:eastAsia="Calibri"/>
        </w:rPr>
        <w:t>. Συνθέτουν διαγνωστικά μοντέλα</w:t>
      </w:r>
      <w:r w:rsidRPr="00A831E7">
        <w:rPr>
          <w:rFonts w:eastAsia="Calibri"/>
        </w:rPr>
        <w:t xml:space="preserve"> με υψηλή ακρίβεια, συμβάλλοντας στην </w:t>
      </w:r>
      <w:r w:rsidR="0002795B" w:rsidRPr="00A831E7">
        <w:rPr>
          <w:rFonts w:eastAsia="Calibri"/>
        </w:rPr>
        <w:t>αναγνώριση</w:t>
      </w:r>
      <w:r w:rsidRPr="00A831E7">
        <w:rPr>
          <w:rFonts w:eastAsia="Calibri"/>
        </w:rPr>
        <w:t xml:space="preserve"> </w:t>
      </w:r>
      <w:r w:rsidR="009E7C1F" w:rsidRPr="00A831E7">
        <w:rPr>
          <w:rFonts w:eastAsia="Calibri"/>
        </w:rPr>
        <w:t>πολύπλοκων</w:t>
      </w:r>
      <w:r w:rsidRPr="00A831E7">
        <w:rPr>
          <w:rFonts w:eastAsia="Calibri"/>
        </w:rPr>
        <w:t xml:space="preserve"> μοτίβων και λεπτών συσχετίσεων που ενδέχεται να μην είναι άμεσα εμφανείς στους ερευνητές.</w:t>
      </w:r>
    </w:p>
    <w:p w14:paraId="6F312171" w14:textId="77777777" w:rsidR="002719A9" w:rsidRPr="00A831E7" w:rsidRDefault="002719A9" w:rsidP="00C7272A">
      <w:pPr>
        <w:spacing w:line="360" w:lineRule="auto"/>
        <w:jc w:val="both"/>
        <w:rPr>
          <w:rFonts w:eastAsia="Calibri"/>
        </w:rPr>
      </w:pPr>
    </w:p>
    <w:p w14:paraId="64E1B831" w14:textId="54D479BD" w:rsidR="00D33FD1" w:rsidRDefault="002719A9" w:rsidP="00B07E2B">
      <w:pPr>
        <w:pStyle w:val="2"/>
        <w:spacing w:line="360" w:lineRule="auto"/>
        <w:rPr>
          <w:rFonts w:ascii="Times New Roman" w:hAnsi="Times New Roman" w:cs="Times New Roman"/>
          <w:b/>
          <w:bCs/>
          <w:i/>
          <w:iCs/>
          <w:color w:val="auto"/>
          <w:sz w:val="28"/>
          <w:szCs w:val="28"/>
        </w:rPr>
      </w:pPr>
      <w:bookmarkStart w:id="139" w:name="_Toc199787414"/>
      <w:bookmarkStart w:id="140" w:name="_Toc199946485"/>
      <w:r w:rsidRPr="00A831E7">
        <w:rPr>
          <w:rFonts w:ascii="Times New Roman" w:hAnsi="Times New Roman" w:cs="Times New Roman"/>
          <w:b/>
          <w:bCs/>
          <w:i/>
          <w:iCs/>
          <w:color w:val="auto"/>
          <w:sz w:val="28"/>
          <w:szCs w:val="28"/>
        </w:rPr>
        <w:t>5.2</w:t>
      </w:r>
      <w:r w:rsidR="004F1610" w:rsidRPr="00A831E7">
        <w:rPr>
          <w:rFonts w:ascii="Times New Roman" w:hAnsi="Times New Roman" w:cs="Times New Roman"/>
          <w:b/>
          <w:bCs/>
          <w:i/>
          <w:iCs/>
          <w:color w:val="auto"/>
          <w:sz w:val="28"/>
          <w:szCs w:val="28"/>
        </w:rPr>
        <w:t xml:space="preserve"> Αξιοποίηση των</w:t>
      </w:r>
      <w:r w:rsidRPr="00A831E7">
        <w:rPr>
          <w:rFonts w:ascii="Times New Roman" w:hAnsi="Times New Roman" w:cs="Times New Roman"/>
          <w:b/>
          <w:bCs/>
          <w:i/>
          <w:iCs/>
          <w:color w:val="auto"/>
          <w:sz w:val="28"/>
          <w:szCs w:val="28"/>
        </w:rPr>
        <w:t xml:space="preserve"> </w:t>
      </w:r>
      <w:r w:rsidR="004F1610" w:rsidRPr="00A831E7">
        <w:rPr>
          <w:rFonts w:ascii="Times New Roman" w:hAnsi="Times New Roman" w:cs="Times New Roman"/>
          <w:b/>
          <w:bCs/>
          <w:i/>
          <w:iCs/>
          <w:color w:val="auto"/>
          <w:sz w:val="28"/>
          <w:szCs w:val="28"/>
        </w:rPr>
        <w:t>EVs στη Διάγνωση του Εγκεφαλικού Επεισοδίου</w:t>
      </w:r>
      <w:bookmarkEnd w:id="139"/>
      <w:bookmarkEnd w:id="140"/>
    </w:p>
    <w:p w14:paraId="58DE2DF7" w14:textId="77777777" w:rsidR="00B07E2B" w:rsidRPr="00B07E2B" w:rsidRDefault="00B07E2B" w:rsidP="00B07E2B"/>
    <w:p w14:paraId="3BE2BCBD" w14:textId="64AD2774" w:rsidR="004F1610" w:rsidRPr="00A831E7" w:rsidRDefault="004F1610" w:rsidP="0057069D">
      <w:pPr>
        <w:spacing w:line="360" w:lineRule="auto"/>
        <w:ind w:firstLine="720"/>
        <w:jc w:val="both"/>
        <w:rPr>
          <w:rFonts w:eastAsia="Calibri"/>
        </w:rPr>
      </w:pPr>
      <w:r w:rsidRPr="00A831E7">
        <w:rPr>
          <w:rFonts w:eastAsia="Calibri"/>
        </w:rPr>
        <w:t>Τα εξωκυτταρικά κυστίδια (</w:t>
      </w:r>
      <w:r w:rsidR="00C0694C" w:rsidRPr="00A831E7">
        <w:rPr>
          <w:rFonts w:eastAsia="Calibri"/>
        </w:rPr>
        <w:t>EVs</w:t>
      </w:r>
      <w:r w:rsidRPr="00A831E7">
        <w:rPr>
          <w:rFonts w:eastAsia="Calibri"/>
        </w:rPr>
        <w:t xml:space="preserve">) φέρουν ένα μοναδικό μοριακό προφίλ που αντανακλά τα χαρακτηριστικά των κυττάρων από τα οποία προέρχονται. Διάφοροι τύποι κυττάρων του εγκεφάλου και του κυκλοφορικού συστήματος παράγουν </w:t>
      </w:r>
      <w:r w:rsidR="00C0694C" w:rsidRPr="00A831E7">
        <w:rPr>
          <w:rFonts w:eastAsia="Calibri"/>
        </w:rPr>
        <w:t>EVs</w:t>
      </w:r>
      <w:r w:rsidRPr="00A831E7">
        <w:rPr>
          <w:rFonts w:eastAsia="Calibri"/>
        </w:rPr>
        <w:t xml:space="preserve"> που απελευθερώνονται στο αίμα κατά τη διάρκεια</w:t>
      </w:r>
      <w:r w:rsidR="00820B6C" w:rsidRPr="00A831E7">
        <w:rPr>
          <w:rFonts w:eastAsia="Calibri"/>
        </w:rPr>
        <w:t xml:space="preserve"> του</w:t>
      </w:r>
      <w:r w:rsidRPr="00A831E7">
        <w:rPr>
          <w:rFonts w:eastAsia="Calibri"/>
        </w:rPr>
        <w:t xml:space="preserve"> εγκεφαλικού επεισοδίου, συμπεριλαμβανομένων νευρικών κυττάρων, αιμοκυττάρων και αγγειακών κυττάρων, όπως ενδοθηλιακά κύτταρα, αιμοπετάλια, ερυθροκύτταρα, κοκκιοκύτταρα και λευκοκύτταρα. Αν και η απελευθέρωση </w:t>
      </w:r>
      <w:r w:rsidR="00C0694C" w:rsidRPr="00A831E7">
        <w:rPr>
          <w:rFonts w:eastAsia="Calibri"/>
        </w:rPr>
        <w:t>EVs</w:t>
      </w:r>
      <w:r w:rsidRPr="00A831E7">
        <w:rPr>
          <w:rFonts w:eastAsia="Calibri"/>
        </w:rPr>
        <w:t xml:space="preserve"> συμβαίνει καθ’ όλη τη διάρκεια του εγκεφαλικού επεισοδίου, εκείνα που εκκρίνονται στην οξεία φάση είναι ιδιαιτέρως χρήσιμα για διαγνωστικές εφαρμογές </w:t>
      </w:r>
      <w:r w:rsidR="00820B6C" w:rsidRPr="00A831E7">
        <w:rPr>
          <w:rFonts w:eastAsia="Calibri"/>
        </w:rPr>
        <w:t>point-of-care</w:t>
      </w:r>
      <w:r w:rsidRPr="00A831E7">
        <w:rPr>
          <w:rFonts w:eastAsia="Calibri"/>
        </w:rPr>
        <w:t xml:space="preserve"> (</w:t>
      </w:r>
      <w:r w:rsidR="00C0694C" w:rsidRPr="00A831E7">
        <w:rPr>
          <w:rFonts w:eastAsia="Calibri"/>
        </w:rPr>
        <w:t>PoC</w:t>
      </w:r>
      <w:r w:rsidRPr="00A831E7">
        <w:rPr>
          <w:rFonts w:eastAsia="Calibri"/>
        </w:rPr>
        <w:t xml:space="preserve">) </w:t>
      </w:r>
      <w:r w:rsidRPr="00A831E7">
        <w:rPr>
          <w:rFonts w:eastAsia="Calibri"/>
        </w:rPr>
        <w:fldChar w:fldCharType="begin"/>
      </w:r>
      <w:r w:rsidRPr="00A831E7">
        <w:rPr>
          <w:rFonts w:eastAsia="Calibri"/>
        </w:rPr>
        <w:instrText xml:space="preserve"> ADDIN ZOTERO_ITEM CSL_CITATION {"citationID":"PC3NhCjf","properties":{"formattedCitation":"[11]","plainCitation":"[11]","noteIndex":0},"citationItems":[{"id":127,"uris":["http://zotero.org/users/local/mfHf28QG/items/NIFKWPSY"],"itemData":{"id":127,"type":"article-journal","abstract":"There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Pr="00A831E7">
        <w:rPr>
          <w:rFonts w:eastAsia="Calibri"/>
        </w:rPr>
        <w:fldChar w:fldCharType="separate"/>
      </w:r>
      <w:r w:rsidRPr="00A831E7">
        <w:rPr>
          <w:rFonts w:eastAsia="Calibri"/>
        </w:rPr>
        <w:t>[11]</w:t>
      </w:r>
      <w:r w:rsidRPr="00A831E7">
        <w:rPr>
          <w:rFonts w:eastAsia="Calibri"/>
        </w:rPr>
        <w:fldChar w:fldCharType="end"/>
      </w:r>
      <w:r w:rsidRPr="00A831E7">
        <w:rPr>
          <w:rFonts w:eastAsia="Calibri"/>
        </w:rPr>
        <w:t xml:space="preserve">. </w:t>
      </w:r>
    </w:p>
    <w:p w14:paraId="7AAB40AE" w14:textId="31425A5C" w:rsidR="00A86736" w:rsidRPr="00A831E7" w:rsidRDefault="00A86736" w:rsidP="0057069D">
      <w:pPr>
        <w:spacing w:line="360" w:lineRule="auto"/>
        <w:jc w:val="both"/>
        <w:rPr>
          <w:rFonts w:eastAsia="Calibri"/>
        </w:rPr>
      </w:pPr>
      <w:r w:rsidRPr="00A831E7">
        <w:rPr>
          <w:rFonts w:eastAsia="Calibri"/>
        </w:rPr>
        <w:t xml:space="preserve"> </w:t>
      </w:r>
      <w:r w:rsidRPr="00A831E7">
        <w:rPr>
          <w:rFonts w:eastAsia="Calibri"/>
        </w:rPr>
        <w:tab/>
        <w:t>Οι πρόσφατες έρευνες στη διάγνωση με χρήση EVs επικεντρώνονται κυρίως στο ισχαιμικό εγκεφαλικό επεισόδιο (IS), ενώ το αιμορραγικό (HS) έχει μελετηθεί λιγότερο στον συγκεκριμένο τομέα</w:t>
      </w:r>
      <w:r w:rsidR="00820B6C" w:rsidRPr="00A831E7">
        <w:rPr>
          <w:rFonts w:eastAsia="Calibri"/>
        </w:rPr>
        <w:t>,</w:t>
      </w:r>
      <w:r w:rsidRPr="00A831E7">
        <w:rPr>
          <w:rFonts w:eastAsia="Calibri"/>
        </w:rPr>
        <w:t xml:space="preserve"> κυρίως λόγω της φύσης του HS και της ταχύτητας που διασπά τον φραγμό BBB</w:t>
      </w:r>
      <w:r w:rsidR="00820B6C" w:rsidRPr="00A831E7">
        <w:rPr>
          <w:rFonts w:eastAsia="Calibri"/>
        </w:rPr>
        <w:t>,</w:t>
      </w:r>
      <w:r w:rsidRPr="00A831E7">
        <w:rPr>
          <w:rFonts w:eastAsia="Calibri"/>
        </w:rPr>
        <w:t xml:space="preserve"> σε αντίθεση με το IS</w:t>
      </w:r>
      <w:r w:rsidR="00820B6C" w:rsidRPr="00A831E7">
        <w:rPr>
          <w:rFonts w:eastAsia="Calibri"/>
        </w:rPr>
        <w:t>,</w:t>
      </w:r>
      <w:r w:rsidRPr="00A831E7">
        <w:rPr>
          <w:rFonts w:eastAsia="Calibri"/>
        </w:rPr>
        <w:t xml:space="preserve"> όπου αυτό γίνεται σταδιακά. Επομένως στο HS</w:t>
      </w:r>
      <w:r w:rsidR="00820B6C" w:rsidRPr="00A831E7">
        <w:rPr>
          <w:rFonts w:eastAsia="Calibri"/>
        </w:rPr>
        <w:t xml:space="preserve"> εκτός από EVs,</w:t>
      </w:r>
      <w:r w:rsidRPr="00A831E7">
        <w:rPr>
          <w:rFonts w:eastAsia="Calibri"/>
        </w:rPr>
        <w:t xml:space="preserve"> απελευθερώνονται </w:t>
      </w:r>
      <w:r w:rsidR="00820B6C" w:rsidRPr="00A831E7">
        <w:rPr>
          <w:rFonts w:eastAsia="Calibri"/>
        </w:rPr>
        <w:t xml:space="preserve">ενδεχομένως </w:t>
      </w:r>
      <w:r w:rsidRPr="00A831E7">
        <w:rPr>
          <w:rFonts w:eastAsia="Calibri"/>
        </w:rPr>
        <w:t>νωρίτερα και άλλοι βιοδείκτες</w:t>
      </w:r>
      <w:r w:rsidR="00820B6C" w:rsidRPr="00A831E7">
        <w:rPr>
          <w:rFonts w:eastAsia="Calibri"/>
        </w:rPr>
        <w:t xml:space="preserve"> από το NVU,</w:t>
      </w:r>
      <w:r w:rsidRPr="00A831E7">
        <w:rPr>
          <w:rFonts w:eastAsia="Calibri"/>
        </w:rPr>
        <w:t xml:space="preserve"> </w:t>
      </w:r>
      <w:r w:rsidR="00820B6C" w:rsidRPr="00A831E7">
        <w:rPr>
          <w:rFonts w:eastAsia="Calibri"/>
        </w:rPr>
        <w:t>οι οποίοι</w:t>
      </w:r>
      <w:r w:rsidRPr="00A831E7">
        <w:rPr>
          <w:rFonts w:eastAsia="Calibri"/>
        </w:rPr>
        <w:t xml:space="preserve"> ανιχνεύονται με μεγαλύτερη ευκολία και ταχύτητα.</w:t>
      </w:r>
    </w:p>
    <w:p w14:paraId="328BF4D8" w14:textId="798BCCED" w:rsidR="00B07E2B" w:rsidRDefault="004F1610" w:rsidP="0057069D">
      <w:pPr>
        <w:spacing w:line="360" w:lineRule="auto"/>
        <w:ind w:firstLine="720"/>
        <w:jc w:val="both"/>
        <w:rPr>
          <w:rFonts w:eastAsia="Calibri"/>
        </w:rPr>
      </w:pPr>
      <w:r w:rsidRPr="00A831E7">
        <w:rPr>
          <w:rFonts w:eastAsia="Calibri"/>
        </w:rPr>
        <w:t>Ένας τρόπος αξιοποίησης των εξωκυτταρικών κυστιδίων (EVs) είναι η μέτρηση της ποσότητας αυτών σε ορό, πλάσμα ή ολικό αίμα</w:t>
      </w:r>
      <w:r w:rsidR="001B617E" w:rsidRPr="00A831E7">
        <w:rPr>
          <w:rFonts w:eastAsia="Calibri"/>
        </w:rPr>
        <w:t>,</w:t>
      </w:r>
      <w:r w:rsidRPr="00A831E7">
        <w:rPr>
          <w:rFonts w:eastAsia="Calibri"/>
        </w:rPr>
        <w:t xml:space="preserve"> κατά τη οξεία φάση των συμπτωμάτων</w:t>
      </w:r>
      <w:r w:rsidR="001B617E" w:rsidRPr="00A831E7">
        <w:rPr>
          <w:rFonts w:eastAsia="Calibri"/>
        </w:rPr>
        <w:t>,</w:t>
      </w:r>
      <w:r w:rsidRPr="00A831E7">
        <w:rPr>
          <w:rFonts w:eastAsia="Calibri"/>
        </w:rPr>
        <w:t xml:space="preserve"> και η περαιτέρω σύγκριση των τιμών με υγιή δείγματα ή και δείγματα από άλλους τύπους εγκεφαλικού</w:t>
      </w:r>
      <w:r w:rsidR="001B617E" w:rsidRPr="00A831E7">
        <w:rPr>
          <w:rFonts w:eastAsia="Calibri"/>
        </w:rPr>
        <w:t xml:space="preserve"> αλλά</w:t>
      </w:r>
      <w:r w:rsidRPr="00A831E7">
        <w:rPr>
          <w:rFonts w:eastAsia="Calibri"/>
        </w:rPr>
        <w:t xml:space="preserve"> και mimics (SMs) .</w:t>
      </w:r>
      <w:r w:rsidR="001B617E" w:rsidRPr="00A831E7">
        <w:rPr>
          <w:rFonts w:eastAsia="Calibri"/>
        </w:rPr>
        <w:t xml:space="preserve"> Για παράδειγμα η αύξηση των επιπέδων ενθοθηλιακών EVs έχει συνδεθεί με το ισχαιμικό εγκεφαλικό (IS) σε συγκρίσεις με υγιή δείγματα, και βάσει των επίπεδων </w:t>
      </w:r>
      <w:r w:rsidR="00D15AD5" w:rsidRPr="00A831E7">
        <w:rPr>
          <w:rFonts w:eastAsia="Calibri"/>
        </w:rPr>
        <w:t xml:space="preserve">τους </w:t>
      </w:r>
      <w:r w:rsidR="001B617E" w:rsidRPr="00A831E7">
        <w:rPr>
          <w:rFonts w:eastAsia="Calibri"/>
        </w:rPr>
        <w:t xml:space="preserve">γίνεται δυνατή  η διάκριση μεταξύ της σοβαρότητας των περιστατικών </w:t>
      </w:r>
      <w:r w:rsidR="001B617E" w:rsidRPr="00A831E7">
        <w:rPr>
          <w:rFonts w:eastAsia="Calibri"/>
        </w:rPr>
        <w:fldChar w:fldCharType="begin"/>
      </w:r>
      <w:r w:rsidR="00B61252">
        <w:rPr>
          <w:rFonts w:eastAsia="Calibri"/>
        </w:rPr>
        <w:instrText xml:space="preserve"> ADDIN ZOTERO_ITEM CSL_CITATION {"citationID":"FIzwm4IZ","properties":{"formattedCitation":"[106]","plainCitation":"[106]","noteIndex":0},"citationItems":[{"id":1093,"uris":["http://zotero.org/users/local/mfHf28QG/items/9KX5HGRG"],"itemData":{"id":1093,"type":"article-journal","abstract":"&lt;h3&gt;Summary&lt;/h3&gt;&lt;p&gt;&lt;i&gt;Background:&lt;/i&gt; Endothelial membrane microparticles (EMP) in plasma are elevated in several vascular diseases. &lt;i&gt;Objectives:&lt;/i&gt; To test the hypothesis that EMP would be increased in patients with acute ischemic stroke and would correlate with stroke severity, brain lesion volume and outcome. &lt;i&gt;Patients and methods:&lt;/i&gt; Forty‐one patients were studied and divided into two groups based on the National Institutes of Health Stroke Scale (NIHSS) score: 20 patients with mild stroke (NIHSS score &lt; 5) and 21 patients with moderate–severe stroke (NIHSS score ≥ 5). Lesion volume was measured using diffusion‐weighted magnetic resonance imaging and discharge outcome was based on the discharge Barthel and Rankin scores. Twenty‐three age‐matched control subjects were also studied. Using flow cytometry, endoglin‐positive EMP: CD105&lt;sup&gt;+&lt;/sup&gt; CD41a&lt;sup&gt;−&lt;/sup&gt;CD45&lt;sup&gt;−&lt;/sup&gt; (E&lt;sup&gt;+&lt;/sup&gt;EMP), specific endothelial EMP expressing VE‐cadherin and endoglin: CD105&lt;sup&gt;+&lt;/sup&gt;CD144&lt;sup&gt;+&lt;/sup&gt; (C&lt;sup&gt;+&lt;/sup&gt;EMP), EMP expressing phosphatidylserine: CD105&lt;sup&gt;+&lt;/sup&gt;PS&lt;sup&gt;+&lt;/sup&gt; CD41a&lt;sup&gt;−&lt;/sup&gt; (PS&lt;sup&gt;+&lt;/sup&gt;EMP) and EMP expressing ICAM‐1: CD105&lt;sup&gt;+&lt;/sup&gt;CD54&lt;sup&gt;+&lt;/sup&gt; CD45&lt;sup&gt;−&lt;/sup&gt; (I&lt;sup&gt;+&lt;/sup&gt;EMP) were analyzed. &lt;i&gt;Results:&lt;/i&gt; Significantly higher PS&lt;sup&gt;+&lt;/sup&gt;EMP counts were observed in the group of acute ischemic stroke patients [median 59 (25th–75th percentile: 28–86) MP &lt;i&gt;μ&lt;/i&gt;L&lt;sup&gt;−1&lt;/sup&gt;] relative to the controls [28 (14–36) MP &lt;i&gt;μ&lt;/i&gt;L&lt;sup&gt;−1&lt;/sup&gt;] (&lt;i&gt;P&lt;/i&gt; = 0.002). All four EMP phenotypes studied were elevated in the subgroup of moderate–severe stroke patients relative to the controls (all &lt;i&gt;P&lt;/i&gt; &lt; 0.05). In the patients with acute ischemic stroke three EMP phenotypes (E&lt;sup&gt;+&lt;/sup&gt;EMP, PS&lt;sup&gt;+&lt;/sup&gt;EMP and I&lt;sup&gt;+&lt;/sup&gt;EMP) correlated significantly with brain lesion volume, with I&lt;sup&gt;+&lt;/sup&gt;EMP (&lt;i&gt;P&lt;/i&gt; = 0.002) showing the strongest correlation. Admission counts of C&lt;sup&gt;+&lt;/sup&gt;EMP (&lt;i&gt;P&lt;/i&gt; = 0.0003) and E&lt;sup&gt;+&lt;/sup&gt;EMP (&lt;i&gt;P&lt;/i&gt; = 0.003) correlated significantly with discharge clinical outcome. &lt;i&gt;Conclusions:&lt;/i&gt; Certain circulating EMP phenotypes may be associated with severity, lesion volume and outcome of acute ischemic stroke. EMP analysis shows promising contribution to understanding stroke pathophysiology.&lt;/p&gt;","container-title":"Journal of Thrombosis and Haemostasis","DOI":"10.1111/j.1538-7836.2006.01911.x","ISSN":"1538-7836, 1538-7933","issue":"6","journalAbbreviation":"Journal of Thrombosis and Haemostasis","language":"English","note":"publisher: Elsevier","page":"1296-1302","source":"www.jthjournal.org","title":"Circulating endothelial microparticles in acute ischemic stroke: a link to severity, lesion volume and outcome","title-short":"Circulating endothelial microparticles in acute ischemic stroke","volume":"4","author":[{"family":"Simak","given":"J."},{"family":"Gelderman","given":"M. P."},{"family":"Yu","given":"H."},{"family":"Wright","given":"V."},{"family":"Baird","given":"A. E."}],"issued":{"date-parts":[["2006",6,1]]}}}],"schema":"https://github.com/citation-style-language/schema/raw/master/csl-citation.json"} </w:instrText>
      </w:r>
      <w:r w:rsidR="001B617E" w:rsidRPr="00A831E7">
        <w:rPr>
          <w:rFonts w:eastAsia="Calibri"/>
        </w:rPr>
        <w:fldChar w:fldCharType="separate"/>
      </w:r>
      <w:r w:rsidR="00B61252" w:rsidRPr="00B61252">
        <w:rPr>
          <w:rFonts w:eastAsia="Calibri"/>
        </w:rPr>
        <w:t>[106]</w:t>
      </w:r>
      <w:r w:rsidR="001B617E" w:rsidRPr="00A831E7">
        <w:rPr>
          <w:rFonts w:eastAsia="Calibri"/>
        </w:rPr>
        <w:fldChar w:fldCharType="end"/>
      </w:r>
      <w:r w:rsidR="001B617E" w:rsidRPr="00A831E7">
        <w:rPr>
          <w:rFonts w:eastAsia="Calibri"/>
        </w:rPr>
        <w:t>.</w:t>
      </w:r>
      <w:r w:rsidR="00D15AD5" w:rsidRPr="00A831E7">
        <w:rPr>
          <w:rFonts w:eastAsia="Calibri"/>
        </w:rPr>
        <w:t xml:space="preserve"> Παρόμοιες έρευνες έχουν πραγματοποιηθεί και για EVs διάφορων προελεύσεων</w:t>
      </w:r>
      <w:r w:rsidR="00825EDF" w:rsidRPr="00A831E7">
        <w:rPr>
          <w:rFonts w:eastAsia="Calibri"/>
        </w:rPr>
        <w:t xml:space="preserve">, όπως αιμοπετάλια </w:t>
      </w:r>
      <w:r w:rsidR="00825EDF" w:rsidRPr="00A831E7">
        <w:rPr>
          <w:rFonts w:eastAsia="Calibri"/>
        </w:rPr>
        <w:fldChar w:fldCharType="begin"/>
      </w:r>
      <w:r w:rsidR="00825EDF" w:rsidRPr="00A831E7">
        <w:rPr>
          <w:rFonts w:eastAsia="Calibri"/>
        </w:rPr>
        <w:instrText xml:space="preserve"> ADDIN ZOTERO_ITEM CSL_CITATION {"citationID":"ntqN6iAK","properties":{"formattedCitation":"[11]","plainCitation":"[11]","noteIndex":0},"citationItems":[{"id":127,"uris":["http://zotero.org/users/local/mfHf28QG/items/NIFKWPSY"],"itemData":{"id":127,"type":"article-journal","abstract":"There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00825EDF" w:rsidRPr="00A831E7">
        <w:rPr>
          <w:rFonts w:eastAsia="Calibri"/>
        </w:rPr>
        <w:fldChar w:fldCharType="separate"/>
      </w:r>
      <w:r w:rsidR="00825EDF" w:rsidRPr="00A831E7">
        <w:rPr>
          <w:rFonts w:eastAsia="Calibri"/>
        </w:rPr>
        <w:t>[11]</w:t>
      </w:r>
      <w:r w:rsidR="00825EDF" w:rsidRPr="00A831E7">
        <w:rPr>
          <w:rFonts w:eastAsia="Calibri"/>
        </w:rPr>
        <w:fldChar w:fldCharType="end"/>
      </w:r>
      <w:r w:rsidR="00825EDF" w:rsidRPr="00A831E7">
        <w:rPr>
          <w:rFonts w:eastAsia="Calibri"/>
        </w:rPr>
        <w:t xml:space="preserve">. </w:t>
      </w:r>
      <w:r w:rsidR="00B07E2B">
        <w:rPr>
          <w:rFonts w:eastAsia="Calibri"/>
        </w:rPr>
        <w:br/>
      </w:r>
      <w:r w:rsidR="00B07E2B">
        <w:rPr>
          <w:rFonts w:eastAsia="Calibri"/>
        </w:rPr>
        <w:tab/>
      </w:r>
    </w:p>
    <w:p w14:paraId="3640F30D" w14:textId="75D61FB9" w:rsidR="004F1610" w:rsidRPr="00B07E2B" w:rsidRDefault="00B07E2B" w:rsidP="0057069D">
      <w:pPr>
        <w:spacing w:line="360" w:lineRule="auto"/>
        <w:ind w:firstLine="720"/>
        <w:jc w:val="both"/>
        <w:rPr>
          <w:rFonts w:eastAsia="Calibri"/>
        </w:rPr>
      </w:pPr>
      <w:r w:rsidRPr="00A831E7">
        <w:rPr>
          <w:rFonts w:eastAsia="Calibri"/>
        </w:rPr>
        <w:lastRenderedPageBreak/>
        <w:t>Εκτός από την ταυτοποίησή τους βάσει των επιφανειακών δεικτών τους</w:t>
      </w:r>
      <w:r w:rsidRPr="001470B4">
        <w:rPr>
          <w:rFonts w:eastAsia="Calibri"/>
        </w:rPr>
        <w:t xml:space="preserve"> </w:t>
      </w:r>
      <w:r>
        <w:rPr>
          <w:rFonts w:eastAsia="Calibri"/>
        </w:rPr>
        <w:t>και πληθυσμιακές μετρήσεις</w:t>
      </w:r>
      <w:r w:rsidRPr="00A831E7">
        <w:rPr>
          <w:rFonts w:eastAsia="Calibri"/>
        </w:rPr>
        <w:t>, τα εξωκυτταρικά κυστίδια (EVs) περιέχουν βιοδραστικά μόρια που μπορούν να αξιοποιηθούν ως βιοδείκτες (</w:t>
      </w:r>
      <w:r w:rsidRPr="00A831E7">
        <w:rPr>
          <w:rFonts w:eastAsia="Calibri"/>
          <w:i/>
          <w:iCs/>
        </w:rPr>
        <w:t>Πίνακας 19</w:t>
      </w:r>
      <w:r w:rsidRPr="00A831E7">
        <w:rPr>
          <w:rFonts w:eastAsia="Calibri"/>
        </w:rPr>
        <w:t>)</w:t>
      </w:r>
      <w:r>
        <w:rPr>
          <w:rFonts w:eastAsia="Calibri"/>
        </w:rPr>
        <w:t>:</w:t>
      </w:r>
    </w:p>
    <w:p w14:paraId="3D1BEF95" w14:textId="77777777" w:rsidR="00956A99" w:rsidRPr="00A831E7" w:rsidRDefault="00956A99" w:rsidP="00B07E2B">
      <w:pPr>
        <w:spacing w:line="360" w:lineRule="auto"/>
        <w:jc w:val="both"/>
        <w:rPr>
          <w:rFonts w:eastAsia="Calibri"/>
        </w:rPr>
      </w:pPr>
    </w:p>
    <w:p w14:paraId="74B1681E" w14:textId="260EDF3A" w:rsidR="00810A8F" w:rsidRPr="00A831E7" w:rsidRDefault="008D7AC7" w:rsidP="0057069D">
      <w:pPr>
        <w:pStyle w:val="af5"/>
        <w:spacing w:line="360" w:lineRule="auto"/>
        <w:jc w:val="center"/>
        <w:rPr>
          <w:b/>
          <w:bCs/>
          <w:color w:val="auto"/>
          <w:sz w:val="20"/>
          <w:szCs w:val="20"/>
        </w:rPr>
      </w:pPr>
      <w:bookmarkStart w:id="141" w:name="_Toc199787754"/>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19</w:t>
      </w:r>
      <w:r w:rsidRPr="00A831E7">
        <w:rPr>
          <w:b/>
          <w:bCs/>
          <w:color w:val="auto"/>
          <w:sz w:val="20"/>
          <w:szCs w:val="20"/>
        </w:rPr>
        <w:fldChar w:fldCharType="end"/>
      </w:r>
      <w:r w:rsidRPr="00A831E7">
        <w:rPr>
          <w:b/>
          <w:bCs/>
          <w:color w:val="auto"/>
          <w:sz w:val="20"/>
          <w:szCs w:val="20"/>
        </w:rPr>
        <w:t>: EVs στη Διάγνωση Εγκεφαλικού Επεισοδίου</w:t>
      </w:r>
      <w:bookmarkEnd w:id="141"/>
    </w:p>
    <w:tbl>
      <w:tblPr>
        <w:tblStyle w:val="af0"/>
        <w:tblW w:w="5000" w:type="pct"/>
        <w:tblLayout w:type="fixed"/>
        <w:tblLook w:val="04A0" w:firstRow="1" w:lastRow="0" w:firstColumn="1" w:lastColumn="0" w:noHBand="0" w:noVBand="1"/>
      </w:tblPr>
      <w:tblGrid>
        <w:gridCol w:w="1120"/>
        <w:gridCol w:w="1701"/>
        <w:gridCol w:w="707"/>
        <w:gridCol w:w="1135"/>
        <w:gridCol w:w="851"/>
        <w:gridCol w:w="707"/>
        <w:gridCol w:w="711"/>
        <w:gridCol w:w="707"/>
        <w:gridCol w:w="643"/>
      </w:tblGrid>
      <w:tr w:rsidR="008D7AC7" w:rsidRPr="00A831E7" w14:paraId="776308A1" w14:textId="77777777" w:rsidTr="0057069D">
        <w:trPr>
          <w:trHeight w:val="636"/>
          <w:tblHeader/>
        </w:trPr>
        <w:tc>
          <w:tcPr>
            <w:tcW w:w="676" w:type="pct"/>
            <w:tcBorders>
              <w:top w:val="single" w:sz="12" w:space="0" w:color="auto"/>
              <w:left w:val="single" w:sz="12" w:space="0" w:color="auto"/>
              <w:bottom w:val="single" w:sz="12" w:space="0" w:color="auto"/>
            </w:tcBorders>
            <w:shd w:val="clear" w:color="auto" w:fill="D9D9D9" w:themeFill="background1" w:themeFillShade="D9"/>
          </w:tcPr>
          <w:p w14:paraId="4054F1E5" w14:textId="77777777" w:rsidR="008D7AC7" w:rsidRPr="00A831E7" w:rsidRDefault="008D7AC7" w:rsidP="00810A8F">
            <w:pPr>
              <w:jc w:val="center"/>
              <w:rPr>
                <w:b/>
                <w:bCs/>
                <w:i/>
                <w:iCs/>
                <w:sz w:val="20"/>
                <w:szCs w:val="20"/>
              </w:rPr>
            </w:pPr>
            <w:r w:rsidRPr="00A831E7">
              <w:rPr>
                <w:b/>
                <w:bCs/>
                <w:i/>
                <w:iCs/>
                <w:sz w:val="20"/>
                <w:szCs w:val="20"/>
              </w:rPr>
              <w:t>EVs</w:t>
            </w:r>
          </w:p>
        </w:tc>
        <w:tc>
          <w:tcPr>
            <w:tcW w:w="1027" w:type="pct"/>
            <w:tcBorders>
              <w:top w:val="single" w:sz="12" w:space="0" w:color="auto"/>
              <w:bottom w:val="single" w:sz="12" w:space="0" w:color="auto"/>
            </w:tcBorders>
            <w:shd w:val="clear" w:color="auto" w:fill="D9D9D9" w:themeFill="background1" w:themeFillShade="D9"/>
          </w:tcPr>
          <w:p w14:paraId="15D0A886" w14:textId="77777777" w:rsidR="008D7AC7" w:rsidRPr="00A831E7" w:rsidRDefault="008D7AC7" w:rsidP="00810A8F">
            <w:pPr>
              <w:jc w:val="center"/>
              <w:rPr>
                <w:b/>
                <w:bCs/>
                <w:i/>
                <w:iCs/>
                <w:sz w:val="20"/>
                <w:szCs w:val="20"/>
              </w:rPr>
            </w:pPr>
            <w:r w:rsidRPr="00A831E7">
              <w:rPr>
                <w:b/>
                <w:bCs/>
                <w:i/>
                <w:iCs/>
                <w:sz w:val="20"/>
                <w:szCs w:val="20"/>
              </w:rPr>
              <w:t>EVs function/source</w:t>
            </w:r>
          </w:p>
        </w:tc>
        <w:tc>
          <w:tcPr>
            <w:tcW w:w="427" w:type="pct"/>
            <w:tcBorders>
              <w:top w:val="single" w:sz="12" w:space="0" w:color="auto"/>
              <w:bottom w:val="single" w:sz="12" w:space="0" w:color="auto"/>
            </w:tcBorders>
            <w:shd w:val="clear" w:color="auto" w:fill="D9D9D9" w:themeFill="background1" w:themeFillShade="D9"/>
          </w:tcPr>
          <w:p w14:paraId="00DDD75A" w14:textId="77777777" w:rsidR="008D7AC7" w:rsidRPr="00A831E7" w:rsidRDefault="008D7AC7" w:rsidP="00810A8F">
            <w:pPr>
              <w:jc w:val="center"/>
              <w:rPr>
                <w:b/>
                <w:bCs/>
                <w:i/>
                <w:iCs/>
                <w:sz w:val="20"/>
                <w:szCs w:val="20"/>
              </w:rPr>
            </w:pPr>
            <w:r w:rsidRPr="00A831E7">
              <w:rPr>
                <w:b/>
                <w:bCs/>
                <w:i/>
                <w:iCs/>
                <w:sz w:val="20"/>
                <w:szCs w:val="20"/>
              </w:rPr>
              <w:t xml:space="preserve">Ts </w:t>
            </w:r>
            <w:r w:rsidRPr="00A831E7">
              <w:rPr>
                <w:b/>
                <w:bCs/>
                <w:i/>
                <w:iCs/>
                <w:sz w:val="16"/>
                <w:szCs w:val="16"/>
              </w:rPr>
              <w:t>&amp;</w:t>
            </w:r>
            <w:r w:rsidRPr="00A831E7">
              <w:rPr>
                <w:b/>
                <w:bCs/>
                <w:i/>
                <w:iCs/>
                <w:sz w:val="16"/>
                <w:szCs w:val="16"/>
              </w:rPr>
              <w:br/>
              <w:t>Source</w:t>
            </w:r>
          </w:p>
        </w:tc>
        <w:tc>
          <w:tcPr>
            <w:tcW w:w="685" w:type="pct"/>
            <w:tcBorders>
              <w:top w:val="single" w:sz="12" w:space="0" w:color="auto"/>
              <w:bottom w:val="single" w:sz="12" w:space="0" w:color="auto"/>
            </w:tcBorders>
            <w:shd w:val="clear" w:color="auto" w:fill="D9D9D9" w:themeFill="background1" w:themeFillShade="D9"/>
          </w:tcPr>
          <w:p w14:paraId="599B53C9" w14:textId="77777777" w:rsidR="008D7AC7" w:rsidRPr="00A831E7" w:rsidRDefault="008D7AC7" w:rsidP="00810A8F">
            <w:pPr>
              <w:jc w:val="center"/>
              <w:rPr>
                <w:b/>
                <w:bCs/>
                <w:i/>
                <w:iCs/>
                <w:sz w:val="20"/>
                <w:szCs w:val="20"/>
              </w:rPr>
            </w:pPr>
            <w:r w:rsidRPr="00A831E7">
              <w:rPr>
                <w:b/>
                <w:bCs/>
                <w:i/>
                <w:iCs/>
                <w:sz w:val="20"/>
                <w:szCs w:val="20"/>
              </w:rPr>
              <w:t>Methods</w:t>
            </w:r>
          </w:p>
        </w:tc>
        <w:tc>
          <w:tcPr>
            <w:tcW w:w="514" w:type="pct"/>
            <w:tcBorders>
              <w:top w:val="single" w:sz="12" w:space="0" w:color="auto"/>
              <w:bottom w:val="single" w:sz="12" w:space="0" w:color="auto"/>
            </w:tcBorders>
            <w:shd w:val="clear" w:color="auto" w:fill="D9D9D9" w:themeFill="background1" w:themeFillShade="D9"/>
          </w:tcPr>
          <w:p w14:paraId="36EA39C9" w14:textId="77777777" w:rsidR="008D7AC7" w:rsidRPr="00A831E7" w:rsidRDefault="008D7AC7" w:rsidP="00810A8F">
            <w:pPr>
              <w:jc w:val="center"/>
              <w:rPr>
                <w:b/>
                <w:bCs/>
                <w:i/>
                <w:iCs/>
                <w:sz w:val="20"/>
                <w:szCs w:val="20"/>
              </w:rPr>
            </w:pPr>
            <w:r w:rsidRPr="00A831E7">
              <w:rPr>
                <w:b/>
                <w:bCs/>
                <w:i/>
                <w:iCs/>
                <w:sz w:val="20"/>
                <w:szCs w:val="20"/>
              </w:rPr>
              <w:t>Stroke</w:t>
            </w:r>
            <w:r w:rsidRPr="00A831E7">
              <w:rPr>
                <w:b/>
                <w:bCs/>
                <w:i/>
                <w:iCs/>
                <w:sz w:val="20"/>
                <w:szCs w:val="20"/>
              </w:rPr>
              <w:br/>
              <w:t>types</w:t>
            </w:r>
          </w:p>
        </w:tc>
        <w:tc>
          <w:tcPr>
            <w:tcW w:w="427" w:type="pct"/>
            <w:tcBorders>
              <w:top w:val="single" w:sz="12" w:space="0" w:color="auto"/>
              <w:bottom w:val="single" w:sz="12" w:space="0" w:color="auto"/>
            </w:tcBorders>
            <w:shd w:val="clear" w:color="auto" w:fill="D9D9D9" w:themeFill="background1" w:themeFillShade="D9"/>
          </w:tcPr>
          <w:p w14:paraId="52B7AB4F" w14:textId="77777777" w:rsidR="008D7AC7" w:rsidRPr="00A831E7" w:rsidRDefault="008D7AC7" w:rsidP="00810A8F">
            <w:pPr>
              <w:jc w:val="center"/>
              <w:rPr>
                <w:b/>
                <w:bCs/>
                <w:i/>
                <w:iCs/>
                <w:sz w:val="20"/>
                <w:szCs w:val="20"/>
              </w:rPr>
            </w:pPr>
            <w:r w:rsidRPr="00A831E7">
              <w:rPr>
                <w:b/>
                <w:bCs/>
                <w:i/>
                <w:iCs/>
                <w:sz w:val="20"/>
                <w:szCs w:val="20"/>
              </w:rPr>
              <w:t>AUC</w:t>
            </w:r>
          </w:p>
        </w:tc>
        <w:tc>
          <w:tcPr>
            <w:tcW w:w="429" w:type="pct"/>
            <w:tcBorders>
              <w:top w:val="single" w:sz="12" w:space="0" w:color="auto"/>
              <w:bottom w:val="single" w:sz="12" w:space="0" w:color="auto"/>
            </w:tcBorders>
            <w:shd w:val="clear" w:color="auto" w:fill="D9D9D9" w:themeFill="background1" w:themeFillShade="D9"/>
          </w:tcPr>
          <w:p w14:paraId="6B33E6FD" w14:textId="77777777" w:rsidR="008D7AC7" w:rsidRPr="00A831E7" w:rsidRDefault="008D7AC7" w:rsidP="00810A8F">
            <w:pPr>
              <w:jc w:val="center"/>
              <w:rPr>
                <w:b/>
                <w:bCs/>
                <w:i/>
                <w:iCs/>
                <w:sz w:val="20"/>
                <w:szCs w:val="20"/>
              </w:rPr>
            </w:pPr>
            <w:r w:rsidRPr="00A831E7">
              <w:rPr>
                <w:b/>
                <w:bCs/>
                <w:i/>
                <w:iCs/>
                <w:sz w:val="20"/>
                <w:szCs w:val="20"/>
              </w:rPr>
              <w:t>Sensitivity</w:t>
            </w:r>
          </w:p>
        </w:tc>
        <w:tc>
          <w:tcPr>
            <w:tcW w:w="427" w:type="pct"/>
            <w:tcBorders>
              <w:top w:val="single" w:sz="12" w:space="0" w:color="auto"/>
              <w:bottom w:val="single" w:sz="12" w:space="0" w:color="auto"/>
            </w:tcBorders>
            <w:shd w:val="clear" w:color="auto" w:fill="D9D9D9" w:themeFill="background1" w:themeFillShade="D9"/>
          </w:tcPr>
          <w:p w14:paraId="41316A53" w14:textId="77777777" w:rsidR="008D7AC7" w:rsidRPr="00A831E7" w:rsidRDefault="008D7AC7" w:rsidP="00810A8F">
            <w:pPr>
              <w:jc w:val="center"/>
              <w:rPr>
                <w:b/>
                <w:bCs/>
                <w:i/>
                <w:iCs/>
                <w:sz w:val="20"/>
                <w:szCs w:val="20"/>
              </w:rPr>
            </w:pPr>
            <w:r w:rsidRPr="00A831E7">
              <w:rPr>
                <w:b/>
                <w:bCs/>
                <w:i/>
                <w:iCs/>
                <w:sz w:val="20"/>
                <w:szCs w:val="20"/>
              </w:rPr>
              <w:t>Specificity</w:t>
            </w:r>
          </w:p>
        </w:tc>
        <w:tc>
          <w:tcPr>
            <w:tcW w:w="388" w:type="pct"/>
            <w:tcBorders>
              <w:top w:val="single" w:sz="12" w:space="0" w:color="auto"/>
              <w:bottom w:val="single" w:sz="12" w:space="0" w:color="auto"/>
              <w:right w:val="single" w:sz="12" w:space="0" w:color="000000"/>
            </w:tcBorders>
            <w:shd w:val="clear" w:color="auto" w:fill="D9D9D9" w:themeFill="background1" w:themeFillShade="D9"/>
          </w:tcPr>
          <w:p w14:paraId="1FC8DA15" w14:textId="77777777" w:rsidR="008D7AC7" w:rsidRPr="00A831E7" w:rsidRDefault="008D7AC7" w:rsidP="00810A8F">
            <w:pPr>
              <w:jc w:val="center"/>
              <w:rPr>
                <w:b/>
                <w:bCs/>
                <w:i/>
                <w:iCs/>
                <w:sz w:val="20"/>
                <w:szCs w:val="20"/>
              </w:rPr>
            </w:pPr>
            <w:r w:rsidRPr="00A831E7">
              <w:rPr>
                <w:b/>
                <w:bCs/>
                <w:i/>
                <w:iCs/>
                <w:sz w:val="20"/>
                <w:szCs w:val="20"/>
              </w:rPr>
              <w:t>Ref.</w:t>
            </w:r>
          </w:p>
        </w:tc>
      </w:tr>
      <w:tr w:rsidR="008D7AC7" w:rsidRPr="002813E9" w14:paraId="076BF5EA" w14:textId="77777777" w:rsidTr="006C3B29">
        <w:trPr>
          <w:trHeight w:val="150"/>
        </w:trPr>
        <w:tc>
          <w:tcPr>
            <w:tcW w:w="676" w:type="pct"/>
            <w:tcBorders>
              <w:top w:val="single" w:sz="12" w:space="0" w:color="auto"/>
              <w:left w:val="single" w:sz="12" w:space="0" w:color="auto"/>
              <w:bottom w:val="single" w:sz="12" w:space="0" w:color="auto"/>
            </w:tcBorders>
            <w:shd w:val="clear" w:color="auto" w:fill="auto"/>
          </w:tcPr>
          <w:p w14:paraId="2D4F00C0" w14:textId="77777777" w:rsidR="008D7AC7" w:rsidRPr="00A831E7" w:rsidRDefault="008D7AC7" w:rsidP="00810A8F">
            <w:pPr>
              <w:jc w:val="center"/>
              <w:rPr>
                <w:sz w:val="18"/>
                <w:szCs w:val="18"/>
              </w:rPr>
            </w:pPr>
            <w:r w:rsidRPr="00A831E7">
              <w:rPr>
                <w:sz w:val="18"/>
                <w:szCs w:val="18"/>
              </w:rPr>
              <w:t>miR-223</w:t>
            </w:r>
          </w:p>
        </w:tc>
        <w:tc>
          <w:tcPr>
            <w:tcW w:w="1027" w:type="pct"/>
            <w:tcBorders>
              <w:top w:val="single" w:sz="12" w:space="0" w:color="auto"/>
              <w:bottom w:val="single" w:sz="12" w:space="0" w:color="auto"/>
            </w:tcBorders>
            <w:shd w:val="clear" w:color="auto" w:fill="auto"/>
          </w:tcPr>
          <w:p w14:paraId="1D36FDE2" w14:textId="77777777" w:rsidR="00C718D4" w:rsidRDefault="008D7AC7" w:rsidP="00810A8F">
            <w:pPr>
              <w:jc w:val="center"/>
              <w:rPr>
                <w:i/>
                <w:iCs/>
                <w:sz w:val="16"/>
                <w:szCs w:val="16"/>
                <w:lang w:val="en-US"/>
              </w:rPr>
            </w:pPr>
            <w:r w:rsidRPr="00730D74">
              <w:rPr>
                <w:i/>
                <w:iCs/>
                <w:sz w:val="16"/>
                <w:szCs w:val="16"/>
                <w:lang w:val="en-US"/>
              </w:rPr>
              <w:t>Increased concentration of a specific circulating miRNA exosome in IS.</w:t>
            </w:r>
          </w:p>
          <w:p w14:paraId="65EB587D" w14:textId="77777777" w:rsidR="007E567D" w:rsidRDefault="007E567D" w:rsidP="00810A8F">
            <w:pPr>
              <w:jc w:val="center"/>
              <w:rPr>
                <w:i/>
                <w:iCs/>
                <w:sz w:val="16"/>
                <w:szCs w:val="16"/>
                <w:lang w:val="en-US"/>
              </w:rPr>
            </w:pPr>
          </w:p>
          <w:p w14:paraId="0A37144F" w14:textId="10AE96C5" w:rsidR="008D7AC7" w:rsidRPr="00730D74" w:rsidRDefault="00C718D4" w:rsidP="007E567D">
            <w:pPr>
              <w:jc w:val="center"/>
              <w:rPr>
                <w:i/>
                <w:iCs/>
                <w:sz w:val="16"/>
                <w:szCs w:val="16"/>
                <w:lang w:val="en-US"/>
              </w:rPr>
            </w:pPr>
            <w:r>
              <w:rPr>
                <w:i/>
                <w:iCs/>
                <w:sz w:val="16"/>
                <w:szCs w:val="16"/>
                <w:lang w:val="en-US"/>
              </w:rPr>
              <w:br/>
              <w:t>IS=50, NC=33</w:t>
            </w:r>
          </w:p>
        </w:tc>
        <w:tc>
          <w:tcPr>
            <w:tcW w:w="427" w:type="pct"/>
            <w:tcBorders>
              <w:top w:val="single" w:sz="12" w:space="0" w:color="auto"/>
              <w:bottom w:val="single" w:sz="12" w:space="0" w:color="auto"/>
            </w:tcBorders>
            <w:shd w:val="clear" w:color="auto" w:fill="auto"/>
          </w:tcPr>
          <w:p w14:paraId="7E12E373" w14:textId="77777777" w:rsidR="008D7AC7" w:rsidRPr="00A831E7" w:rsidRDefault="008D7AC7" w:rsidP="00810A8F">
            <w:pPr>
              <w:jc w:val="center"/>
              <w:rPr>
                <w:sz w:val="16"/>
                <w:szCs w:val="16"/>
              </w:rPr>
            </w:pPr>
            <w:r w:rsidRPr="00A831E7">
              <w:rPr>
                <w:sz w:val="16"/>
                <w:szCs w:val="16"/>
              </w:rPr>
              <w:t>24-72h</w:t>
            </w:r>
            <w:r w:rsidRPr="00A831E7">
              <w:rPr>
                <w:sz w:val="16"/>
                <w:szCs w:val="16"/>
              </w:rPr>
              <w:br/>
              <w:t>serum</w:t>
            </w:r>
            <w:r w:rsidRPr="00A831E7">
              <w:rPr>
                <w:sz w:val="16"/>
                <w:szCs w:val="16"/>
              </w:rPr>
              <w:br/>
            </w:r>
          </w:p>
        </w:tc>
        <w:tc>
          <w:tcPr>
            <w:tcW w:w="685" w:type="pct"/>
            <w:tcBorders>
              <w:top w:val="single" w:sz="12" w:space="0" w:color="auto"/>
              <w:bottom w:val="single" w:sz="12" w:space="0" w:color="auto"/>
            </w:tcBorders>
            <w:shd w:val="clear" w:color="auto" w:fill="auto"/>
          </w:tcPr>
          <w:p w14:paraId="35ACC14B" w14:textId="77777777" w:rsidR="008D7AC7" w:rsidRPr="00730D74" w:rsidRDefault="008D7AC7" w:rsidP="00810A8F">
            <w:pPr>
              <w:jc w:val="center"/>
              <w:rPr>
                <w:sz w:val="16"/>
                <w:szCs w:val="16"/>
                <w:lang w:val="en-US"/>
              </w:rPr>
            </w:pPr>
            <w:r w:rsidRPr="00730D74">
              <w:rPr>
                <w:sz w:val="16"/>
                <w:szCs w:val="16"/>
                <w:lang w:val="en-US"/>
              </w:rPr>
              <w:t>Exoquick/</w:t>
            </w:r>
          </w:p>
          <w:p w14:paraId="3F80204E" w14:textId="77777777" w:rsidR="008D7AC7" w:rsidRPr="00730D74" w:rsidRDefault="008D7AC7" w:rsidP="00810A8F">
            <w:pPr>
              <w:jc w:val="center"/>
              <w:rPr>
                <w:sz w:val="16"/>
                <w:szCs w:val="16"/>
                <w:lang w:val="en-US"/>
              </w:rPr>
            </w:pPr>
            <w:r w:rsidRPr="00730D74">
              <w:rPr>
                <w:sz w:val="16"/>
                <w:szCs w:val="16"/>
                <w:lang w:val="en-US"/>
              </w:rPr>
              <w:t>RT-PCR/</w:t>
            </w:r>
          </w:p>
          <w:p w14:paraId="316423CF" w14:textId="77777777" w:rsidR="008D7AC7" w:rsidRPr="00730D74" w:rsidRDefault="008D7AC7" w:rsidP="00810A8F">
            <w:pPr>
              <w:jc w:val="center"/>
              <w:rPr>
                <w:sz w:val="16"/>
                <w:szCs w:val="16"/>
                <w:lang w:val="en-US"/>
              </w:rPr>
            </w:pPr>
            <w:r w:rsidRPr="00730D74">
              <w:rPr>
                <w:sz w:val="16"/>
                <w:szCs w:val="16"/>
                <w:lang w:val="en-US"/>
              </w:rPr>
              <w:t>TEM/</w:t>
            </w:r>
          </w:p>
          <w:p w14:paraId="69BE7D03" w14:textId="77777777" w:rsidR="008D7AC7" w:rsidRPr="00730D74" w:rsidRDefault="008D7AC7" w:rsidP="00810A8F">
            <w:pPr>
              <w:jc w:val="center"/>
              <w:rPr>
                <w:sz w:val="16"/>
                <w:szCs w:val="16"/>
                <w:lang w:val="en-US"/>
              </w:rPr>
            </w:pPr>
            <w:r w:rsidRPr="00730D74">
              <w:rPr>
                <w:sz w:val="16"/>
                <w:szCs w:val="16"/>
                <w:lang w:val="en-US"/>
              </w:rPr>
              <w:t>miRNeasy</w:t>
            </w:r>
          </w:p>
          <w:p w14:paraId="4BCEBA80" w14:textId="77777777" w:rsidR="008D7AC7" w:rsidRPr="00730D74" w:rsidRDefault="008D7AC7" w:rsidP="00810A8F">
            <w:pPr>
              <w:jc w:val="center"/>
              <w:rPr>
                <w:sz w:val="16"/>
                <w:szCs w:val="16"/>
                <w:lang w:val="en-US"/>
              </w:rPr>
            </w:pPr>
            <w:r w:rsidRPr="00730D74">
              <w:rPr>
                <w:sz w:val="16"/>
                <w:szCs w:val="16"/>
                <w:lang w:val="en-US"/>
              </w:rPr>
              <w:t>&amp; Western blot/logistic regression</w:t>
            </w:r>
          </w:p>
        </w:tc>
        <w:tc>
          <w:tcPr>
            <w:tcW w:w="514" w:type="pct"/>
            <w:tcBorders>
              <w:top w:val="single" w:sz="12" w:space="0" w:color="auto"/>
              <w:bottom w:val="single" w:sz="12" w:space="0" w:color="auto"/>
            </w:tcBorders>
            <w:shd w:val="clear" w:color="auto" w:fill="auto"/>
          </w:tcPr>
          <w:p w14:paraId="54D5953E" w14:textId="77777777" w:rsidR="008D7AC7" w:rsidRPr="00A831E7" w:rsidRDefault="008D7AC7" w:rsidP="00810A8F">
            <w:pPr>
              <w:jc w:val="center"/>
              <w:rPr>
                <w:sz w:val="16"/>
                <w:szCs w:val="16"/>
              </w:rPr>
            </w:pPr>
            <w:r w:rsidRPr="00A831E7">
              <w:rPr>
                <w:sz w:val="16"/>
                <w:szCs w:val="16"/>
              </w:rPr>
              <w:t>IS-NC</w:t>
            </w:r>
          </w:p>
        </w:tc>
        <w:tc>
          <w:tcPr>
            <w:tcW w:w="427" w:type="pct"/>
            <w:tcBorders>
              <w:top w:val="single" w:sz="12" w:space="0" w:color="auto"/>
              <w:bottom w:val="single" w:sz="12" w:space="0" w:color="auto"/>
            </w:tcBorders>
            <w:shd w:val="clear" w:color="auto" w:fill="auto"/>
          </w:tcPr>
          <w:p w14:paraId="20CB5613" w14:textId="77777777" w:rsidR="008D7AC7" w:rsidRPr="00A831E7" w:rsidRDefault="008D7AC7" w:rsidP="00810A8F">
            <w:pPr>
              <w:jc w:val="center"/>
              <w:rPr>
                <w:sz w:val="18"/>
                <w:szCs w:val="18"/>
              </w:rPr>
            </w:pPr>
            <w:r w:rsidRPr="00A831E7">
              <w:rPr>
                <w:sz w:val="18"/>
                <w:szCs w:val="18"/>
              </w:rPr>
              <w:t>0.859</w:t>
            </w:r>
          </w:p>
        </w:tc>
        <w:tc>
          <w:tcPr>
            <w:tcW w:w="429" w:type="pct"/>
            <w:tcBorders>
              <w:top w:val="single" w:sz="12" w:space="0" w:color="auto"/>
              <w:bottom w:val="single" w:sz="12" w:space="0" w:color="auto"/>
            </w:tcBorders>
            <w:shd w:val="clear" w:color="auto" w:fill="auto"/>
          </w:tcPr>
          <w:p w14:paraId="33B1D59E" w14:textId="77777777" w:rsidR="008D7AC7" w:rsidRPr="00A831E7" w:rsidRDefault="008D7AC7" w:rsidP="00810A8F">
            <w:pPr>
              <w:jc w:val="center"/>
              <w:rPr>
                <w:sz w:val="18"/>
                <w:szCs w:val="18"/>
              </w:rPr>
            </w:pPr>
            <w:r w:rsidRPr="00A831E7">
              <w:rPr>
                <w:sz w:val="18"/>
                <w:szCs w:val="18"/>
              </w:rPr>
              <w:t>0.840</w:t>
            </w:r>
          </w:p>
        </w:tc>
        <w:tc>
          <w:tcPr>
            <w:tcW w:w="427" w:type="pct"/>
            <w:tcBorders>
              <w:top w:val="single" w:sz="12" w:space="0" w:color="auto"/>
              <w:bottom w:val="single" w:sz="12" w:space="0" w:color="auto"/>
            </w:tcBorders>
            <w:shd w:val="clear" w:color="auto" w:fill="auto"/>
          </w:tcPr>
          <w:p w14:paraId="485CE983" w14:textId="77777777" w:rsidR="008D7AC7" w:rsidRPr="00A831E7" w:rsidRDefault="008D7AC7" w:rsidP="00810A8F">
            <w:pPr>
              <w:jc w:val="center"/>
              <w:rPr>
                <w:sz w:val="18"/>
                <w:szCs w:val="18"/>
              </w:rPr>
            </w:pPr>
            <w:r w:rsidRPr="00A831E7">
              <w:rPr>
                <w:sz w:val="18"/>
                <w:szCs w:val="18"/>
              </w:rPr>
              <w:t>0.788</w:t>
            </w:r>
          </w:p>
        </w:tc>
        <w:tc>
          <w:tcPr>
            <w:tcW w:w="388" w:type="pct"/>
            <w:tcBorders>
              <w:top w:val="single" w:sz="12" w:space="0" w:color="auto"/>
              <w:bottom w:val="single" w:sz="12" w:space="0" w:color="auto"/>
              <w:right w:val="single" w:sz="12" w:space="0" w:color="000000"/>
            </w:tcBorders>
            <w:shd w:val="clear" w:color="auto" w:fill="auto"/>
          </w:tcPr>
          <w:p w14:paraId="2F771BA3" w14:textId="201BC3B2" w:rsidR="008D7AC7" w:rsidRPr="00A831E7" w:rsidRDefault="0099426E" w:rsidP="00810A8F">
            <w:pPr>
              <w:jc w:val="center"/>
              <w:rPr>
                <w:sz w:val="18"/>
                <w:szCs w:val="18"/>
              </w:rPr>
            </w:pPr>
            <w:r w:rsidRPr="00A831E7">
              <w:rPr>
                <w:sz w:val="18"/>
                <w:szCs w:val="18"/>
              </w:rPr>
              <w:fldChar w:fldCharType="begin"/>
            </w:r>
            <w:r w:rsidR="00B61252">
              <w:rPr>
                <w:sz w:val="18"/>
                <w:szCs w:val="18"/>
              </w:rPr>
              <w:instrText xml:space="preserve"> ADDIN ZOTERO_ITEM CSL_CITATION {"citationID":"8sG9uYKK","properties":{"formattedCitation":"[107]","plainCitation":"[107]","noteIndex":0},"citationItems":[{"id":236,"uris":["http://zotero.org/users/local/mfHf28QG/items/AWD6D878"],"itemData":{"id":236,"type":"article-journal","abstract":"Recent studies have demonstrated that exosomal microRNAs (miRNAs) are novel biomarkers and therapeutic targets for various diseases including vascular disease. However, specific exosomal miRNAs expression in stroke patients has not been reported ...","container-title":"Frontiers in Neurology","DOI":"10.3389/fneur.2017.00057","language":"en","note":"PMID: 28289400","page":"57","source":"pmc.ncbi.nlm.nih.gov","title":"Increased Circulating Exosomal miRNA-223 Is Associated with Acute Ischemic Stroke","volume":"8","author":[{"family":"Chen","given":"Yajing"},{"family":"Song","given":"Yaying"},{"family":"Huang","given":"Jun"},{"family":"Qu","given":"Meijie"},{"family":"Zhang","given":"Yu"},{"family":"Geng","given":"Jieli"},{"family":"Zhang","given":"Zhijun"},{"family":"Liu","given":"Jianrong"},{"family":"Yang","given":"Guo-Yuan"}],"issued":{"date-parts":[["2017",2,27]]}}}],"schema":"https://github.com/citation-style-language/schema/raw/master/csl-citation.json"} </w:instrText>
            </w:r>
            <w:r w:rsidRPr="00A831E7">
              <w:rPr>
                <w:sz w:val="18"/>
                <w:szCs w:val="18"/>
              </w:rPr>
              <w:fldChar w:fldCharType="separate"/>
            </w:r>
            <w:r w:rsidR="00B61252" w:rsidRPr="00B61252">
              <w:rPr>
                <w:sz w:val="18"/>
              </w:rPr>
              <w:t>[107]</w:t>
            </w:r>
            <w:r w:rsidRPr="00A831E7">
              <w:rPr>
                <w:sz w:val="18"/>
                <w:szCs w:val="18"/>
              </w:rPr>
              <w:fldChar w:fldCharType="end"/>
            </w:r>
          </w:p>
        </w:tc>
      </w:tr>
      <w:tr w:rsidR="008D7AC7" w:rsidRPr="00A831E7" w14:paraId="6A2B78F1" w14:textId="77777777" w:rsidTr="006C3B29">
        <w:trPr>
          <w:trHeight w:val="150"/>
        </w:trPr>
        <w:tc>
          <w:tcPr>
            <w:tcW w:w="676" w:type="pct"/>
            <w:tcBorders>
              <w:top w:val="single" w:sz="12" w:space="0" w:color="auto"/>
              <w:left w:val="single" w:sz="12" w:space="0" w:color="auto"/>
              <w:bottom w:val="single" w:sz="12" w:space="0" w:color="auto"/>
            </w:tcBorders>
            <w:shd w:val="clear" w:color="auto" w:fill="auto"/>
          </w:tcPr>
          <w:p w14:paraId="53C5C03D" w14:textId="77777777" w:rsidR="008D7AC7" w:rsidRPr="00A831E7" w:rsidRDefault="008D7AC7" w:rsidP="00810A8F">
            <w:pPr>
              <w:jc w:val="center"/>
              <w:rPr>
                <w:sz w:val="18"/>
                <w:szCs w:val="18"/>
              </w:rPr>
            </w:pPr>
            <w:r w:rsidRPr="00A831E7">
              <w:rPr>
                <w:sz w:val="18"/>
                <w:szCs w:val="18"/>
              </w:rPr>
              <w:t>SIRT2</w:t>
            </w:r>
          </w:p>
        </w:tc>
        <w:tc>
          <w:tcPr>
            <w:tcW w:w="1027" w:type="pct"/>
            <w:tcBorders>
              <w:top w:val="single" w:sz="12" w:space="0" w:color="auto"/>
              <w:bottom w:val="single" w:sz="12" w:space="0" w:color="auto"/>
            </w:tcBorders>
            <w:shd w:val="clear" w:color="auto" w:fill="auto"/>
          </w:tcPr>
          <w:p w14:paraId="308391B3" w14:textId="77777777" w:rsidR="008D7AC7" w:rsidRDefault="008D7AC7" w:rsidP="00810A8F">
            <w:pPr>
              <w:jc w:val="center"/>
              <w:rPr>
                <w:i/>
                <w:iCs/>
                <w:sz w:val="16"/>
                <w:szCs w:val="16"/>
                <w:lang w:val="en-US"/>
              </w:rPr>
            </w:pPr>
            <w:r w:rsidRPr="00730D74">
              <w:rPr>
                <w:i/>
                <w:iCs/>
                <w:sz w:val="16"/>
                <w:szCs w:val="16"/>
                <w:lang w:val="en-US"/>
              </w:rPr>
              <w:t>Elevation of SIRT2 (protein inhibition) in serum exosomes during and after IS.</w:t>
            </w:r>
          </w:p>
          <w:p w14:paraId="7C6DB439" w14:textId="77777777" w:rsidR="00C718D4" w:rsidRDefault="00C718D4" w:rsidP="00810A8F">
            <w:pPr>
              <w:jc w:val="center"/>
              <w:rPr>
                <w:i/>
                <w:iCs/>
                <w:sz w:val="16"/>
                <w:szCs w:val="16"/>
                <w:lang w:val="en-US"/>
              </w:rPr>
            </w:pPr>
          </w:p>
          <w:p w14:paraId="646CC0C5" w14:textId="48B6A04F" w:rsidR="00C718D4" w:rsidRPr="00730D74" w:rsidRDefault="00C718D4" w:rsidP="00810A8F">
            <w:pPr>
              <w:jc w:val="center"/>
              <w:rPr>
                <w:i/>
                <w:iCs/>
                <w:sz w:val="16"/>
                <w:szCs w:val="16"/>
                <w:lang w:val="en-US"/>
              </w:rPr>
            </w:pPr>
            <w:r>
              <w:rPr>
                <w:i/>
                <w:iCs/>
                <w:sz w:val="16"/>
                <w:szCs w:val="16"/>
                <w:lang w:val="en-US"/>
              </w:rPr>
              <w:t>IS=75, NC=75</w:t>
            </w:r>
          </w:p>
        </w:tc>
        <w:tc>
          <w:tcPr>
            <w:tcW w:w="427" w:type="pct"/>
            <w:tcBorders>
              <w:top w:val="single" w:sz="12" w:space="0" w:color="auto"/>
              <w:bottom w:val="single" w:sz="12" w:space="0" w:color="auto"/>
            </w:tcBorders>
            <w:shd w:val="clear" w:color="auto" w:fill="auto"/>
          </w:tcPr>
          <w:p w14:paraId="3B2C32E3" w14:textId="77777777" w:rsidR="008D7AC7" w:rsidRPr="00A831E7" w:rsidRDefault="008D7AC7" w:rsidP="00810A8F">
            <w:pPr>
              <w:jc w:val="center"/>
              <w:rPr>
                <w:sz w:val="16"/>
                <w:szCs w:val="16"/>
              </w:rPr>
            </w:pPr>
            <w:r w:rsidRPr="00A831E7">
              <w:rPr>
                <w:sz w:val="16"/>
                <w:szCs w:val="16"/>
              </w:rPr>
              <w:t>&lt;24h</w:t>
            </w:r>
            <w:r w:rsidRPr="00A831E7">
              <w:rPr>
                <w:sz w:val="16"/>
                <w:szCs w:val="16"/>
              </w:rPr>
              <w:br/>
              <w:t>serum</w:t>
            </w:r>
          </w:p>
        </w:tc>
        <w:tc>
          <w:tcPr>
            <w:tcW w:w="685" w:type="pct"/>
            <w:tcBorders>
              <w:top w:val="single" w:sz="12" w:space="0" w:color="auto"/>
              <w:bottom w:val="single" w:sz="12" w:space="0" w:color="auto"/>
            </w:tcBorders>
            <w:shd w:val="clear" w:color="auto" w:fill="auto"/>
          </w:tcPr>
          <w:p w14:paraId="29A908D4" w14:textId="77777777" w:rsidR="008D7AC7" w:rsidRPr="00730D74" w:rsidRDefault="008D7AC7" w:rsidP="00810A8F">
            <w:pPr>
              <w:jc w:val="center"/>
              <w:rPr>
                <w:sz w:val="16"/>
                <w:szCs w:val="16"/>
                <w:lang w:val="en-US"/>
              </w:rPr>
            </w:pPr>
            <w:r w:rsidRPr="00730D74">
              <w:rPr>
                <w:sz w:val="16"/>
                <w:szCs w:val="16"/>
                <w:lang w:val="en-US"/>
              </w:rPr>
              <w:t>TEI/ELISA/</w:t>
            </w:r>
            <w:r w:rsidRPr="00730D74">
              <w:rPr>
                <w:sz w:val="16"/>
                <w:szCs w:val="16"/>
                <w:lang w:val="en-US"/>
              </w:rPr>
              <w:br/>
              <w:t>&amp; Western blot/Logistic regression</w:t>
            </w:r>
          </w:p>
        </w:tc>
        <w:tc>
          <w:tcPr>
            <w:tcW w:w="514" w:type="pct"/>
            <w:tcBorders>
              <w:top w:val="single" w:sz="12" w:space="0" w:color="auto"/>
              <w:bottom w:val="single" w:sz="12" w:space="0" w:color="auto"/>
            </w:tcBorders>
            <w:shd w:val="clear" w:color="auto" w:fill="auto"/>
          </w:tcPr>
          <w:p w14:paraId="54C4891A" w14:textId="77777777" w:rsidR="008D7AC7" w:rsidRPr="00A831E7" w:rsidRDefault="008D7AC7" w:rsidP="00810A8F">
            <w:pPr>
              <w:jc w:val="center"/>
              <w:rPr>
                <w:sz w:val="16"/>
                <w:szCs w:val="16"/>
              </w:rPr>
            </w:pPr>
            <w:r w:rsidRPr="00A831E7">
              <w:rPr>
                <w:sz w:val="16"/>
                <w:szCs w:val="16"/>
              </w:rPr>
              <w:t>IS-NC</w:t>
            </w:r>
          </w:p>
        </w:tc>
        <w:tc>
          <w:tcPr>
            <w:tcW w:w="427" w:type="pct"/>
            <w:tcBorders>
              <w:top w:val="single" w:sz="12" w:space="0" w:color="auto"/>
              <w:bottom w:val="single" w:sz="12" w:space="0" w:color="auto"/>
            </w:tcBorders>
            <w:shd w:val="clear" w:color="auto" w:fill="auto"/>
          </w:tcPr>
          <w:p w14:paraId="12CC8D5B" w14:textId="77777777" w:rsidR="008D7AC7" w:rsidRPr="00A831E7" w:rsidRDefault="008D7AC7" w:rsidP="00810A8F">
            <w:pPr>
              <w:jc w:val="center"/>
              <w:rPr>
                <w:sz w:val="18"/>
                <w:szCs w:val="18"/>
              </w:rPr>
            </w:pPr>
            <w:r w:rsidRPr="00A831E7">
              <w:rPr>
                <w:sz w:val="18"/>
                <w:szCs w:val="18"/>
              </w:rPr>
              <w:t>0.838</w:t>
            </w:r>
          </w:p>
        </w:tc>
        <w:tc>
          <w:tcPr>
            <w:tcW w:w="429" w:type="pct"/>
            <w:tcBorders>
              <w:top w:val="single" w:sz="12" w:space="0" w:color="auto"/>
              <w:bottom w:val="single" w:sz="12" w:space="0" w:color="auto"/>
            </w:tcBorders>
            <w:shd w:val="clear" w:color="auto" w:fill="auto"/>
          </w:tcPr>
          <w:p w14:paraId="4C57868B" w14:textId="77777777" w:rsidR="008D7AC7" w:rsidRPr="00A831E7" w:rsidRDefault="008D7AC7" w:rsidP="00810A8F">
            <w:pPr>
              <w:jc w:val="center"/>
              <w:rPr>
                <w:sz w:val="18"/>
                <w:szCs w:val="18"/>
              </w:rPr>
            </w:pPr>
            <w:r w:rsidRPr="00A831E7">
              <w:rPr>
                <w:sz w:val="18"/>
                <w:szCs w:val="18"/>
              </w:rPr>
              <w:t>0.813</w:t>
            </w:r>
          </w:p>
        </w:tc>
        <w:tc>
          <w:tcPr>
            <w:tcW w:w="427" w:type="pct"/>
            <w:tcBorders>
              <w:top w:val="single" w:sz="12" w:space="0" w:color="auto"/>
              <w:bottom w:val="single" w:sz="12" w:space="0" w:color="auto"/>
            </w:tcBorders>
            <w:shd w:val="clear" w:color="auto" w:fill="auto"/>
          </w:tcPr>
          <w:p w14:paraId="54D15BF6" w14:textId="77777777" w:rsidR="008D7AC7" w:rsidRPr="00A831E7" w:rsidRDefault="008D7AC7" w:rsidP="00810A8F">
            <w:pPr>
              <w:jc w:val="center"/>
              <w:rPr>
                <w:sz w:val="18"/>
                <w:szCs w:val="18"/>
              </w:rPr>
            </w:pPr>
            <w:r w:rsidRPr="00A831E7">
              <w:rPr>
                <w:sz w:val="18"/>
                <w:szCs w:val="18"/>
              </w:rPr>
              <w:t>0.753</w:t>
            </w:r>
          </w:p>
        </w:tc>
        <w:tc>
          <w:tcPr>
            <w:tcW w:w="388" w:type="pct"/>
            <w:tcBorders>
              <w:top w:val="single" w:sz="12" w:space="0" w:color="auto"/>
              <w:bottom w:val="single" w:sz="12" w:space="0" w:color="auto"/>
              <w:right w:val="single" w:sz="12" w:space="0" w:color="000000"/>
            </w:tcBorders>
            <w:shd w:val="clear" w:color="auto" w:fill="auto"/>
          </w:tcPr>
          <w:p w14:paraId="7EC1C18F" w14:textId="6D3EEA19" w:rsidR="008D7AC7" w:rsidRPr="00A831E7" w:rsidRDefault="00F60951" w:rsidP="00810A8F">
            <w:pPr>
              <w:jc w:val="center"/>
              <w:rPr>
                <w:sz w:val="18"/>
                <w:szCs w:val="18"/>
              </w:rPr>
            </w:pPr>
            <w:r w:rsidRPr="00A831E7">
              <w:rPr>
                <w:sz w:val="18"/>
                <w:szCs w:val="18"/>
              </w:rPr>
              <w:fldChar w:fldCharType="begin"/>
            </w:r>
            <w:r w:rsidR="00B61252">
              <w:rPr>
                <w:sz w:val="18"/>
                <w:szCs w:val="18"/>
              </w:rPr>
              <w:instrText xml:space="preserve"> ADDIN ZOTERO_ITEM CSL_CITATION {"citationID":"kUTXIIkd","properties":{"formattedCitation":"[108]","plainCitation":"[108]","noteIndex":0},"citationItems":[{"id":240,"uris":["http://zotero.org/users/local/mfHf28QG/items/TXH5KPDR"],"itemData":{"id":240,"type":"article-journal","abstract":"Silent Information Regulator 2 (SIRT2) protein inhibition has been shown to play a neuroprotective role in acute ischemic stroke (AIS) in mice. However, its role in AIS patients has not been fully understood. In this study, we aimed to analyze SIRT2 ...","container-title":"BMC Neurology","DOI":"10.1186/s12883-023-03348-7","language":"en","note":"PMID: 37684620","page":"321","source":"pmc.ncbi.nlm.nih.gov","title":"Elevated SIRT2 of serum exosomes is positively correlated with diagnosis of acute ischemic stroke patients","volume":"23","author":[{"family":"Lu","given":"Wenmei"},{"family":"Hou","given":"Duanlu"},{"family":"Chen","given":"Xin"},{"family":"Zhong","given":"Ping"},{"family":"Liu","given":"Xueyuan"},{"family":"Wu","given":"Danhong"}],"issued":{"date-parts":[["2023",9,8]]}}}],"schema":"https://github.com/citation-style-language/schema/raw/master/csl-citation.json"} </w:instrText>
            </w:r>
            <w:r w:rsidRPr="00A831E7">
              <w:rPr>
                <w:sz w:val="18"/>
                <w:szCs w:val="18"/>
              </w:rPr>
              <w:fldChar w:fldCharType="separate"/>
            </w:r>
            <w:r w:rsidR="00B61252" w:rsidRPr="00B61252">
              <w:rPr>
                <w:sz w:val="18"/>
              </w:rPr>
              <w:t>[108]</w:t>
            </w:r>
            <w:r w:rsidRPr="00A831E7">
              <w:rPr>
                <w:sz w:val="18"/>
                <w:szCs w:val="18"/>
              </w:rPr>
              <w:fldChar w:fldCharType="end"/>
            </w:r>
          </w:p>
        </w:tc>
      </w:tr>
      <w:tr w:rsidR="008D7AC7" w:rsidRPr="00A831E7" w14:paraId="211605A8" w14:textId="77777777" w:rsidTr="006C3B29">
        <w:trPr>
          <w:trHeight w:val="150"/>
        </w:trPr>
        <w:tc>
          <w:tcPr>
            <w:tcW w:w="676" w:type="pct"/>
            <w:tcBorders>
              <w:top w:val="single" w:sz="12" w:space="0" w:color="auto"/>
              <w:left w:val="single" w:sz="12" w:space="0" w:color="auto"/>
              <w:bottom w:val="single" w:sz="12" w:space="0" w:color="auto"/>
            </w:tcBorders>
            <w:shd w:val="clear" w:color="auto" w:fill="auto"/>
          </w:tcPr>
          <w:p w14:paraId="20CBA845" w14:textId="77777777" w:rsidR="008D7AC7" w:rsidRPr="00A831E7" w:rsidRDefault="008D7AC7" w:rsidP="00810A8F">
            <w:pPr>
              <w:jc w:val="center"/>
              <w:rPr>
                <w:sz w:val="18"/>
                <w:szCs w:val="18"/>
              </w:rPr>
            </w:pPr>
            <w:r w:rsidRPr="00A831E7">
              <w:rPr>
                <w:sz w:val="18"/>
                <w:szCs w:val="18"/>
              </w:rPr>
              <w:t>miR-134</w:t>
            </w:r>
          </w:p>
        </w:tc>
        <w:tc>
          <w:tcPr>
            <w:tcW w:w="1027" w:type="pct"/>
            <w:tcBorders>
              <w:top w:val="single" w:sz="12" w:space="0" w:color="auto"/>
              <w:bottom w:val="single" w:sz="12" w:space="0" w:color="auto"/>
            </w:tcBorders>
            <w:shd w:val="clear" w:color="auto" w:fill="auto"/>
          </w:tcPr>
          <w:p w14:paraId="26CC4591" w14:textId="77777777" w:rsidR="008D7AC7" w:rsidRDefault="008D7AC7" w:rsidP="00810A8F">
            <w:pPr>
              <w:jc w:val="center"/>
              <w:rPr>
                <w:i/>
                <w:iCs/>
                <w:sz w:val="16"/>
                <w:szCs w:val="16"/>
                <w:lang w:val="en-US"/>
              </w:rPr>
            </w:pPr>
            <w:r w:rsidRPr="00730D74">
              <w:rPr>
                <w:i/>
                <w:iCs/>
                <w:sz w:val="16"/>
                <w:szCs w:val="16"/>
                <w:lang w:val="en-US"/>
              </w:rPr>
              <w:t>Highly expressed exosomal miRNA in IS</w:t>
            </w:r>
          </w:p>
          <w:p w14:paraId="4631D633" w14:textId="77777777" w:rsidR="007E567D" w:rsidRDefault="007E567D" w:rsidP="00810A8F">
            <w:pPr>
              <w:jc w:val="center"/>
              <w:rPr>
                <w:i/>
                <w:iCs/>
                <w:sz w:val="16"/>
                <w:szCs w:val="16"/>
                <w:lang w:val="en-US"/>
              </w:rPr>
            </w:pPr>
          </w:p>
          <w:p w14:paraId="6EC2EB95" w14:textId="77777777" w:rsidR="007E567D" w:rsidRDefault="007E567D" w:rsidP="00810A8F">
            <w:pPr>
              <w:jc w:val="center"/>
              <w:rPr>
                <w:i/>
                <w:iCs/>
                <w:sz w:val="16"/>
                <w:szCs w:val="16"/>
                <w:lang w:val="en-US"/>
              </w:rPr>
            </w:pPr>
          </w:p>
          <w:p w14:paraId="40031610" w14:textId="07AB0029" w:rsidR="007E567D" w:rsidRPr="00730D74" w:rsidRDefault="007E567D" w:rsidP="00810A8F">
            <w:pPr>
              <w:jc w:val="center"/>
              <w:rPr>
                <w:i/>
                <w:iCs/>
                <w:sz w:val="16"/>
                <w:szCs w:val="16"/>
                <w:lang w:val="en-US"/>
              </w:rPr>
            </w:pPr>
            <w:r>
              <w:rPr>
                <w:i/>
                <w:iCs/>
                <w:sz w:val="16"/>
                <w:szCs w:val="16"/>
                <w:lang w:val="en-US"/>
              </w:rPr>
              <w:t>IS=50, NC= 50</w:t>
            </w:r>
          </w:p>
        </w:tc>
        <w:tc>
          <w:tcPr>
            <w:tcW w:w="427" w:type="pct"/>
            <w:tcBorders>
              <w:top w:val="single" w:sz="12" w:space="0" w:color="auto"/>
              <w:bottom w:val="single" w:sz="12" w:space="0" w:color="auto"/>
            </w:tcBorders>
            <w:shd w:val="clear" w:color="auto" w:fill="auto"/>
          </w:tcPr>
          <w:p w14:paraId="51724A17" w14:textId="77777777" w:rsidR="008D7AC7" w:rsidRPr="00A831E7" w:rsidRDefault="008D7AC7" w:rsidP="00810A8F">
            <w:pPr>
              <w:jc w:val="center"/>
              <w:rPr>
                <w:sz w:val="16"/>
                <w:szCs w:val="16"/>
              </w:rPr>
            </w:pPr>
            <w:r w:rsidRPr="00A831E7">
              <w:rPr>
                <w:sz w:val="16"/>
                <w:szCs w:val="16"/>
              </w:rPr>
              <w:t>&lt;24h</w:t>
            </w:r>
            <w:r w:rsidRPr="00A831E7">
              <w:rPr>
                <w:sz w:val="16"/>
                <w:szCs w:val="16"/>
              </w:rPr>
              <w:br/>
              <w:t>serum</w:t>
            </w:r>
          </w:p>
        </w:tc>
        <w:tc>
          <w:tcPr>
            <w:tcW w:w="685" w:type="pct"/>
            <w:tcBorders>
              <w:top w:val="single" w:sz="12" w:space="0" w:color="auto"/>
              <w:bottom w:val="single" w:sz="12" w:space="0" w:color="auto"/>
            </w:tcBorders>
            <w:shd w:val="clear" w:color="auto" w:fill="auto"/>
          </w:tcPr>
          <w:p w14:paraId="28912BE0" w14:textId="77777777" w:rsidR="008D7AC7" w:rsidRPr="00730D74" w:rsidRDefault="008D7AC7" w:rsidP="00810A8F">
            <w:pPr>
              <w:jc w:val="center"/>
              <w:rPr>
                <w:sz w:val="16"/>
                <w:szCs w:val="16"/>
                <w:lang w:val="en-US"/>
              </w:rPr>
            </w:pPr>
            <w:r w:rsidRPr="00730D74">
              <w:rPr>
                <w:sz w:val="16"/>
                <w:szCs w:val="16"/>
                <w:lang w:val="en-US"/>
              </w:rPr>
              <w:t>TEM/</w:t>
            </w:r>
          </w:p>
          <w:p w14:paraId="644CE9D8" w14:textId="77777777" w:rsidR="008D7AC7" w:rsidRPr="00730D74" w:rsidRDefault="008D7AC7" w:rsidP="00810A8F">
            <w:pPr>
              <w:jc w:val="center"/>
              <w:rPr>
                <w:sz w:val="16"/>
                <w:szCs w:val="16"/>
                <w:lang w:val="en-US"/>
              </w:rPr>
            </w:pPr>
            <w:r w:rsidRPr="00730D74">
              <w:rPr>
                <w:sz w:val="16"/>
                <w:szCs w:val="16"/>
                <w:lang w:val="en-US"/>
              </w:rPr>
              <w:t>ExoQuick/</w:t>
            </w:r>
          </w:p>
          <w:p w14:paraId="75B3E985" w14:textId="77777777" w:rsidR="008D7AC7" w:rsidRPr="00730D74" w:rsidRDefault="008D7AC7" w:rsidP="00810A8F">
            <w:pPr>
              <w:jc w:val="center"/>
              <w:rPr>
                <w:sz w:val="16"/>
                <w:szCs w:val="16"/>
                <w:lang w:val="en-US"/>
              </w:rPr>
            </w:pPr>
            <w:r w:rsidRPr="00730D74">
              <w:rPr>
                <w:sz w:val="16"/>
                <w:szCs w:val="16"/>
                <w:lang w:val="en-US"/>
              </w:rPr>
              <w:t>RT-qCPR</w:t>
            </w:r>
            <w:r w:rsidRPr="00730D74">
              <w:rPr>
                <w:sz w:val="16"/>
                <w:szCs w:val="16"/>
                <w:lang w:val="en-US"/>
              </w:rPr>
              <w:br/>
              <w:t>&amp; Western blot</w:t>
            </w:r>
          </w:p>
        </w:tc>
        <w:tc>
          <w:tcPr>
            <w:tcW w:w="514" w:type="pct"/>
            <w:tcBorders>
              <w:top w:val="single" w:sz="12" w:space="0" w:color="auto"/>
              <w:bottom w:val="single" w:sz="12" w:space="0" w:color="auto"/>
            </w:tcBorders>
            <w:shd w:val="clear" w:color="auto" w:fill="auto"/>
          </w:tcPr>
          <w:p w14:paraId="12127C4B" w14:textId="77777777" w:rsidR="008D7AC7" w:rsidRPr="00A831E7" w:rsidRDefault="008D7AC7" w:rsidP="00810A8F">
            <w:pPr>
              <w:jc w:val="center"/>
              <w:rPr>
                <w:sz w:val="16"/>
                <w:szCs w:val="16"/>
              </w:rPr>
            </w:pPr>
            <w:r w:rsidRPr="00A831E7">
              <w:rPr>
                <w:sz w:val="16"/>
                <w:szCs w:val="16"/>
              </w:rPr>
              <w:t>IS-NC</w:t>
            </w:r>
          </w:p>
        </w:tc>
        <w:tc>
          <w:tcPr>
            <w:tcW w:w="427" w:type="pct"/>
            <w:tcBorders>
              <w:top w:val="single" w:sz="12" w:space="0" w:color="auto"/>
              <w:bottom w:val="single" w:sz="12" w:space="0" w:color="auto"/>
            </w:tcBorders>
            <w:shd w:val="clear" w:color="auto" w:fill="auto"/>
          </w:tcPr>
          <w:p w14:paraId="6A370F27" w14:textId="77777777" w:rsidR="008D7AC7" w:rsidRPr="00A831E7" w:rsidRDefault="008D7AC7" w:rsidP="00810A8F">
            <w:pPr>
              <w:jc w:val="center"/>
              <w:rPr>
                <w:sz w:val="18"/>
                <w:szCs w:val="18"/>
              </w:rPr>
            </w:pPr>
            <w:r w:rsidRPr="00A831E7">
              <w:rPr>
                <w:sz w:val="18"/>
                <w:szCs w:val="18"/>
              </w:rPr>
              <w:t>0.834</w:t>
            </w:r>
          </w:p>
        </w:tc>
        <w:tc>
          <w:tcPr>
            <w:tcW w:w="429" w:type="pct"/>
            <w:tcBorders>
              <w:top w:val="single" w:sz="12" w:space="0" w:color="auto"/>
              <w:bottom w:val="single" w:sz="12" w:space="0" w:color="auto"/>
            </w:tcBorders>
            <w:shd w:val="clear" w:color="auto" w:fill="auto"/>
          </w:tcPr>
          <w:p w14:paraId="5D4D3710" w14:textId="77777777" w:rsidR="008D7AC7" w:rsidRPr="00A831E7" w:rsidRDefault="008D7AC7" w:rsidP="00810A8F">
            <w:pPr>
              <w:jc w:val="center"/>
              <w:rPr>
                <w:sz w:val="18"/>
                <w:szCs w:val="18"/>
              </w:rPr>
            </w:pPr>
            <w:r w:rsidRPr="00A831E7">
              <w:rPr>
                <w:sz w:val="18"/>
                <w:szCs w:val="18"/>
              </w:rPr>
              <w:t>0.753</w:t>
            </w:r>
          </w:p>
        </w:tc>
        <w:tc>
          <w:tcPr>
            <w:tcW w:w="427" w:type="pct"/>
            <w:tcBorders>
              <w:top w:val="single" w:sz="12" w:space="0" w:color="auto"/>
              <w:bottom w:val="single" w:sz="12" w:space="0" w:color="auto"/>
            </w:tcBorders>
            <w:shd w:val="clear" w:color="auto" w:fill="auto"/>
          </w:tcPr>
          <w:p w14:paraId="7646503A" w14:textId="77777777" w:rsidR="008D7AC7" w:rsidRPr="00A831E7" w:rsidRDefault="008D7AC7" w:rsidP="00810A8F">
            <w:pPr>
              <w:jc w:val="center"/>
              <w:rPr>
                <w:sz w:val="18"/>
                <w:szCs w:val="18"/>
              </w:rPr>
            </w:pPr>
            <w:r w:rsidRPr="00A831E7">
              <w:rPr>
                <w:sz w:val="18"/>
                <w:szCs w:val="18"/>
              </w:rPr>
              <w:t>0.728</w:t>
            </w:r>
          </w:p>
        </w:tc>
        <w:tc>
          <w:tcPr>
            <w:tcW w:w="388" w:type="pct"/>
            <w:tcBorders>
              <w:top w:val="single" w:sz="12" w:space="0" w:color="auto"/>
              <w:bottom w:val="single" w:sz="12" w:space="0" w:color="auto"/>
              <w:right w:val="single" w:sz="12" w:space="0" w:color="000000"/>
            </w:tcBorders>
            <w:shd w:val="clear" w:color="auto" w:fill="auto"/>
          </w:tcPr>
          <w:p w14:paraId="0280C519" w14:textId="65AE55EE" w:rsidR="008D7AC7" w:rsidRPr="00A831E7" w:rsidRDefault="00F60951" w:rsidP="00810A8F">
            <w:pPr>
              <w:jc w:val="center"/>
              <w:rPr>
                <w:sz w:val="18"/>
                <w:szCs w:val="18"/>
              </w:rPr>
            </w:pPr>
            <w:r w:rsidRPr="00A831E7">
              <w:rPr>
                <w:sz w:val="18"/>
                <w:szCs w:val="18"/>
              </w:rPr>
              <w:fldChar w:fldCharType="begin"/>
            </w:r>
            <w:r w:rsidR="00B61252">
              <w:rPr>
                <w:sz w:val="18"/>
                <w:szCs w:val="18"/>
              </w:rPr>
              <w:instrText xml:space="preserve"> ADDIN ZOTERO_ITEM CSL_CITATION {"citationID":"aKIw4vIH","properties":{"formattedCitation":"[109]","plainCitation":"[109]","noteIndex":0},"citationItems":[{"id":244,"uris":["http://zotero.org/users/local/mfHf28QG/items/ZIBJXLQ8"],"itemData":{"id":244,"type":"article-journal","abstract":"The exosomal miRNAs have been emerged as biomarkers and therapeutic targets for various diseases, however, the function of exosomal miRNAs in stroke remains largely unknown. The blood samples from acute ischemic stroke (AIS) patients and normal ...","container-title":"BMC Neurology","DOI":"10.1186/s12883-018-1196-z","language":"en","note":"PMID: 30514242","page":"198","source":"pmc.ncbi.nlm.nih.gov","title":"Increased serum exosomal miR-134 expression in the acute ischemic stroke patients","volume":"18","author":[{"family":"Zhou","given":"Jingxia"},{"family":"Chen","given":"Lin"},{"family":"Chen","given":"Bocan"},{"family":"Huang","given":"Shaozhu"},{"family":"Zeng","given":"Chaosheng"},{"family":"Wu","given":"Hairong"},{"family":"Chen","given":"Cong"},{"family":"Long","given":"Faqing"}],"issued":{"date-parts":[["2018",12,4]]}}}],"schema":"https://github.com/citation-style-language/schema/raw/master/csl-citation.json"} </w:instrText>
            </w:r>
            <w:r w:rsidRPr="00A831E7">
              <w:rPr>
                <w:sz w:val="18"/>
                <w:szCs w:val="18"/>
              </w:rPr>
              <w:fldChar w:fldCharType="separate"/>
            </w:r>
            <w:r w:rsidR="00B61252" w:rsidRPr="00B61252">
              <w:rPr>
                <w:sz w:val="18"/>
              </w:rPr>
              <w:t>[109]</w:t>
            </w:r>
            <w:r w:rsidRPr="00A831E7">
              <w:rPr>
                <w:sz w:val="18"/>
                <w:szCs w:val="18"/>
              </w:rPr>
              <w:fldChar w:fldCharType="end"/>
            </w:r>
          </w:p>
        </w:tc>
      </w:tr>
      <w:tr w:rsidR="008D7AC7" w:rsidRPr="00D17951" w14:paraId="2539442D" w14:textId="77777777" w:rsidTr="00647A17">
        <w:trPr>
          <w:trHeight w:val="495"/>
        </w:trPr>
        <w:tc>
          <w:tcPr>
            <w:tcW w:w="676" w:type="pct"/>
            <w:tcBorders>
              <w:top w:val="single" w:sz="12" w:space="0" w:color="auto"/>
              <w:left w:val="single" w:sz="12" w:space="0" w:color="auto"/>
              <w:bottom w:val="single" w:sz="4" w:space="0" w:color="auto"/>
            </w:tcBorders>
            <w:shd w:val="clear" w:color="auto" w:fill="auto"/>
          </w:tcPr>
          <w:p w14:paraId="64E3D300" w14:textId="77777777" w:rsidR="008D7AC7" w:rsidRPr="00A831E7" w:rsidRDefault="008D7AC7" w:rsidP="00810A8F">
            <w:pPr>
              <w:jc w:val="center"/>
              <w:rPr>
                <w:sz w:val="18"/>
                <w:szCs w:val="18"/>
              </w:rPr>
            </w:pPr>
            <w:r w:rsidRPr="00A831E7">
              <w:rPr>
                <w:sz w:val="16"/>
                <w:szCs w:val="16"/>
              </w:rPr>
              <w:t>miR-30a-5p</w:t>
            </w:r>
          </w:p>
        </w:tc>
        <w:tc>
          <w:tcPr>
            <w:tcW w:w="1027" w:type="pct"/>
            <w:vMerge w:val="restart"/>
            <w:tcBorders>
              <w:top w:val="single" w:sz="12" w:space="0" w:color="auto"/>
            </w:tcBorders>
            <w:shd w:val="clear" w:color="auto" w:fill="auto"/>
          </w:tcPr>
          <w:p w14:paraId="0B9C93A3" w14:textId="77777777" w:rsidR="008D7AC7" w:rsidRDefault="008D7AC7" w:rsidP="00810A8F">
            <w:pPr>
              <w:jc w:val="center"/>
              <w:rPr>
                <w:i/>
                <w:iCs/>
                <w:sz w:val="16"/>
                <w:szCs w:val="16"/>
                <w:lang w:val="en-US"/>
              </w:rPr>
            </w:pPr>
            <w:r w:rsidRPr="00730D74">
              <w:rPr>
                <w:i/>
                <w:iCs/>
                <w:sz w:val="16"/>
                <w:szCs w:val="16"/>
                <w:lang w:val="en-US"/>
              </w:rPr>
              <w:t>Increased circulation of a specific miRNA exosome in the HIS phase.</w:t>
            </w:r>
          </w:p>
          <w:p w14:paraId="44218D5F" w14:textId="77777777" w:rsidR="007E567D" w:rsidRDefault="007E567D" w:rsidP="00810A8F">
            <w:pPr>
              <w:jc w:val="center"/>
              <w:rPr>
                <w:i/>
                <w:iCs/>
                <w:sz w:val="16"/>
                <w:szCs w:val="16"/>
                <w:lang w:val="en-US"/>
              </w:rPr>
            </w:pPr>
          </w:p>
          <w:p w14:paraId="13229719" w14:textId="6289451F" w:rsidR="007E567D" w:rsidRPr="007E567D" w:rsidRDefault="007E567D" w:rsidP="00810A8F">
            <w:pPr>
              <w:jc w:val="center"/>
              <w:rPr>
                <w:i/>
                <w:iCs/>
                <w:sz w:val="16"/>
                <w:szCs w:val="16"/>
              </w:rPr>
            </w:pPr>
            <w:r>
              <w:rPr>
                <w:i/>
                <w:iCs/>
                <w:sz w:val="16"/>
                <w:szCs w:val="16"/>
                <w:lang w:val="en-US"/>
              </w:rPr>
              <w:t xml:space="preserve">143 </w:t>
            </w:r>
            <w:r>
              <w:rPr>
                <w:i/>
                <w:iCs/>
                <w:sz w:val="16"/>
                <w:szCs w:val="16"/>
              </w:rPr>
              <w:t>ασθενείς</w:t>
            </w:r>
          </w:p>
        </w:tc>
        <w:tc>
          <w:tcPr>
            <w:tcW w:w="427" w:type="pct"/>
            <w:vMerge w:val="restart"/>
            <w:tcBorders>
              <w:top w:val="single" w:sz="12" w:space="0" w:color="auto"/>
            </w:tcBorders>
            <w:shd w:val="clear" w:color="auto" w:fill="auto"/>
          </w:tcPr>
          <w:p w14:paraId="310B435E" w14:textId="77777777" w:rsidR="008D7AC7" w:rsidRPr="00A831E7" w:rsidRDefault="008D7AC7" w:rsidP="00810A8F">
            <w:pPr>
              <w:jc w:val="center"/>
              <w:rPr>
                <w:sz w:val="16"/>
                <w:szCs w:val="16"/>
              </w:rPr>
            </w:pPr>
            <w:r w:rsidRPr="00A831E7">
              <w:rPr>
                <w:sz w:val="16"/>
                <w:szCs w:val="16"/>
              </w:rPr>
              <w:t>&lt;6h</w:t>
            </w:r>
            <w:r w:rsidRPr="00A831E7">
              <w:rPr>
                <w:sz w:val="16"/>
                <w:szCs w:val="16"/>
              </w:rPr>
              <w:br/>
              <w:t>plasma</w:t>
            </w:r>
          </w:p>
        </w:tc>
        <w:tc>
          <w:tcPr>
            <w:tcW w:w="685" w:type="pct"/>
            <w:vMerge w:val="restart"/>
            <w:tcBorders>
              <w:top w:val="single" w:sz="12" w:space="0" w:color="auto"/>
            </w:tcBorders>
            <w:shd w:val="clear" w:color="auto" w:fill="auto"/>
          </w:tcPr>
          <w:p w14:paraId="18244A36" w14:textId="77777777" w:rsidR="008D7AC7" w:rsidRPr="00730D74" w:rsidRDefault="008D7AC7" w:rsidP="00810A8F">
            <w:pPr>
              <w:jc w:val="center"/>
              <w:rPr>
                <w:sz w:val="16"/>
                <w:szCs w:val="16"/>
                <w:lang w:val="en-US"/>
              </w:rPr>
            </w:pPr>
            <w:r w:rsidRPr="00730D74">
              <w:rPr>
                <w:sz w:val="16"/>
                <w:szCs w:val="16"/>
                <w:lang w:val="en-US"/>
              </w:rPr>
              <w:t>exoRNeasy/</w:t>
            </w:r>
          </w:p>
          <w:p w14:paraId="433FC405" w14:textId="77777777" w:rsidR="008D7AC7" w:rsidRPr="00730D74" w:rsidRDefault="008D7AC7" w:rsidP="00810A8F">
            <w:pPr>
              <w:jc w:val="center"/>
              <w:rPr>
                <w:sz w:val="16"/>
                <w:szCs w:val="16"/>
                <w:lang w:val="en-US"/>
              </w:rPr>
            </w:pPr>
            <w:r w:rsidRPr="00730D74">
              <w:rPr>
                <w:sz w:val="16"/>
                <w:szCs w:val="16"/>
                <w:lang w:val="en-US"/>
              </w:rPr>
              <w:t>TEM/NTA/</w:t>
            </w:r>
          </w:p>
          <w:p w14:paraId="004FDBD2" w14:textId="77777777" w:rsidR="008D7AC7" w:rsidRPr="00730D74" w:rsidRDefault="008D7AC7" w:rsidP="00810A8F">
            <w:pPr>
              <w:jc w:val="center"/>
              <w:rPr>
                <w:sz w:val="16"/>
                <w:szCs w:val="16"/>
                <w:lang w:val="en-US"/>
              </w:rPr>
            </w:pPr>
            <w:r w:rsidRPr="00730D74">
              <w:rPr>
                <w:sz w:val="16"/>
                <w:szCs w:val="16"/>
                <w:lang w:val="en-US"/>
              </w:rPr>
              <w:t>flow cytometry/</w:t>
            </w:r>
          </w:p>
          <w:p w14:paraId="12B0BF43" w14:textId="77777777" w:rsidR="008D7AC7" w:rsidRPr="00A831E7" w:rsidRDefault="008D7AC7" w:rsidP="00810A8F">
            <w:pPr>
              <w:jc w:val="center"/>
              <w:rPr>
                <w:sz w:val="16"/>
                <w:szCs w:val="16"/>
              </w:rPr>
            </w:pPr>
            <w:r w:rsidRPr="00A831E7">
              <w:rPr>
                <w:sz w:val="16"/>
                <w:szCs w:val="16"/>
              </w:rPr>
              <w:t>qRT-PCR/</w:t>
            </w:r>
          </w:p>
          <w:p w14:paraId="21A63B1E" w14:textId="77777777" w:rsidR="008D7AC7" w:rsidRPr="00A831E7" w:rsidRDefault="008D7AC7" w:rsidP="00810A8F">
            <w:pPr>
              <w:jc w:val="center"/>
              <w:rPr>
                <w:sz w:val="16"/>
                <w:szCs w:val="16"/>
              </w:rPr>
            </w:pPr>
            <w:r w:rsidRPr="00A831E7">
              <w:rPr>
                <w:sz w:val="16"/>
                <w:szCs w:val="16"/>
              </w:rPr>
              <w:t>Nano-ZS</w:t>
            </w:r>
          </w:p>
        </w:tc>
        <w:tc>
          <w:tcPr>
            <w:tcW w:w="514" w:type="pct"/>
            <w:tcBorders>
              <w:top w:val="single" w:sz="12" w:space="0" w:color="auto"/>
              <w:bottom w:val="single" w:sz="4" w:space="0" w:color="auto"/>
            </w:tcBorders>
            <w:shd w:val="clear" w:color="auto" w:fill="auto"/>
          </w:tcPr>
          <w:p w14:paraId="0136C493" w14:textId="77777777" w:rsidR="008D7AC7" w:rsidRPr="00A831E7" w:rsidRDefault="008D7AC7" w:rsidP="00810A8F">
            <w:pPr>
              <w:jc w:val="center"/>
              <w:rPr>
                <w:sz w:val="16"/>
                <w:szCs w:val="16"/>
              </w:rPr>
            </w:pPr>
            <w:r w:rsidRPr="00A831E7">
              <w:rPr>
                <w:sz w:val="16"/>
                <w:szCs w:val="16"/>
              </w:rPr>
              <w:t>HIS-NC</w:t>
            </w:r>
          </w:p>
        </w:tc>
        <w:tc>
          <w:tcPr>
            <w:tcW w:w="427" w:type="pct"/>
            <w:tcBorders>
              <w:top w:val="single" w:sz="12" w:space="0" w:color="auto"/>
              <w:bottom w:val="single" w:sz="4" w:space="0" w:color="auto"/>
            </w:tcBorders>
            <w:shd w:val="clear" w:color="auto" w:fill="auto"/>
          </w:tcPr>
          <w:p w14:paraId="2D1FFCD1" w14:textId="77777777" w:rsidR="008D7AC7" w:rsidRPr="00A831E7" w:rsidRDefault="008D7AC7" w:rsidP="00810A8F">
            <w:pPr>
              <w:jc w:val="center"/>
              <w:rPr>
                <w:sz w:val="18"/>
                <w:szCs w:val="18"/>
              </w:rPr>
            </w:pPr>
            <w:r w:rsidRPr="00A831E7">
              <w:rPr>
                <w:sz w:val="18"/>
                <w:szCs w:val="18"/>
              </w:rPr>
              <w:t>0.826</w:t>
            </w:r>
          </w:p>
        </w:tc>
        <w:tc>
          <w:tcPr>
            <w:tcW w:w="429" w:type="pct"/>
            <w:tcBorders>
              <w:top w:val="single" w:sz="12" w:space="0" w:color="auto"/>
              <w:bottom w:val="single" w:sz="4" w:space="0" w:color="auto"/>
            </w:tcBorders>
            <w:shd w:val="clear" w:color="auto" w:fill="auto"/>
          </w:tcPr>
          <w:p w14:paraId="3F32A75B" w14:textId="77777777" w:rsidR="008D7AC7" w:rsidRPr="00A831E7" w:rsidRDefault="008D7AC7" w:rsidP="00810A8F">
            <w:pPr>
              <w:jc w:val="center"/>
              <w:rPr>
                <w:sz w:val="18"/>
                <w:szCs w:val="18"/>
              </w:rPr>
            </w:pPr>
            <w:r w:rsidRPr="00A831E7">
              <w:rPr>
                <w:sz w:val="18"/>
                <w:szCs w:val="18"/>
              </w:rPr>
              <w:t>-</w:t>
            </w:r>
          </w:p>
        </w:tc>
        <w:tc>
          <w:tcPr>
            <w:tcW w:w="427" w:type="pct"/>
            <w:tcBorders>
              <w:top w:val="single" w:sz="12" w:space="0" w:color="auto"/>
              <w:bottom w:val="single" w:sz="4" w:space="0" w:color="auto"/>
            </w:tcBorders>
            <w:shd w:val="clear" w:color="auto" w:fill="auto"/>
          </w:tcPr>
          <w:p w14:paraId="154B33B4" w14:textId="77777777" w:rsidR="008D7AC7" w:rsidRPr="00A831E7" w:rsidRDefault="008D7AC7" w:rsidP="00810A8F">
            <w:pPr>
              <w:jc w:val="center"/>
              <w:rPr>
                <w:sz w:val="18"/>
                <w:szCs w:val="18"/>
              </w:rPr>
            </w:pPr>
            <w:r w:rsidRPr="00A831E7">
              <w:rPr>
                <w:sz w:val="18"/>
                <w:szCs w:val="18"/>
              </w:rPr>
              <w:t>-</w:t>
            </w:r>
          </w:p>
        </w:tc>
        <w:tc>
          <w:tcPr>
            <w:tcW w:w="388" w:type="pct"/>
            <w:vMerge w:val="restart"/>
            <w:tcBorders>
              <w:top w:val="single" w:sz="12" w:space="0" w:color="auto"/>
              <w:right w:val="single" w:sz="12" w:space="0" w:color="000000"/>
            </w:tcBorders>
            <w:shd w:val="clear" w:color="auto" w:fill="auto"/>
          </w:tcPr>
          <w:p w14:paraId="010B2FE6" w14:textId="0252F3D6" w:rsidR="008D7AC7" w:rsidRPr="00730D74" w:rsidRDefault="00F60951" w:rsidP="00810A8F">
            <w:pPr>
              <w:jc w:val="center"/>
              <w:rPr>
                <w:sz w:val="18"/>
                <w:szCs w:val="18"/>
                <w:lang w:val="en-US"/>
              </w:rPr>
            </w:pPr>
            <w:r w:rsidRPr="00A831E7">
              <w:rPr>
                <w:sz w:val="18"/>
                <w:szCs w:val="18"/>
              </w:rPr>
              <w:fldChar w:fldCharType="begin"/>
            </w:r>
            <w:r w:rsidR="00B61252">
              <w:rPr>
                <w:sz w:val="18"/>
                <w:szCs w:val="18"/>
              </w:rPr>
              <w:instrText xml:space="preserve"> ADDIN ZOTERO_ITEM CSL_CITATION {"citationID":"cOZspJOD","properties":{"formattedCitation":"[110]","plainCitation":"[110]","noteIndex":0},"citationItems":[{"id":221,"uris":["http://zotero.org/users/local/mfHf28QG/items/2LYFM6BB"],"itemData":{"id":221,"type":"article-journal","abstract":"BACKGROUND: Early and accurate diagnosis of ischaemic stroke (IS) requires the use of an optimized biomarker. Exosomal microRNAs have the potential to serve as biomarkers owing to their stability and specificity. We investigated the expression levels of plasma-derived exosomal microRNA-21-5p and microRNA-30a-5p in the different phases of IS.\nMETHODS: One hundred forty-three patients with IS and 24 non-stroke controls were enrolled. The patients were divided into the following 5 groups: 1 group for the hyperacute phase IS (HIS, within 6 h); two for the acute phase IS (AIS, including days 1-3 and days 4-7); one for the subacute phase IS (SIS, days 8-14); and one for the recovery phase IS (RIS, days &gt;14). Plasma exosomes were isolated using a QIAGEN exoRNeasy kit and examined by transmission electron -microscopy, nanoparticle tracking, and flow cytometry. The expression levels of miRNA-21-5p and miRNA-30a-5p were detected by quantitative real-time polymerase chain reaction.\nRESULTS: The plasma exosomal miR-21-5p levels in SIS and RIS were significantly higher than that in controls (p &lt; 0.05 and p &lt; 0.01 respectively). The levels of miR-30a-5p in HIS were significantly higher (p &lt; 0.05) and in AIS (days 1-3) were lower than that in controls (p &lt; 0.05). In AIS (days 1-3), both miRNAs were decreased compared with the HIS group (p = 0.053 and 0.001, respectively). The area under the curve (AUC) of the miR-21-5p was 0.714 for SIS (95% CI 0.570-0.859, p = 0.007), 0.734 for RIS (95% CI 0.596-0.871, p = 0.003); the AUC of the miR-30a-5p was 0.826 for HIS (95% CI 0.665-0.988, p = 0.001), 0.438 for AIS (days 1-3; 95% CI 0.240-0.635, p = 0.516).\nCONCLUSIONS: The plasma-derived exosomal miR-21-5p and miRNA-30a-5p in combination are promising biomarkers for diagnosing IS and distinguishing among HIS, SIS, and RIS, especially miRNA-30a-5p for the diagnosis of the HIS phase. Our results provide a new reference for clinicians to apply in early-stage diagnosis and identifies the possible value of biomarkers for IS thrombolysis therapy.","container-title":"Cerebrovascular Diseases (Basel, Switzerland)","DOI":"10.1159/000488365","ISSN":"1421-9786","issue":"5-6","journalAbbreviation":"Cerebrovasc Dis","language":"eng","note":"PMID: 29627835","page":"204-212","source":"PubMed","title":"Diagnosis of Hyperacute and Acute Ischaemic Stroke: The Potential Utility of Exosomal MicroRNA-21-5p and MicroRNA-30a-5p","title-short":"Diagnosis of Hyperacute and Acute Ischaemic Stroke","volume":"45","author":[{"family":"Wang","given":"Wei"},{"family":"Li","given":"Dong-Bin"},{"family":"Li","given":"Ru-Ying"},{"family":"Zhou","given":"Xia"},{"family":"Yu","given":"Dong-Ju"},{"family":"Lan","given":"Xiao-Yan"},{"family":"Li","given":"Jin-Pin"},{"family":"Liu","given":"Jing-Li"}],"issued":{"date-parts":[["2018"]]}}}],"schema":"https://github.com/citation-style-language/schema/raw/master/csl-citation.json"} </w:instrText>
            </w:r>
            <w:r w:rsidRPr="00A831E7">
              <w:rPr>
                <w:sz w:val="18"/>
                <w:szCs w:val="18"/>
              </w:rPr>
              <w:fldChar w:fldCharType="separate"/>
            </w:r>
            <w:r w:rsidR="00B61252" w:rsidRPr="00B61252">
              <w:rPr>
                <w:sz w:val="18"/>
              </w:rPr>
              <w:t>[110]</w:t>
            </w:r>
            <w:r w:rsidRPr="00A831E7">
              <w:rPr>
                <w:sz w:val="18"/>
                <w:szCs w:val="18"/>
              </w:rPr>
              <w:fldChar w:fldCharType="end"/>
            </w:r>
          </w:p>
        </w:tc>
      </w:tr>
      <w:tr w:rsidR="008D7AC7" w:rsidRPr="00D17951" w14:paraId="5565123E" w14:textId="77777777" w:rsidTr="00647A17">
        <w:trPr>
          <w:trHeight w:val="291"/>
        </w:trPr>
        <w:tc>
          <w:tcPr>
            <w:tcW w:w="676" w:type="pct"/>
            <w:vMerge w:val="restart"/>
            <w:tcBorders>
              <w:top w:val="single" w:sz="4" w:space="0" w:color="auto"/>
              <w:left w:val="single" w:sz="12" w:space="0" w:color="auto"/>
            </w:tcBorders>
            <w:shd w:val="clear" w:color="auto" w:fill="auto"/>
          </w:tcPr>
          <w:p w14:paraId="20F93FFA" w14:textId="77777777" w:rsidR="008D7AC7" w:rsidRPr="00730D74" w:rsidRDefault="008D7AC7" w:rsidP="00810A8F">
            <w:pPr>
              <w:jc w:val="center"/>
              <w:rPr>
                <w:sz w:val="16"/>
                <w:szCs w:val="16"/>
                <w:lang w:val="en-US"/>
              </w:rPr>
            </w:pPr>
            <w:r w:rsidRPr="00730D74">
              <w:rPr>
                <w:sz w:val="16"/>
                <w:szCs w:val="16"/>
                <w:lang w:val="en-US"/>
              </w:rPr>
              <w:t>miR-21-5p</w:t>
            </w:r>
          </w:p>
        </w:tc>
        <w:tc>
          <w:tcPr>
            <w:tcW w:w="1027" w:type="pct"/>
            <w:vMerge/>
            <w:shd w:val="clear" w:color="auto" w:fill="auto"/>
          </w:tcPr>
          <w:p w14:paraId="15181FB2" w14:textId="77777777" w:rsidR="008D7AC7" w:rsidRPr="00730D74" w:rsidRDefault="008D7AC7" w:rsidP="00810A8F">
            <w:pPr>
              <w:jc w:val="center"/>
              <w:rPr>
                <w:i/>
                <w:iCs/>
                <w:sz w:val="16"/>
                <w:szCs w:val="16"/>
                <w:lang w:val="en-US"/>
              </w:rPr>
            </w:pPr>
          </w:p>
        </w:tc>
        <w:tc>
          <w:tcPr>
            <w:tcW w:w="427" w:type="pct"/>
            <w:vMerge/>
            <w:shd w:val="clear" w:color="auto" w:fill="auto"/>
          </w:tcPr>
          <w:p w14:paraId="59849E88" w14:textId="77777777" w:rsidR="008D7AC7" w:rsidRPr="00730D74" w:rsidRDefault="008D7AC7" w:rsidP="00810A8F">
            <w:pPr>
              <w:jc w:val="center"/>
              <w:rPr>
                <w:sz w:val="16"/>
                <w:szCs w:val="16"/>
                <w:lang w:val="en-US"/>
              </w:rPr>
            </w:pPr>
          </w:p>
        </w:tc>
        <w:tc>
          <w:tcPr>
            <w:tcW w:w="685" w:type="pct"/>
            <w:vMerge/>
            <w:shd w:val="clear" w:color="auto" w:fill="auto"/>
          </w:tcPr>
          <w:p w14:paraId="4FC2A5B4" w14:textId="77777777" w:rsidR="008D7AC7" w:rsidRPr="00730D74" w:rsidRDefault="008D7AC7" w:rsidP="00810A8F">
            <w:pPr>
              <w:jc w:val="center"/>
              <w:rPr>
                <w:sz w:val="16"/>
                <w:szCs w:val="16"/>
                <w:lang w:val="en-US"/>
              </w:rPr>
            </w:pPr>
          </w:p>
        </w:tc>
        <w:tc>
          <w:tcPr>
            <w:tcW w:w="514" w:type="pct"/>
            <w:tcBorders>
              <w:top w:val="single" w:sz="4" w:space="0" w:color="auto"/>
              <w:bottom w:val="single" w:sz="4" w:space="0" w:color="auto"/>
            </w:tcBorders>
            <w:shd w:val="clear" w:color="auto" w:fill="auto"/>
          </w:tcPr>
          <w:p w14:paraId="795BC7E6" w14:textId="77777777" w:rsidR="008D7AC7" w:rsidRPr="00730D74" w:rsidRDefault="008D7AC7" w:rsidP="00810A8F">
            <w:pPr>
              <w:jc w:val="center"/>
              <w:rPr>
                <w:sz w:val="16"/>
                <w:szCs w:val="16"/>
                <w:lang w:val="en-US"/>
              </w:rPr>
            </w:pPr>
            <w:r w:rsidRPr="00730D74">
              <w:rPr>
                <w:sz w:val="16"/>
                <w:szCs w:val="16"/>
                <w:lang w:val="en-US"/>
              </w:rPr>
              <w:t>SIS-NC</w:t>
            </w:r>
          </w:p>
        </w:tc>
        <w:tc>
          <w:tcPr>
            <w:tcW w:w="427" w:type="pct"/>
            <w:tcBorders>
              <w:top w:val="single" w:sz="4" w:space="0" w:color="auto"/>
              <w:bottom w:val="single" w:sz="4" w:space="0" w:color="auto"/>
            </w:tcBorders>
            <w:shd w:val="clear" w:color="auto" w:fill="auto"/>
          </w:tcPr>
          <w:p w14:paraId="5110B6C5" w14:textId="77777777" w:rsidR="008D7AC7" w:rsidRPr="00730D74" w:rsidRDefault="008D7AC7" w:rsidP="00810A8F">
            <w:pPr>
              <w:jc w:val="center"/>
              <w:rPr>
                <w:sz w:val="18"/>
                <w:szCs w:val="18"/>
                <w:lang w:val="en-US"/>
              </w:rPr>
            </w:pPr>
            <w:r w:rsidRPr="00730D74">
              <w:rPr>
                <w:sz w:val="18"/>
                <w:szCs w:val="18"/>
                <w:lang w:val="en-US"/>
              </w:rPr>
              <w:t>0.714</w:t>
            </w:r>
          </w:p>
        </w:tc>
        <w:tc>
          <w:tcPr>
            <w:tcW w:w="429" w:type="pct"/>
            <w:tcBorders>
              <w:top w:val="single" w:sz="4" w:space="0" w:color="auto"/>
              <w:bottom w:val="single" w:sz="4" w:space="0" w:color="auto"/>
            </w:tcBorders>
            <w:shd w:val="clear" w:color="auto" w:fill="auto"/>
          </w:tcPr>
          <w:p w14:paraId="094072EB" w14:textId="77777777" w:rsidR="008D7AC7" w:rsidRPr="00730D74" w:rsidRDefault="008D7AC7" w:rsidP="00810A8F">
            <w:pPr>
              <w:jc w:val="center"/>
              <w:rPr>
                <w:sz w:val="18"/>
                <w:szCs w:val="18"/>
                <w:lang w:val="en-US"/>
              </w:rPr>
            </w:pPr>
            <w:r w:rsidRPr="00730D74">
              <w:rPr>
                <w:sz w:val="18"/>
                <w:szCs w:val="18"/>
                <w:lang w:val="en-US"/>
              </w:rPr>
              <w:t>-</w:t>
            </w:r>
          </w:p>
        </w:tc>
        <w:tc>
          <w:tcPr>
            <w:tcW w:w="427" w:type="pct"/>
            <w:tcBorders>
              <w:top w:val="single" w:sz="4" w:space="0" w:color="auto"/>
              <w:bottom w:val="single" w:sz="4" w:space="0" w:color="auto"/>
            </w:tcBorders>
            <w:shd w:val="clear" w:color="auto" w:fill="auto"/>
          </w:tcPr>
          <w:p w14:paraId="08856290" w14:textId="77777777" w:rsidR="008D7AC7" w:rsidRPr="00730D74" w:rsidRDefault="008D7AC7" w:rsidP="00810A8F">
            <w:pPr>
              <w:jc w:val="center"/>
              <w:rPr>
                <w:sz w:val="18"/>
                <w:szCs w:val="18"/>
                <w:lang w:val="en-US"/>
              </w:rPr>
            </w:pPr>
            <w:r w:rsidRPr="00730D74">
              <w:rPr>
                <w:sz w:val="18"/>
                <w:szCs w:val="18"/>
                <w:lang w:val="en-US"/>
              </w:rPr>
              <w:t>-</w:t>
            </w:r>
          </w:p>
        </w:tc>
        <w:tc>
          <w:tcPr>
            <w:tcW w:w="388" w:type="pct"/>
            <w:vMerge/>
            <w:tcBorders>
              <w:right w:val="single" w:sz="12" w:space="0" w:color="000000"/>
            </w:tcBorders>
            <w:shd w:val="clear" w:color="auto" w:fill="auto"/>
          </w:tcPr>
          <w:p w14:paraId="0022E2D7" w14:textId="77777777" w:rsidR="008D7AC7" w:rsidRPr="00730D74" w:rsidRDefault="008D7AC7" w:rsidP="00810A8F">
            <w:pPr>
              <w:jc w:val="center"/>
              <w:rPr>
                <w:sz w:val="18"/>
                <w:szCs w:val="18"/>
                <w:lang w:val="en-US"/>
              </w:rPr>
            </w:pPr>
          </w:p>
        </w:tc>
      </w:tr>
      <w:tr w:rsidR="008D7AC7" w:rsidRPr="00D17951" w14:paraId="060B3C3A" w14:textId="77777777" w:rsidTr="006C3B29">
        <w:trPr>
          <w:trHeight w:val="150"/>
        </w:trPr>
        <w:tc>
          <w:tcPr>
            <w:tcW w:w="676" w:type="pct"/>
            <w:vMerge/>
            <w:tcBorders>
              <w:left w:val="single" w:sz="12" w:space="0" w:color="auto"/>
              <w:bottom w:val="single" w:sz="12" w:space="0" w:color="auto"/>
            </w:tcBorders>
            <w:shd w:val="clear" w:color="auto" w:fill="auto"/>
          </w:tcPr>
          <w:p w14:paraId="2179C0F3" w14:textId="77777777" w:rsidR="008D7AC7" w:rsidRPr="00730D74" w:rsidRDefault="008D7AC7" w:rsidP="00810A8F">
            <w:pPr>
              <w:jc w:val="center"/>
              <w:rPr>
                <w:sz w:val="16"/>
                <w:szCs w:val="16"/>
                <w:lang w:val="en-US"/>
              </w:rPr>
            </w:pPr>
          </w:p>
        </w:tc>
        <w:tc>
          <w:tcPr>
            <w:tcW w:w="1027" w:type="pct"/>
            <w:vMerge/>
            <w:tcBorders>
              <w:bottom w:val="single" w:sz="12" w:space="0" w:color="auto"/>
            </w:tcBorders>
            <w:shd w:val="clear" w:color="auto" w:fill="auto"/>
          </w:tcPr>
          <w:p w14:paraId="56EBE5C5" w14:textId="77777777" w:rsidR="008D7AC7" w:rsidRPr="00730D74" w:rsidRDefault="008D7AC7" w:rsidP="00810A8F">
            <w:pPr>
              <w:jc w:val="center"/>
              <w:rPr>
                <w:i/>
                <w:iCs/>
                <w:sz w:val="16"/>
                <w:szCs w:val="16"/>
                <w:lang w:val="en-US"/>
              </w:rPr>
            </w:pPr>
          </w:p>
        </w:tc>
        <w:tc>
          <w:tcPr>
            <w:tcW w:w="427" w:type="pct"/>
            <w:vMerge/>
            <w:tcBorders>
              <w:bottom w:val="single" w:sz="12" w:space="0" w:color="auto"/>
            </w:tcBorders>
            <w:shd w:val="clear" w:color="auto" w:fill="auto"/>
          </w:tcPr>
          <w:p w14:paraId="32DA98F3" w14:textId="77777777" w:rsidR="008D7AC7" w:rsidRPr="00730D74" w:rsidRDefault="008D7AC7" w:rsidP="00810A8F">
            <w:pPr>
              <w:jc w:val="center"/>
              <w:rPr>
                <w:sz w:val="16"/>
                <w:szCs w:val="16"/>
                <w:lang w:val="en-US"/>
              </w:rPr>
            </w:pPr>
          </w:p>
        </w:tc>
        <w:tc>
          <w:tcPr>
            <w:tcW w:w="685" w:type="pct"/>
            <w:vMerge/>
            <w:tcBorders>
              <w:bottom w:val="single" w:sz="12" w:space="0" w:color="auto"/>
            </w:tcBorders>
            <w:shd w:val="clear" w:color="auto" w:fill="auto"/>
          </w:tcPr>
          <w:p w14:paraId="072A68B7" w14:textId="77777777" w:rsidR="008D7AC7" w:rsidRPr="00730D74" w:rsidRDefault="008D7AC7" w:rsidP="00810A8F">
            <w:pPr>
              <w:jc w:val="center"/>
              <w:rPr>
                <w:sz w:val="16"/>
                <w:szCs w:val="16"/>
                <w:lang w:val="en-US"/>
              </w:rPr>
            </w:pPr>
          </w:p>
        </w:tc>
        <w:tc>
          <w:tcPr>
            <w:tcW w:w="514" w:type="pct"/>
            <w:tcBorders>
              <w:top w:val="single" w:sz="4" w:space="0" w:color="auto"/>
              <w:bottom w:val="single" w:sz="12" w:space="0" w:color="auto"/>
            </w:tcBorders>
            <w:shd w:val="clear" w:color="auto" w:fill="auto"/>
          </w:tcPr>
          <w:p w14:paraId="00FFDE12" w14:textId="77777777" w:rsidR="008D7AC7" w:rsidRPr="00730D74" w:rsidRDefault="008D7AC7" w:rsidP="00810A8F">
            <w:pPr>
              <w:jc w:val="center"/>
              <w:rPr>
                <w:sz w:val="16"/>
                <w:szCs w:val="16"/>
                <w:lang w:val="en-US"/>
              </w:rPr>
            </w:pPr>
            <w:r w:rsidRPr="00730D74">
              <w:rPr>
                <w:sz w:val="16"/>
                <w:szCs w:val="16"/>
                <w:lang w:val="en-US"/>
              </w:rPr>
              <w:t>RIS-NC</w:t>
            </w:r>
          </w:p>
        </w:tc>
        <w:tc>
          <w:tcPr>
            <w:tcW w:w="427" w:type="pct"/>
            <w:tcBorders>
              <w:top w:val="single" w:sz="4" w:space="0" w:color="auto"/>
              <w:bottom w:val="single" w:sz="12" w:space="0" w:color="auto"/>
            </w:tcBorders>
            <w:shd w:val="clear" w:color="auto" w:fill="auto"/>
          </w:tcPr>
          <w:p w14:paraId="72F704BE" w14:textId="77777777" w:rsidR="008D7AC7" w:rsidRPr="00730D74" w:rsidRDefault="008D7AC7" w:rsidP="00810A8F">
            <w:pPr>
              <w:jc w:val="center"/>
              <w:rPr>
                <w:sz w:val="18"/>
                <w:szCs w:val="18"/>
                <w:lang w:val="en-US"/>
              </w:rPr>
            </w:pPr>
            <w:r w:rsidRPr="00730D74">
              <w:rPr>
                <w:sz w:val="18"/>
                <w:szCs w:val="18"/>
                <w:lang w:val="en-US"/>
              </w:rPr>
              <w:t>0.734</w:t>
            </w:r>
          </w:p>
        </w:tc>
        <w:tc>
          <w:tcPr>
            <w:tcW w:w="429" w:type="pct"/>
            <w:tcBorders>
              <w:top w:val="single" w:sz="4" w:space="0" w:color="auto"/>
              <w:bottom w:val="single" w:sz="12" w:space="0" w:color="auto"/>
            </w:tcBorders>
            <w:shd w:val="clear" w:color="auto" w:fill="auto"/>
          </w:tcPr>
          <w:p w14:paraId="097DF3AD" w14:textId="77777777" w:rsidR="008D7AC7" w:rsidRPr="00730D74" w:rsidRDefault="008D7AC7" w:rsidP="00810A8F">
            <w:pPr>
              <w:jc w:val="center"/>
              <w:rPr>
                <w:sz w:val="18"/>
                <w:szCs w:val="18"/>
                <w:lang w:val="en-US"/>
              </w:rPr>
            </w:pPr>
            <w:r w:rsidRPr="00730D74">
              <w:rPr>
                <w:sz w:val="18"/>
                <w:szCs w:val="18"/>
                <w:lang w:val="en-US"/>
              </w:rPr>
              <w:t>-</w:t>
            </w:r>
          </w:p>
        </w:tc>
        <w:tc>
          <w:tcPr>
            <w:tcW w:w="427" w:type="pct"/>
            <w:tcBorders>
              <w:top w:val="single" w:sz="4" w:space="0" w:color="auto"/>
              <w:bottom w:val="single" w:sz="12" w:space="0" w:color="auto"/>
            </w:tcBorders>
            <w:shd w:val="clear" w:color="auto" w:fill="auto"/>
          </w:tcPr>
          <w:p w14:paraId="3FF9DC3C" w14:textId="77777777" w:rsidR="008D7AC7" w:rsidRPr="00730D74" w:rsidRDefault="008D7AC7" w:rsidP="00810A8F">
            <w:pPr>
              <w:jc w:val="center"/>
              <w:rPr>
                <w:sz w:val="18"/>
                <w:szCs w:val="18"/>
                <w:lang w:val="en-US"/>
              </w:rPr>
            </w:pPr>
            <w:r w:rsidRPr="00730D74">
              <w:rPr>
                <w:sz w:val="18"/>
                <w:szCs w:val="18"/>
                <w:lang w:val="en-US"/>
              </w:rPr>
              <w:t>-</w:t>
            </w:r>
          </w:p>
        </w:tc>
        <w:tc>
          <w:tcPr>
            <w:tcW w:w="388" w:type="pct"/>
            <w:vMerge/>
            <w:tcBorders>
              <w:bottom w:val="single" w:sz="12" w:space="0" w:color="auto"/>
              <w:right w:val="single" w:sz="12" w:space="0" w:color="000000"/>
            </w:tcBorders>
            <w:shd w:val="clear" w:color="auto" w:fill="auto"/>
          </w:tcPr>
          <w:p w14:paraId="6F82BFF6" w14:textId="77777777" w:rsidR="008D7AC7" w:rsidRPr="00730D74" w:rsidRDefault="008D7AC7" w:rsidP="00810A8F">
            <w:pPr>
              <w:jc w:val="center"/>
              <w:rPr>
                <w:sz w:val="18"/>
                <w:szCs w:val="18"/>
                <w:lang w:val="en-US"/>
              </w:rPr>
            </w:pPr>
          </w:p>
        </w:tc>
      </w:tr>
      <w:tr w:rsidR="007E567D" w:rsidRPr="00D17951" w14:paraId="3FF001E6" w14:textId="77777777" w:rsidTr="006C3B29">
        <w:trPr>
          <w:trHeight w:val="431"/>
        </w:trPr>
        <w:tc>
          <w:tcPr>
            <w:tcW w:w="676" w:type="pct"/>
            <w:tcBorders>
              <w:top w:val="single" w:sz="12" w:space="0" w:color="auto"/>
              <w:left w:val="single" w:sz="12" w:space="0" w:color="auto"/>
              <w:bottom w:val="single" w:sz="4" w:space="0" w:color="auto"/>
            </w:tcBorders>
            <w:shd w:val="clear" w:color="auto" w:fill="auto"/>
          </w:tcPr>
          <w:p w14:paraId="78123A49" w14:textId="77777777" w:rsidR="007E567D" w:rsidRPr="00730D74" w:rsidRDefault="007E567D" w:rsidP="00810A8F">
            <w:pPr>
              <w:jc w:val="center"/>
              <w:rPr>
                <w:sz w:val="16"/>
                <w:szCs w:val="16"/>
                <w:lang w:val="en-US"/>
              </w:rPr>
            </w:pPr>
            <w:r w:rsidRPr="00730D74">
              <w:rPr>
                <w:sz w:val="16"/>
                <w:szCs w:val="16"/>
                <w:lang w:val="en-US"/>
              </w:rPr>
              <w:t>circ_0043837</w:t>
            </w:r>
          </w:p>
        </w:tc>
        <w:tc>
          <w:tcPr>
            <w:tcW w:w="1027" w:type="pct"/>
            <w:vMerge w:val="restart"/>
            <w:tcBorders>
              <w:top w:val="single" w:sz="12" w:space="0" w:color="auto"/>
            </w:tcBorders>
            <w:shd w:val="clear" w:color="auto" w:fill="auto"/>
          </w:tcPr>
          <w:p w14:paraId="1148024F" w14:textId="77777777" w:rsidR="007E567D" w:rsidRDefault="007E567D" w:rsidP="00810A8F">
            <w:pPr>
              <w:jc w:val="center"/>
              <w:rPr>
                <w:i/>
                <w:iCs/>
                <w:sz w:val="16"/>
                <w:szCs w:val="16"/>
                <w:lang w:val="en-US"/>
              </w:rPr>
            </w:pPr>
            <w:r w:rsidRPr="00730D74">
              <w:rPr>
                <w:i/>
                <w:iCs/>
                <w:sz w:val="16"/>
                <w:szCs w:val="16"/>
                <w:lang w:val="en-US"/>
              </w:rPr>
              <w:t>Decrease in exosomal circRNAs in LAA IS.</w:t>
            </w:r>
          </w:p>
          <w:p w14:paraId="50F03ED9" w14:textId="77777777" w:rsidR="007E567D" w:rsidRDefault="007E567D" w:rsidP="00810A8F">
            <w:pPr>
              <w:jc w:val="center"/>
              <w:rPr>
                <w:i/>
                <w:iCs/>
                <w:sz w:val="16"/>
                <w:szCs w:val="16"/>
                <w:lang w:val="en-US"/>
              </w:rPr>
            </w:pPr>
          </w:p>
          <w:p w14:paraId="6E52EBB7" w14:textId="71DD7AA4" w:rsidR="007E567D" w:rsidRPr="00730D74" w:rsidRDefault="007E567D" w:rsidP="00810A8F">
            <w:pPr>
              <w:jc w:val="center"/>
              <w:rPr>
                <w:i/>
                <w:iCs/>
                <w:sz w:val="16"/>
                <w:szCs w:val="16"/>
                <w:lang w:val="en-US"/>
              </w:rPr>
            </w:pPr>
            <w:r>
              <w:rPr>
                <w:i/>
                <w:iCs/>
                <w:sz w:val="16"/>
                <w:szCs w:val="16"/>
                <w:lang w:val="en-US"/>
              </w:rPr>
              <w:t>LAA=150,</w:t>
            </w:r>
            <w:r w:rsidR="003678F9">
              <w:rPr>
                <w:i/>
                <w:iCs/>
                <w:sz w:val="16"/>
                <w:szCs w:val="16"/>
                <w:lang w:val="en-US"/>
              </w:rPr>
              <w:t xml:space="preserve"> </w:t>
            </w:r>
            <w:r>
              <w:rPr>
                <w:i/>
                <w:iCs/>
                <w:sz w:val="16"/>
                <w:szCs w:val="16"/>
                <w:lang w:val="en-US"/>
              </w:rPr>
              <w:t>NC=10</w:t>
            </w:r>
            <w:r w:rsidR="003678F9">
              <w:rPr>
                <w:i/>
                <w:iCs/>
                <w:sz w:val="16"/>
                <w:szCs w:val="16"/>
                <w:lang w:val="en-US"/>
              </w:rPr>
              <w:t>3</w:t>
            </w:r>
          </w:p>
        </w:tc>
        <w:tc>
          <w:tcPr>
            <w:tcW w:w="427" w:type="pct"/>
            <w:vMerge w:val="restart"/>
            <w:tcBorders>
              <w:top w:val="single" w:sz="12" w:space="0" w:color="auto"/>
            </w:tcBorders>
            <w:shd w:val="clear" w:color="auto" w:fill="auto"/>
          </w:tcPr>
          <w:p w14:paraId="7E29CC94" w14:textId="77777777" w:rsidR="007E567D" w:rsidRPr="00730D74" w:rsidRDefault="007E567D" w:rsidP="00810A8F">
            <w:pPr>
              <w:jc w:val="center"/>
              <w:rPr>
                <w:sz w:val="16"/>
                <w:szCs w:val="16"/>
                <w:lang w:val="en-US"/>
              </w:rPr>
            </w:pPr>
            <w:r w:rsidRPr="00730D74">
              <w:rPr>
                <w:sz w:val="16"/>
                <w:szCs w:val="16"/>
                <w:lang w:val="en-US"/>
              </w:rPr>
              <w:t>&lt;24h</w:t>
            </w:r>
            <w:r w:rsidRPr="00730D74">
              <w:rPr>
                <w:sz w:val="16"/>
                <w:szCs w:val="16"/>
                <w:lang w:val="en-US"/>
              </w:rPr>
              <w:br/>
              <w:t>plasma</w:t>
            </w:r>
          </w:p>
        </w:tc>
        <w:tc>
          <w:tcPr>
            <w:tcW w:w="685" w:type="pct"/>
            <w:vMerge w:val="restart"/>
            <w:tcBorders>
              <w:top w:val="single" w:sz="12" w:space="0" w:color="auto"/>
            </w:tcBorders>
            <w:shd w:val="clear" w:color="auto" w:fill="auto"/>
          </w:tcPr>
          <w:p w14:paraId="6D400CEA" w14:textId="77777777" w:rsidR="007E567D" w:rsidRPr="00730D74" w:rsidRDefault="007E567D" w:rsidP="00810A8F">
            <w:pPr>
              <w:jc w:val="center"/>
              <w:rPr>
                <w:sz w:val="16"/>
                <w:szCs w:val="16"/>
                <w:lang w:val="en-US"/>
              </w:rPr>
            </w:pPr>
            <w:r w:rsidRPr="00730D74">
              <w:rPr>
                <w:sz w:val="16"/>
                <w:szCs w:val="16"/>
                <w:lang w:val="en-US"/>
              </w:rPr>
              <w:t>Invitrogen exosome Extraction kit/TEM/</w:t>
            </w:r>
            <w:r w:rsidRPr="00730D74">
              <w:rPr>
                <w:sz w:val="16"/>
                <w:szCs w:val="16"/>
                <w:lang w:val="en-US"/>
              </w:rPr>
              <w:br/>
              <w:t>Western Blot/HiSeq</w:t>
            </w:r>
          </w:p>
          <w:p w14:paraId="4D3C60D9" w14:textId="77777777" w:rsidR="007E567D" w:rsidRPr="00730D74" w:rsidRDefault="007E567D" w:rsidP="00810A8F">
            <w:pPr>
              <w:jc w:val="center"/>
              <w:rPr>
                <w:sz w:val="16"/>
                <w:szCs w:val="16"/>
                <w:lang w:val="en-US"/>
              </w:rPr>
            </w:pPr>
            <w:r w:rsidRPr="00730D74">
              <w:rPr>
                <w:sz w:val="16"/>
                <w:szCs w:val="16"/>
                <w:lang w:val="en-US"/>
              </w:rPr>
              <w:t>RT-PCR validation &amp;</w:t>
            </w:r>
          </w:p>
          <w:p w14:paraId="249A48C5" w14:textId="205C37C8" w:rsidR="007E567D" w:rsidRPr="00730D74" w:rsidRDefault="007E567D" w:rsidP="00810A8F">
            <w:pPr>
              <w:jc w:val="center"/>
              <w:rPr>
                <w:sz w:val="16"/>
                <w:szCs w:val="16"/>
                <w:lang w:val="en-US"/>
              </w:rPr>
            </w:pPr>
            <w:r w:rsidRPr="00730D74">
              <w:rPr>
                <w:sz w:val="16"/>
                <w:szCs w:val="16"/>
                <w:lang w:val="en-US"/>
              </w:rPr>
              <w:t>logistic regression models</w:t>
            </w:r>
          </w:p>
        </w:tc>
        <w:tc>
          <w:tcPr>
            <w:tcW w:w="514" w:type="pct"/>
            <w:tcBorders>
              <w:top w:val="single" w:sz="12" w:space="0" w:color="auto"/>
              <w:bottom w:val="single" w:sz="4" w:space="0" w:color="auto"/>
            </w:tcBorders>
            <w:shd w:val="clear" w:color="auto" w:fill="auto"/>
          </w:tcPr>
          <w:p w14:paraId="4DE682E9" w14:textId="77777777" w:rsidR="007E567D" w:rsidRPr="00730D74" w:rsidRDefault="007E567D" w:rsidP="00810A8F">
            <w:pPr>
              <w:jc w:val="center"/>
              <w:rPr>
                <w:sz w:val="16"/>
                <w:szCs w:val="16"/>
                <w:lang w:val="en-US"/>
              </w:rPr>
            </w:pPr>
            <w:r w:rsidRPr="00730D74">
              <w:rPr>
                <w:sz w:val="16"/>
                <w:szCs w:val="16"/>
                <w:lang w:val="en-US"/>
              </w:rPr>
              <w:t>LAA-NC</w:t>
            </w:r>
          </w:p>
        </w:tc>
        <w:tc>
          <w:tcPr>
            <w:tcW w:w="427" w:type="pct"/>
            <w:tcBorders>
              <w:top w:val="single" w:sz="12" w:space="0" w:color="auto"/>
              <w:bottom w:val="single" w:sz="4" w:space="0" w:color="auto"/>
            </w:tcBorders>
            <w:shd w:val="clear" w:color="auto" w:fill="auto"/>
          </w:tcPr>
          <w:p w14:paraId="1F38FA37" w14:textId="77777777" w:rsidR="007E567D" w:rsidRPr="00730D74" w:rsidRDefault="007E567D" w:rsidP="00810A8F">
            <w:pPr>
              <w:jc w:val="center"/>
              <w:rPr>
                <w:sz w:val="18"/>
                <w:szCs w:val="18"/>
                <w:lang w:val="en-US"/>
              </w:rPr>
            </w:pPr>
            <w:r w:rsidRPr="00730D74">
              <w:rPr>
                <w:sz w:val="18"/>
                <w:szCs w:val="18"/>
                <w:lang w:val="en-US"/>
              </w:rPr>
              <w:t>0.732</w:t>
            </w:r>
          </w:p>
        </w:tc>
        <w:tc>
          <w:tcPr>
            <w:tcW w:w="429" w:type="pct"/>
            <w:tcBorders>
              <w:top w:val="single" w:sz="12" w:space="0" w:color="auto"/>
              <w:bottom w:val="single" w:sz="4" w:space="0" w:color="auto"/>
            </w:tcBorders>
            <w:shd w:val="clear" w:color="auto" w:fill="auto"/>
          </w:tcPr>
          <w:p w14:paraId="67E3D417" w14:textId="77777777" w:rsidR="007E567D" w:rsidRPr="00730D74" w:rsidRDefault="007E567D" w:rsidP="00810A8F">
            <w:pPr>
              <w:jc w:val="center"/>
              <w:rPr>
                <w:sz w:val="18"/>
                <w:szCs w:val="18"/>
                <w:lang w:val="en-US"/>
              </w:rPr>
            </w:pPr>
            <w:r w:rsidRPr="00730D74">
              <w:rPr>
                <w:sz w:val="18"/>
                <w:szCs w:val="18"/>
                <w:lang w:val="en-US"/>
              </w:rPr>
              <w:t>-</w:t>
            </w:r>
          </w:p>
        </w:tc>
        <w:tc>
          <w:tcPr>
            <w:tcW w:w="427" w:type="pct"/>
            <w:tcBorders>
              <w:top w:val="single" w:sz="12" w:space="0" w:color="auto"/>
              <w:bottom w:val="single" w:sz="4" w:space="0" w:color="auto"/>
            </w:tcBorders>
            <w:shd w:val="clear" w:color="auto" w:fill="auto"/>
          </w:tcPr>
          <w:p w14:paraId="2A4C5478" w14:textId="77777777" w:rsidR="007E567D" w:rsidRPr="00730D74" w:rsidRDefault="007E567D" w:rsidP="00810A8F">
            <w:pPr>
              <w:jc w:val="center"/>
              <w:rPr>
                <w:sz w:val="18"/>
                <w:szCs w:val="18"/>
                <w:lang w:val="en-US"/>
              </w:rPr>
            </w:pPr>
            <w:r w:rsidRPr="00730D74">
              <w:rPr>
                <w:sz w:val="18"/>
                <w:szCs w:val="18"/>
                <w:lang w:val="en-US"/>
              </w:rPr>
              <w:t>-</w:t>
            </w:r>
          </w:p>
        </w:tc>
        <w:tc>
          <w:tcPr>
            <w:tcW w:w="388" w:type="pct"/>
            <w:vMerge w:val="restart"/>
            <w:tcBorders>
              <w:top w:val="single" w:sz="12" w:space="0" w:color="auto"/>
              <w:right w:val="single" w:sz="12" w:space="0" w:color="000000"/>
            </w:tcBorders>
            <w:shd w:val="clear" w:color="auto" w:fill="auto"/>
          </w:tcPr>
          <w:p w14:paraId="4D513877" w14:textId="5418EC31" w:rsidR="007E567D" w:rsidRPr="00730D74" w:rsidRDefault="007E567D" w:rsidP="00810A8F">
            <w:pPr>
              <w:jc w:val="center"/>
              <w:rPr>
                <w:sz w:val="18"/>
                <w:szCs w:val="18"/>
                <w:lang w:val="en-US"/>
              </w:rPr>
            </w:pPr>
            <w:r w:rsidRPr="00A831E7">
              <w:rPr>
                <w:sz w:val="18"/>
                <w:szCs w:val="18"/>
              </w:rPr>
              <w:fldChar w:fldCharType="begin"/>
            </w:r>
            <w:r w:rsidR="00B61252">
              <w:rPr>
                <w:sz w:val="18"/>
                <w:szCs w:val="18"/>
                <w:lang w:val="en-US"/>
              </w:rPr>
              <w:instrText xml:space="preserve"> ADDIN ZOTERO_ITEM CSL_CITATION {"citationID":"BJj3CQSF","properties":{"formattedCitation":"[111]","plainCitation":"[111]","noteIndex":0},"citationItems":[{"id":232,"uris":["http://zotero.org/users/local/mfHf28QG/items/LNUBKTZ2"],"itemData":{"id":232,"type":"article-journal","abstract":"Large artery atherosclerotic (LAA) stroke is closely associated with atherosclerosis, characterized by the accumulation of immune cells. Early recognition of LAA stroke is crucial. Circulating exosomal circRNAs profiling represents a promising, ...","container-title":"Frontiers in Immunology","DOI":"10.3389/fimmu.2021.830018","language":"en","note":"PMID: 35095932","page":"830018","source":"pmc.ncbi.nlm.nih.gov","title":"Circulating Exosomal circRNAs Contribute to Potential Diagnostic Value of Large Artery Atherosclerotic Stroke","volume":"12","author":[{"family":"Xiao","given":"Qi"},{"family":"Hou","given":"Rongyao"},{"family":"Li","given":"Hong"},{"family":"Zhang","given":"Shuai"},{"family":"Zhang","given":"Fuzhi"},{"family":"Zhu","given":"Xiaoyan"},{"family":"Pan","given":"Xudong"}],"issued":{"date-parts":[["2022",1,13]]}}}],"schema":"https://github.com/citation-style-language/schema/raw/master/csl-citation.json"} </w:instrText>
            </w:r>
            <w:r w:rsidRPr="00A831E7">
              <w:rPr>
                <w:sz w:val="18"/>
                <w:szCs w:val="18"/>
              </w:rPr>
              <w:fldChar w:fldCharType="separate"/>
            </w:r>
            <w:r w:rsidR="00B61252" w:rsidRPr="00B61252">
              <w:rPr>
                <w:sz w:val="18"/>
              </w:rPr>
              <w:t>[111]</w:t>
            </w:r>
            <w:r w:rsidRPr="00A831E7">
              <w:rPr>
                <w:sz w:val="18"/>
                <w:szCs w:val="18"/>
              </w:rPr>
              <w:fldChar w:fldCharType="end"/>
            </w:r>
          </w:p>
        </w:tc>
      </w:tr>
      <w:tr w:rsidR="007E567D" w:rsidRPr="00D17951" w14:paraId="6CA549CB" w14:textId="77777777" w:rsidTr="00CA561B">
        <w:trPr>
          <w:trHeight w:val="438"/>
        </w:trPr>
        <w:tc>
          <w:tcPr>
            <w:tcW w:w="676" w:type="pct"/>
            <w:tcBorders>
              <w:top w:val="single" w:sz="4" w:space="0" w:color="auto"/>
              <w:left w:val="single" w:sz="12" w:space="0" w:color="auto"/>
              <w:bottom w:val="single" w:sz="8" w:space="0" w:color="auto"/>
            </w:tcBorders>
            <w:shd w:val="clear" w:color="auto" w:fill="auto"/>
          </w:tcPr>
          <w:p w14:paraId="7585B822" w14:textId="77777777" w:rsidR="007E567D" w:rsidRPr="00730D74" w:rsidRDefault="007E567D" w:rsidP="00810A8F">
            <w:pPr>
              <w:jc w:val="center"/>
              <w:rPr>
                <w:sz w:val="18"/>
                <w:szCs w:val="18"/>
                <w:lang w:val="en-US"/>
              </w:rPr>
            </w:pPr>
            <w:r w:rsidRPr="00730D74">
              <w:rPr>
                <w:sz w:val="16"/>
                <w:szCs w:val="16"/>
                <w:lang w:val="en-US"/>
              </w:rPr>
              <w:t>circ_0001801</w:t>
            </w:r>
          </w:p>
        </w:tc>
        <w:tc>
          <w:tcPr>
            <w:tcW w:w="1027" w:type="pct"/>
            <w:vMerge/>
            <w:shd w:val="clear" w:color="auto" w:fill="auto"/>
          </w:tcPr>
          <w:p w14:paraId="25F5D98E" w14:textId="77777777" w:rsidR="007E567D" w:rsidRPr="00730D74" w:rsidRDefault="007E567D" w:rsidP="00810A8F">
            <w:pPr>
              <w:jc w:val="center"/>
              <w:rPr>
                <w:i/>
                <w:iCs/>
                <w:sz w:val="16"/>
                <w:szCs w:val="16"/>
                <w:lang w:val="en-US"/>
              </w:rPr>
            </w:pPr>
          </w:p>
        </w:tc>
        <w:tc>
          <w:tcPr>
            <w:tcW w:w="427" w:type="pct"/>
            <w:vMerge/>
            <w:shd w:val="clear" w:color="auto" w:fill="auto"/>
          </w:tcPr>
          <w:p w14:paraId="63A7D0F5" w14:textId="77777777" w:rsidR="007E567D" w:rsidRPr="00730D74" w:rsidRDefault="007E567D" w:rsidP="00810A8F">
            <w:pPr>
              <w:jc w:val="center"/>
              <w:rPr>
                <w:sz w:val="16"/>
                <w:szCs w:val="16"/>
                <w:lang w:val="en-US"/>
              </w:rPr>
            </w:pPr>
          </w:p>
        </w:tc>
        <w:tc>
          <w:tcPr>
            <w:tcW w:w="685" w:type="pct"/>
            <w:vMerge/>
            <w:shd w:val="clear" w:color="auto" w:fill="auto"/>
          </w:tcPr>
          <w:p w14:paraId="380845EF" w14:textId="0D7F71DE" w:rsidR="007E567D" w:rsidRPr="00730D74" w:rsidRDefault="007E567D" w:rsidP="00810A8F">
            <w:pPr>
              <w:jc w:val="center"/>
              <w:rPr>
                <w:sz w:val="16"/>
                <w:szCs w:val="16"/>
                <w:lang w:val="en-US"/>
              </w:rPr>
            </w:pPr>
          </w:p>
        </w:tc>
        <w:tc>
          <w:tcPr>
            <w:tcW w:w="514" w:type="pct"/>
            <w:tcBorders>
              <w:top w:val="single" w:sz="4" w:space="0" w:color="auto"/>
              <w:bottom w:val="single" w:sz="8" w:space="0" w:color="auto"/>
            </w:tcBorders>
            <w:shd w:val="clear" w:color="auto" w:fill="auto"/>
          </w:tcPr>
          <w:p w14:paraId="306FB020" w14:textId="77777777" w:rsidR="007E567D" w:rsidRPr="00730D74" w:rsidRDefault="007E567D" w:rsidP="00810A8F">
            <w:pPr>
              <w:jc w:val="center"/>
              <w:rPr>
                <w:sz w:val="16"/>
                <w:szCs w:val="16"/>
                <w:lang w:val="en-US"/>
              </w:rPr>
            </w:pPr>
            <w:r w:rsidRPr="00730D74">
              <w:rPr>
                <w:sz w:val="16"/>
                <w:szCs w:val="16"/>
                <w:lang w:val="en-US"/>
              </w:rPr>
              <w:t>LAA-NC</w:t>
            </w:r>
          </w:p>
        </w:tc>
        <w:tc>
          <w:tcPr>
            <w:tcW w:w="427" w:type="pct"/>
            <w:tcBorders>
              <w:top w:val="single" w:sz="4" w:space="0" w:color="auto"/>
              <w:bottom w:val="single" w:sz="8" w:space="0" w:color="auto"/>
            </w:tcBorders>
            <w:shd w:val="clear" w:color="auto" w:fill="auto"/>
          </w:tcPr>
          <w:p w14:paraId="47C48E58" w14:textId="77777777" w:rsidR="007E567D" w:rsidRPr="00730D74" w:rsidRDefault="007E567D" w:rsidP="00810A8F">
            <w:pPr>
              <w:jc w:val="center"/>
              <w:rPr>
                <w:sz w:val="18"/>
                <w:szCs w:val="18"/>
                <w:lang w:val="en-US"/>
              </w:rPr>
            </w:pPr>
            <w:r w:rsidRPr="00730D74">
              <w:rPr>
                <w:sz w:val="18"/>
                <w:szCs w:val="18"/>
                <w:lang w:val="en-US"/>
              </w:rPr>
              <w:t>0.794</w:t>
            </w:r>
          </w:p>
        </w:tc>
        <w:tc>
          <w:tcPr>
            <w:tcW w:w="429" w:type="pct"/>
            <w:tcBorders>
              <w:top w:val="single" w:sz="4" w:space="0" w:color="auto"/>
              <w:bottom w:val="single" w:sz="8" w:space="0" w:color="auto"/>
            </w:tcBorders>
            <w:shd w:val="clear" w:color="auto" w:fill="auto"/>
          </w:tcPr>
          <w:p w14:paraId="5A95B430" w14:textId="77777777" w:rsidR="007E567D" w:rsidRPr="00730D74" w:rsidRDefault="007E567D" w:rsidP="00810A8F">
            <w:pPr>
              <w:jc w:val="center"/>
              <w:rPr>
                <w:sz w:val="18"/>
                <w:szCs w:val="18"/>
                <w:lang w:val="en-US"/>
              </w:rPr>
            </w:pPr>
            <w:r w:rsidRPr="00730D74">
              <w:rPr>
                <w:sz w:val="18"/>
                <w:szCs w:val="18"/>
                <w:lang w:val="en-US"/>
              </w:rPr>
              <w:t>-</w:t>
            </w:r>
          </w:p>
        </w:tc>
        <w:tc>
          <w:tcPr>
            <w:tcW w:w="427" w:type="pct"/>
            <w:tcBorders>
              <w:top w:val="single" w:sz="4" w:space="0" w:color="auto"/>
              <w:bottom w:val="single" w:sz="8" w:space="0" w:color="auto"/>
            </w:tcBorders>
            <w:shd w:val="clear" w:color="auto" w:fill="auto"/>
          </w:tcPr>
          <w:p w14:paraId="3C2E76B2" w14:textId="77777777" w:rsidR="007E567D" w:rsidRPr="00730D74" w:rsidRDefault="007E567D" w:rsidP="00810A8F">
            <w:pPr>
              <w:jc w:val="center"/>
              <w:rPr>
                <w:sz w:val="18"/>
                <w:szCs w:val="18"/>
                <w:lang w:val="en-US"/>
              </w:rPr>
            </w:pPr>
            <w:r w:rsidRPr="00730D74">
              <w:rPr>
                <w:sz w:val="18"/>
                <w:szCs w:val="18"/>
                <w:lang w:val="en-US"/>
              </w:rPr>
              <w:t>-</w:t>
            </w:r>
          </w:p>
        </w:tc>
        <w:tc>
          <w:tcPr>
            <w:tcW w:w="388" w:type="pct"/>
            <w:vMerge/>
            <w:tcBorders>
              <w:right w:val="single" w:sz="12" w:space="0" w:color="000000"/>
            </w:tcBorders>
            <w:shd w:val="clear" w:color="auto" w:fill="auto"/>
          </w:tcPr>
          <w:p w14:paraId="5D8C5BA9" w14:textId="77777777" w:rsidR="007E567D" w:rsidRPr="00730D74" w:rsidRDefault="007E567D" w:rsidP="00810A8F">
            <w:pPr>
              <w:jc w:val="center"/>
              <w:rPr>
                <w:sz w:val="18"/>
                <w:szCs w:val="18"/>
                <w:lang w:val="en-US"/>
              </w:rPr>
            </w:pPr>
          </w:p>
        </w:tc>
      </w:tr>
      <w:tr w:rsidR="007E567D" w:rsidRPr="00DB30F9" w14:paraId="394CC6ED" w14:textId="77777777" w:rsidTr="00CA561B">
        <w:trPr>
          <w:trHeight w:val="150"/>
        </w:trPr>
        <w:tc>
          <w:tcPr>
            <w:tcW w:w="676" w:type="pct"/>
            <w:tcBorders>
              <w:top w:val="single" w:sz="8" w:space="0" w:color="auto"/>
              <w:left w:val="single" w:sz="12" w:space="0" w:color="auto"/>
              <w:bottom w:val="single" w:sz="12" w:space="0" w:color="auto"/>
            </w:tcBorders>
            <w:shd w:val="clear" w:color="auto" w:fill="auto"/>
          </w:tcPr>
          <w:p w14:paraId="1C0CE410" w14:textId="77777777" w:rsidR="007E567D" w:rsidRPr="00730D74" w:rsidRDefault="007E567D" w:rsidP="00810A8F">
            <w:pPr>
              <w:jc w:val="center"/>
              <w:rPr>
                <w:sz w:val="18"/>
                <w:szCs w:val="18"/>
                <w:lang w:val="en-US"/>
              </w:rPr>
            </w:pPr>
            <w:r w:rsidRPr="00730D74">
              <w:rPr>
                <w:sz w:val="16"/>
                <w:szCs w:val="16"/>
                <w:lang w:val="en-US"/>
              </w:rPr>
              <w:t>circ_0043837 &amp; circ_0001801</w:t>
            </w:r>
          </w:p>
        </w:tc>
        <w:tc>
          <w:tcPr>
            <w:tcW w:w="1027" w:type="pct"/>
            <w:vMerge/>
            <w:tcBorders>
              <w:bottom w:val="single" w:sz="12" w:space="0" w:color="auto"/>
            </w:tcBorders>
            <w:shd w:val="clear" w:color="auto" w:fill="auto"/>
          </w:tcPr>
          <w:p w14:paraId="35960245" w14:textId="77777777" w:rsidR="007E567D" w:rsidRPr="00730D74" w:rsidRDefault="007E567D" w:rsidP="00810A8F">
            <w:pPr>
              <w:jc w:val="center"/>
              <w:rPr>
                <w:i/>
                <w:iCs/>
                <w:sz w:val="16"/>
                <w:szCs w:val="16"/>
                <w:lang w:val="en-US"/>
              </w:rPr>
            </w:pPr>
          </w:p>
        </w:tc>
        <w:tc>
          <w:tcPr>
            <w:tcW w:w="427" w:type="pct"/>
            <w:vMerge/>
            <w:tcBorders>
              <w:bottom w:val="single" w:sz="12" w:space="0" w:color="auto"/>
            </w:tcBorders>
            <w:shd w:val="clear" w:color="auto" w:fill="auto"/>
          </w:tcPr>
          <w:p w14:paraId="56E1DD58" w14:textId="77777777" w:rsidR="007E567D" w:rsidRPr="00730D74" w:rsidRDefault="007E567D" w:rsidP="00810A8F">
            <w:pPr>
              <w:jc w:val="center"/>
              <w:rPr>
                <w:sz w:val="16"/>
                <w:szCs w:val="16"/>
                <w:lang w:val="en-US"/>
              </w:rPr>
            </w:pPr>
          </w:p>
        </w:tc>
        <w:tc>
          <w:tcPr>
            <w:tcW w:w="685" w:type="pct"/>
            <w:vMerge/>
            <w:tcBorders>
              <w:bottom w:val="single" w:sz="12" w:space="0" w:color="auto"/>
            </w:tcBorders>
            <w:shd w:val="clear" w:color="auto" w:fill="auto"/>
          </w:tcPr>
          <w:p w14:paraId="2AF266D2" w14:textId="0361D3A1" w:rsidR="007E567D" w:rsidRPr="00730D74" w:rsidRDefault="007E567D" w:rsidP="00810A8F">
            <w:pPr>
              <w:jc w:val="center"/>
              <w:rPr>
                <w:sz w:val="16"/>
                <w:szCs w:val="16"/>
                <w:lang w:val="en-US"/>
              </w:rPr>
            </w:pPr>
          </w:p>
        </w:tc>
        <w:tc>
          <w:tcPr>
            <w:tcW w:w="514" w:type="pct"/>
            <w:tcBorders>
              <w:top w:val="single" w:sz="8" w:space="0" w:color="auto"/>
              <w:bottom w:val="single" w:sz="12" w:space="0" w:color="auto"/>
            </w:tcBorders>
            <w:shd w:val="clear" w:color="auto" w:fill="auto"/>
          </w:tcPr>
          <w:p w14:paraId="305F5D6F" w14:textId="77777777" w:rsidR="007E567D" w:rsidRPr="00A831E7" w:rsidRDefault="007E567D" w:rsidP="00810A8F">
            <w:pPr>
              <w:jc w:val="center"/>
              <w:rPr>
                <w:sz w:val="16"/>
                <w:szCs w:val="16"/>
              </w:rPr>
            </w:pPr>
            <w:r w:rsidRPr="00A831E7">
              <w:rPr>
                <w:sz w:val="18"/>
                <w:szCs w:val="18"/>
              </w:rPr>
              <w:t>»</w:t>
            </w:r>
          </w:p>
        </w:tc>
        <w:tc>
          <w:tcPr>
            <w:tcW w:w="427" w:type="pct"/>
            <w:tcBorders>
              <w:top w:val="single" w:sz="8" w:space="0" w:color="auto"/>
              <w:bottom w:val="single" w:sz="12" w:space="0" w:color="auto"/>
            </w:tcBorders>
            <w:shd w:val="clear" w:color="auto" w:fill="auto"/>
          </w:tcPr>
          <w:p w14:paraId="55902851" w14:textId="77777777" w:rsidR="007E567D" w:rsidRPr="00A831E7" w:rsidRDefault="007E567D" w:rsidP="00810A8F">
            <w:pPr>
              <w:jc w:val="center"/>
              <w:rPr>
                <w:sz w:val="18"/>
                <w:szCs w:val="18"/>
              </w:rPr>
            </w:pPr>
            <w:r w:rsidRPr="00A831E7">
              <w:rPr>
                <w:sz w:val="18"/>
                <w:szCs w:val="18"/>
              </w:rPr>
              <w:t>0.825</w:t>
            </w:r>
          </w:p>
        </w:tc>
        <w:tc>
          <w:tcPr>
            <w:tcW w:w="429" w:type="pct"/>
            <w:tcBorders>
              <w:top w:val="single" w:sz="8" w:space="0" w:color="auto"/>
              <w:bottom w:val="single" w:sz="12" w:space="0" w:color="auto"/>
            </w:tcBorders>
            <w:shd w:val="clear" w:color="auto" w:fill="auto"/>
          </w:tcPr>
          <w:p w14:paraId="16677FB9" w14:textId="77777777" w:rsidR="007E567D" w:rsidRPr="00A831E7" w:rsidRDefault="007E567D" w:rsidP="00810A8F">
            <w:pPr>
              <w:jc w:val="center"/>
              <w:rPr>
                <w:sz w:val="18"/>
                <w:szCs w:val="18"/>
              </w:rPr>
            </w:pPr>
            <w:r w:rsidRPr="00A831E7">
              <w:rPr>
                <w:sz w:val="18"/>
                <w:szCs w:val="18"/>
              </w:rPr>
              <w:t>-</w:t>
            </w:r>
          </w:p>
        </w:tc>
        <w:tc>
          <w:tcPr>
            <w:tcW w:w="427" w:type="pct"/>
            <w:tcBorders>
              <w:top w:val="single" w:sz="8" w:space="0" w:color="auto"/>
              <w:bottom w:val="single" w:sz="12" w:space="0" w:color="auto"/>
            </w:tcBorders>
            <w:shd w:val="clear" w:color="auto" w:fill="auto"/>
          </w:tcPr>
          <w:p w14:paraId="1B9B9CF3" w14:textId="77777777" w:rsidR="007E567D" w:rsidRPr="00A831E7" w:rsidRDefault="007E567D" w:rsidP="00810A8F">
            <w:pPr>
              <w:jc w:val="center"/>
              <w:rPr>
                <w:sz w:val="18"/>
                <w:szCs w:val="18"/>
              </w:rPr>
            </w:pPr>
            <w:r w:rsidRPr="00A831E7">
              <w:rPr>
                <w:sz w:val="18"/>
                <w:szCs w:val="18"/>
              </w:rPr>
              <w:t>-</w:t>
            </w:r>
          </w:p>
        </w:tc>
        <w:tc>
          <w:tcPr>
            <w:tcW w:w="388" w:type="pct"/>
            <w:vMerge/>
            <w:tcBorders>
              <w:bottom w:val="single" w:sz="12" w:space="0" w:color="auto"/>
              <w:right w:val="single" w:sz="12" w:space="0" w:color="000000"/>
            </w:tcBorders>
            <w:shd w:val="clear" w:color="auto" w:fill="auto"/>
          </w:tcPr>
          <w:p w14:paraId="3BE0C75B" w14:textId="77777777" w:rsidR="007E567D" w:rsidRPr="00A831E7" w:rsidRDefault="007E567D" w:rsidP="00810A8F">
            <w:pPr>
              <w:jc w:val="center"/>
              <w:rPr>
                <w:sz w:val="18"/>
                <w:szCs w:val="18"/>
              </w:rPr>
            </w:pPr>
          </w:p>
        </w:tc>
      </w:tr>
    </w:tbl>
    <w:p w14:paraId="2D531E03" w14:textId="3E3CC707" w:rsidR="00216496" w:rsidRDefault="008D7AC7" w:rsidP="00B07E2B">
      <w:pPr>
        <w:jc w:val="both"/>
        <w:rPr>
          <w:sz w:val="18"/>
          <w:szCs w:val="18"/>
        </w:rPr>
      </w:pPr>
      <w:r w:rsidRPr="00730D74">
        <w:rPr>
          <w:i/>
          <w:iCs/>
          <w:sz w:val="18"/>
          <w:szCs w:val="18"/>
          <w:lang w:val="en-US"/>
        </w:rPr>
        <w:t xml:space="preserve">SIRT2(Silent Information Regulator 2), Normal Control group (NC), Nanoparticle Tracking Analysis (NTA), </w:t>
      </w:r>
      <w:bookmarkStart w:id="142" w:name="_Hlk190427540"/>
      <w:r w:rsidRPr="00730D74">
        <w:rPr>
          <w:i/>
          <w:iCs/>
          <w:sz w:val="18"/>
          <w:szCs w:val="18"/>
          <w:lang w:val="en-US"/>
        </w:rPr>
        <w:t>quantitative real-time polymerase chain reaction (qRT-PCR),</w:t>
      </w:r>
      <w:bookmarkEnd w:id="142"/>
      <w:r w:rsidRPr="00730D74">
        <w:rPr>
          <w:sz w:val="18"/>
          <w:szCs w:val="18"/>
          <w:lang w:val="en-US"/>
        </w:rPr>
        <w:t xml:space="preserve"> </w:t>
      </w:r>
      <w:r w:rsidRPr="00730D74">
        <w:rPr>
          <w:i/>
          <w:iCs/>
          <w:sz w:val="18"/>
          <w:szCs w:val="18"/>
          <w:lang w:val="en-US"/>
        </w:rPr>
        <w:t>RT-qPCR (Reverse Transcription Quantitative PCR), hyperacute phase IS (HIS),</w:t>
      </w:r>
      <w:r w:rsidRPr="00730D74">
        <w:rPr>
          <w:sz w:val="18"/>
          <w:szCs w:val="18"/>
          <w:lang w:val="en-US"/>
        </w:rPr>
        <w:t xml:space="preserve"> </w:t>
      </w:r>
      <w:r w:rsidRPr="00730D74">
        <w:rPr>
          <w:i/>
          <w:iCs/>
          <w:sz w:val="18"/>
          <w:szCs w:val="18"/>
          <w:lang w:val="en-US"/>
        </w:rPr>
        <w:t>subacute phase IS (SIS), recovery phase IS (RIS),  transmission electron microscopy (TEM), Illumina HiSeq 4000 platform library sequencing (HiSeq), Large artery atherosclerotic stroke (LAA), Small Artery Occlusion (SAO), Total Exosome Isolation reagent (TEI)</w:t>
      </w:r>
      <w:r w:rsidRPr="00730D74">
        <w:rPr>
          <w:sz w:val="18"/>
          <w:szCs w:val="18"/>
          <w:lang w:val="en-US"/>
        </w:rPr>
        <w:t>.</w:t>
      </w:r>
    </w:p>
    <w:p w14:paraId="361760F4" w14:textId="77777777" w:rsidR="00B07E2B" w:rsidRDefault="00B07E2B" w:rsidP="00B07E2B">
      <w:pPr>
        <w:jc w:val="both"/>
        <w:rPr>
          <w:sz w:val="18"/>
          <w:szCs w:val="18"/>
        </w:rPr>
      </w:pPr>
    </w:p>
    <w:p w14:paraId="68A4828E" w14:textId="77777777" w:rsidR="00B07E2B" w:rsidRPr="00B07E2B" w:rsidRDefault="00B07E2B" w:rsidP="00B07E2B">
      <w:pPr>
        <w:jc w:val="both"/>
        <w:rPr>
          <w:sz w:val="18"/>
          <w:szCs w:val="18"/>
        </w:rPr>
      </w:pPr>
    </w:p>
    <w:p w14:paraId="052096D5" w14:textId="77777777" w:rsidR="00B07E2B" w:rsidRPr="008F5904" w:rsidRDefault="00B07E2B" w:rsidP="008F5904">
      <w:pPr>
        <w:pStyle w:val="3"/>
      </w:pPr>
      <w:bookmarkStart w:id="143" w:name="_Toc199787415"/>
      <w:bookmarkStart w:id="144" w:name="_Toc199946486"/>
      <w:r w:rsidRPr="008F5904">
        <w:t>5.2.1 Φορτίο EVs: Πρωτεΐνες</w:t>
      </w:r>
      <w:bookmarkEnd w:id="143"/>
      <w:bookmarkEnd w:id="144"/>
    </w:p>
    <w:p w14:paraId="592BEC99" w14:textId="0A6BE0A0" w:rsidR="00B07E2B" w:rsidRDefault="00B07E2B" w:rsidP="00B07E2B">
      <w:pPr>
        <w:spacing w:line="360" w:lineRule="auto"/>
        <w:ind w:firstLine="720"/>
        <w:jc w:val="both"/>
        <w:rPr>
          <w:rFonts w:eastAsia="Calibri"/>
        </w:rPr>
      </w:pPr>
      <w:r w:rsidRPr="00A831E7">
        <w:rPr>
          <w:rFonts w:eastAsia="Calibri"/>
        </w:rPr>
        <w:t>Ένας τέτοιος τύπος φορτίου είναι οι πρωτεΐνες. Για παράδειγμα η πρωτεΐνη SIRT2 σε πρόσφατη μελέτη εμφάνισε σημαντικά αυξημένα επίπεδα στους ασθενείς με AIS σε σύγκριση με τους μη</w:t>
      </w:r>
      <w:r>
        <w:rPr>
          <w:rFonts w:eastAsia="Calibri"/>
        </w:rPr>
        <w:t xml:space="preserve"> </w:t>
      </w:r>
      <w:r w:rsidRPr="00A831E7">
        <w:rPr>
          <w:rFonts w:eastAsia="Calibri"/>
        </w:rPr>
        <w:t xml:space="preserve">ασθενείς </w:t>
      </w:r>
      <w:r w:rsidRPr="00A831E7">
        <w:rPr>
          <w:rFonts w:eastAsia="Calibri"/>
        </w:rPr>
        <w:fldChar w:fldCharType="begin"/>
      </w:r>
      <w:r w:rsidR="00B61252">
        <w:rPr>
          <w:rFonts w:eastAsia="Calibri"/>
        </w:rPr>
        <w:instrText xml:space="preserve"> ADDIN ZOTERO_ITEM CSL_CITATION {"citationID":"0dzA8ble","properties":{"formattedCitation":"[108]","plainCitation":"[108]","noteIndex":0},"citationItems":[{"id":240,"uris":["http://zotero.org/users/local/mfHf28QG/items/TXH5KPDR"],"itemData":{"id":240,"type":"article-journal","abstract":"Silent Information Regulator 2 (SIRT2) protein inhibition has been shown to play a neuroprotective role in acute ischemic stroke (AIS) in mice. However, its role in AIS patients has not been fully understood. In this study, we aimed to analyze SIRT2 ...","container-title":"BMC Neurology","DOI":"10.1186/s12883-023-03348-7","language":"en","note":"PMID: 37684620","page":"321","source":"pmc.ncbi.nlm.nih.gov","title":"Elevated SIRT2 of serum exosomes is positively correlated with diagnosis of acute ischemic stroke patients","volume":"23","author":[{"family":"Lu","given":"Wenmei"},{"family":"Hou","given":"Duanlu"},{"family":"Chen","given":"Xin"},{"family":"Zhong","given":"Ping"},{"family":"Liu","given":"Xueyuan"},{"family":"Wu","given":"Danhong"}],"issued":{"date-parts":[["2023",9,8]]}}}],"schema":"https://github.com/citation-style-language/schema/raw/master/csl-citation.json"} </w:instrText>
      </w:r>
      <w:r w:rsidRPr="00A831E7">
        <w:rPr>
          <w:rFonts w:eastAsia="Calibri"/>
        </w:rPr>
        <w:fldChar w:fldCharType="separate"/>
      </w:r>
      <w:r w:rsidR="00B61252" w:rsidRPr="00B61252">
        <w:rPr>
          <w:rFonts w:eastAsia="Calibri"/>
        </w:rPr>
        <w:t>[108]</w:t>
      </w:r>
      <w:r w:rsidRPr="00A831E7">
        <w:rPr>
          <w:rFonts w:eastAsia="Calibri"/>
        </w:rPr>
        <w:fldChar w:fldCharType="end"/>
      </w:r>
      <w:r w:rsidRPr="00A831E7">
        <w:rPr>
          <w:rFonts w:eastAsia="Calibri"/>
        </w:rPr>
        <w:t xml:space="preserve">. Στη μελέτη που αφορά την πρωτεΐνη SIRT2, τα EVs απομονώθηκαν από δείγματα ορού χρησιμοποιώντας το Total Exosome Isolation Kit (ThermoFisher Scientific), χαρακτηρίστηκαν μέσω Western blot για την </w:t>
      </w:r>
      <w:r w:rsidRPr="00A831E7">
        <w:rPr>
          <w:rFonts w:eastAsia="Calibri"/>
        </w:rPr>
        <w:lastRenderedPageBreak/>
        <w:t xml:space="preserve">ανίχνευση των εξωσωματικών δεικτών CD63 και CD81 και έγινε χρήση ELISA assay για την ποσοτικοποίηση των επιπέδων της SIRT2 σε ορό-παράγωγα EVs. Η ανάλυση παρουσίασε AUC = 0.838, ευαισθησία 81.3%, και ειδικότητα 75.3%  στην ανίχνευση οξέος ισχαιμικού ΑΕΕ </w:t>
      </w:r>
      <w:r w:rsidRPr="00A831E7">
        <w:rPr>
          <w:rFonts w:eastAsia="Calibri"/>
        </w:rPr>
        <w:fldChar w:fldCharType="begin"/>
      </w:r>
      <w:r w:rsidR="00B61252">
        <w:rPr>
          <w:rFonts w:eastAsia="Calibri"/>
        </w:rPr>
        <w:instrText xml:space="preserve"> ADDIN ZOTERO_ITEM CSL_CITATION {"citationID":"DsyhyPXZ","properties":{"formattedCitation":"[108]","plainCitation":"[108]","noteIndex":0},"citationItems":[{"id":240,"uris":["http://zotero.org/users/local/mfHf28QG/items/TXH5KPDR"],"itemData":{"id":240,"type":"article-journal","abstract":"Silent Information Regulator 2 (SIRT2) protein inhibition has been shown to play a neuroprotective role in acute ischemic stroke (AIS) in mice. However, its role in AIS patients has not been fully understood. In this study, we aimed to analyze SIRT2 ...","container-title":"BMC Neurology","DOI":"10.1186/s12883-023-03348-7","language":"en","note":"PMID: 37684620","page":"321","source":"pmc.ncbi.nlm.nih.gov","title":"Elevated SIRT2 of serum exosomes is positively correlated with diagnosis of acute ischemic stroke patients","volume":"23","author":[{"family":"Lu","given":"Wenmei"},{"family":"Hou","given":"Duanlu"},{"family":"Chen","given":"Xin"},{"family":"Zhong","given":"Ping"},{"family":"Liu","given":"Xueyuan"},{"family":"Wu","given":"Danhong"}],"issued":{"date-parts":[["2023",9,8]]}}}],"schema":"https://github.com/citation-style-language/schema/raw/master/csl-citation.json"} </w:instrText>
      </w:r>
      <w:r w:rsidRPr="00A831E7">
        <w:rPr>
          <w:rFonts w:eastAsia="Calibri"/>
        </w:rPr>
        <w:fldChar w:fldCharType="separate"/>
      </w:r>
      <w:r w:rsidR="00B61252" w:rsidRPr="00B61252">
        <w:rPr>
          <w:rFonts w:eastAsia="Calibri"/>
        </w:rPr>
        <w:t>[108]</w:t>
      </w:r>
      <w:r w:rsidRPr="00A831E7">
        <w:rPr>
          <w:rFonts w:eastAsia="Calibri"/>
        </w:rPr>
        <w:fldChar w:fldCharType="end"/>
      </w:r>
      <w:r w:rsidRPr="00A831E7">
        <w:rPr>
          <w:rFonts w:eastAsia="Calibri"/>
        </w:rPr>
        <w:t xml:space="preserve">. Έγινε σύνδεση με την κλίμακα NIHSS όπου παρατηρήθηκε ότι υψηλές συγκεντρώσεις SIRT2 σχετίζονται με υψηλότερές τιμές στην κλίμακα </w:t>
      </w:r>
      <w:r w:rsidRPr="00A831E7">
        <w:rPr>
          <w:rFonts w:eastAsia="Calibri"/>
        </w:rPr>
        <w:fldChar w:fldCharType="begin"/>
      </w:r>
      <w:r w:rsidR="00B61252">
        <w:rPr>
          <w:rFonts w:eastAsia="Calibri"/>
        </w:rPr>
        <w:instrText xml:space="preserve"> ADDIN ZOTERO_ITEM CSL_CITATION {"citationID":"cT4J0wrD","properties":{"formattedCitation":"[108]","plainCitation":"[108]","noteIndex":0},"citationItems":[{"id":240,"uris":["http://zotero.org/users/local/mfHf28QG/items/TXH5KPDR"],"itemData":{"id":240,"type":"article-journal","abstract":"Silent Information Regulator 2 (SIRT2) protein inhibition has been shown to play a neuroprotective role in acute ischemic stroke (AIS) in mice. However, its role in AIS patients has not been fully understood. In this study, we aimed to analyze SIRT2 ...","container-title":"BMC Neurology","DOI":"10.1186/s12883-023-03348-7","language":"en","note":"PMID: 37684620","page":"321","source":"pmc.ncbi.nlm.nih.gov","title":"Elevated SIRT2 of serum exosomes is positively correlated with diagnosis of acute ischemic stroke patients","volume":"23","author":[{"family":"Lu","given":"Wenmei"},{"family":"Hou","given":"Duanlu"},{"family":"Chen","given":"Xin"},{"family":"Zhong","given":"Ping"},{"family":"Liu","given":"Xueyuan"},{"family":"Wu","given":"Danhong"}],"issued":{"date-parts":[["2023",9,8]]}}}],"schema":"https://github.com/citation-style-language/schema/raw/master/csl-citation.json"} </w:instrText>
      </w:r>
      <w:r w:rsidRPr="00A831E7">
        <w:rPr>
          <w:rFonts w:eastAsia="Calibri"/>
        </w:rPr>
        <w:fldChar w:fldCharType="separate"/>
      </w:r>
      <w:r w:rsidR="00B61252" w:rsidRPr="00B61252">
        <w:rPr>
          <w:rFonts w:eastAsia="Calibri"/>
        </w:rPr>
        <w:t>[108]</w:t>
      </w:r>
      <w:r w:rsidRPr="00A831E7">
        <w:rPr>
          <w:rFonts w:eastAsia="Calibri"/>
        </w:rPr>
        <w:fldChar w:fldCharType="end"/>
      </w:r>
      <w:r w:rsidRPr="00A831E7">
        <w:rPr>
          <w:rFonts w:eastAsia="Calibri"/>
        </w:rPr>
        <w:t>. Παρά τους υψηλούς δείκτες που έδειξε η ανάλυση, δεν προσέφερε δείγματα εντός του πρώτου κρίσιμου 6ωρου για τη PoC διάγνωση αλλά αφορούσε σύνολο δειγμάτων των πρώτων 24 ωρών</w:t>
      </w:r>
      <w:r w:rsidR="00C718D4">
        <w:rPr>
          <w:rFonts w:eastAsia="Calibri"/>
          <w:lang w:val="en-US"/>
        </w:rPr>
        <w:t xml:space="preserve"> </w:t>
      </w:r>
      <w:r w:rsidR="00C718D4">
        <w:rPr>
          <w:rFonts w:eastAsia="Calibri"/>
        </w:rPr>
        <w:t xml:space="preserve"> σε 75 ασθενείς </w:t>
      </w:r>
      <w:r w:rsidR="00AA22F6">
        <w:rPr>
          <w:rFonts w:eastAsia="Calibri"/>
        </w:rPr>
        <w:t>ι</w:t>
      </w:r>
      <w:r w:rsidR="00C718D4">
        <w:rPr>
          <w:rFonts w:eastAsia="Calibri"/>
        </w:rPr>
        <w:t xml:space="preserve">σχαιμικού επεισοδίου </w:t>
      </w:r>
      <w:r w:rsidR="00EC67FF">
        <w:rPr>
          <w:rFonts w:eastAsia="Calibri"/>
          <w:lang w:val="en-US"/>
        </w:rPr>
        <w:t>–</w:t>
      </w:r>
      <w:r w:rsidRPr="00A831E7">
        <w:rPr>
          <w:rFonts w:eastAsia="Calibri"/>
        </w:rPr>
        <w:t xml:space="preserve"> από την εμφάνιση των συμπτωμάτων</w:t>
      </w:r>
      <w:r w:rsidR="00EC67FF">
        <w:rPr>
          <w:rFonts w:eastAsia="Calibri"/>
          <w:lang w:val="en-US"/>
        </w:rPr>
        <w:t xml:space="preserve"> –</w:t>
      </w:r>
      <w:r w:rsidR="00C718D4">
        <w:rPr>
          <w:rFonts w:eastAsia="Calibri"/>
        </w:rPr>
        <w:t xml:space="preserve"> σε σύγκριση με 75 υγιή άτομα</w:t>
      </w:r>
      <w:r w:rsidRPr="00A831E7">
        <w:rPr>
          <w:rFonts w:eastAsia="Calibri"/>
        </w:rPr>
        <w:t>.</w:t>
      </w:r>
    </w:p>
    <w:p w14:paraId="0D9C0B87" w14:textId="77777777" w:rsidR="00B07E2B" w:rsidRPr="00B07E2B" w:rsidRDefault="00B07E2B" w:rsidP="00B07E2B">
      <w:pPr>
        <w:spacing w:line="360" w:lineRule="auto"/>
        <w:ind w:firstLine="720"/>
        <w:jc w:val="both"/>
        <w:rPr>
          <w:rFonts w:eastAsia="Calibri"/>
        </w:rPr>
      </w:pPr>
    </w:p>
    <w:p w14:paraId="69B22DFA" w14:textId="59D253AB" w:rsidR="00216496" w:rsidRPr="00A46902" w:rsidRDefault="00D33FD1" w:rsidP="00A46902">
      <w:pPr>
        <w:pStyle w:val="3"/>
      </w:pPr>
      <w:bookmarkStart w:id="145" w:name="_Toc199787416"/>
      <w:bookmarkStart w:id="146" w:name="_Toc199946487"/>
      <w:r w:rsidRPr="00A46902">
        <w:t xml:space="preserve">5.2.2 </w:t>
      </w:r>
      <w:r w:rsidR="00216496" w:rsidRPr="00A46902">
        <w:t>Φορτίο EVs: miRNAs</w:t>
      </w:r>
      <w:bookmarkEnd w:id="145"/>
      <w:bookmarkEnd w:id="146"/>
    </w:p>
    <w:p w14:paraId="023CC92C" w14:textId="47C5A98C" w:rsidR="00133475" w:rsidRPr="00A831E7" w:rsidRDefault="00216496" w:rsidP="0057069D">
      <w:pPr>
        <w:spacing w:line="360" w:lineRule="auto"/>
        <w:jc w:val="both"/>
        <w:rPr>
          <w:rFonts w:eastAsia="Calibri"/>
        </w:rPr>
      </w:pPr>
      <w:r w:rsidRPr="00A831E7">
        <w:rPr>
          <w:rFonts w:eastAsia="Calibri"/>
        </w:rPr>
        <w:tab/>
      </w:r>
      <w:r w:rsidR="00B624D2" w:rsidRPr="00A831E7">
        <w:rPr>
          <w:rFonts w:eastAsia="Calibri"/>
        </w:rPr>
        <w:t>I</w:t>
      </w:r>
      <w:r w:rsidR="00825EDF" w:rsidRPr="00A831E7">
        <w:rPr>
          <w:rFonts w:eastAsia="Calibri"/>
        </w:rPr>
        <w:t>διαίτερο ενδιαφέρον παρουσιάζουν τα microRNAs (miRNAs)</w:t>
      </w:r>
      <w:r w:rsidR="00B624D2" w:rsidRPr="00A831E7">
        <w:rPr>
          <w:rFonts w:eastAsia="Calibri"/>
        </w:rPr>
        <w:t xml:space="preserve"> στο εσωτερικό των EVs</w:t>
      </w:r>
      <w:r w:rsidR="00825EDF" w:rsidRPr="00A831E7">
        <w:rPr>
          <w:rFonts w:eastAsia="Calibri"/>
        </w:rPr>
        <w:t>, τα οποία δρουν ως μετα-μεταγραφικοί ρυθμιστές της γονιδιακής έκφρασης και μπορούν να παρέχουν πολύτιμες πληροφορίες για βιολογικές διεργασίες</w:t>
      </w:r>
      <w:r w:rsidR="00810A8F" w:rsidRPr="00A831E7">
        <w:rPr>
          <w:rFonts w:eastAsia="Calibri"/>
        </w:rPr>
        <w:t xml:space="preserve"> </w:t>
      </w:r>
      <w:r w:rsidR="00810A8F" w:rsidRPr="00A831E7">
        <w:rPr>
          <w:rFonts w:eastAsia="Calibri"/>
        </w:rPr>
        <w:fldChar w:fldCharType="begin"/>
      </w:r>
      <w:r w:rsidR="00810A8F" w:rsidRPr="00A831E7">
        <w:rPr>
          <w:rFonts w:eastAsia="Calibri"/>
        </w:rPr>
        <w:instrText xml:space="preserve"> ADDIN ZOTERO_ITEM CSL_CITATION {"citationID":"mpQ5NKM9","properties":{"formattedCitation":"[11]","plainCitation":"[11]","noteIndex":0},"citationItems":[{"id":127,"uris":["http://zotero.org/users/local/mfHf28QG/items/NIFKWPSY"],"itemData":{"id":127,"type":"article-journal","abstract":"There is a large unmet need for fast and reliable diagnostics in several diseases. One such disease is stroke, where the efficacy of modern reperfusion therapies is highly time-dependent. Diagnosis of stroke and treatment initiation should be ...","container-title":"Biomedicines","DOI":"10.3390/biomedicines8080248","issue":"8","language":"en","note":"PMID: 32731351","page":"248","source":"pmc.ncbi.nlm.nih.gov","title":"Extracellular Vesicles in Acute Stroke Diagnostics","volume":"8","author":[{"family":"Stenz","given":"Katrine Tang"},{"family":"Just","given":"Jesper"},{"family":"Blauenfeldt","given":"Rolf Ankerlund"},{"family":"Drasbek","given":"Kim Ryun"}],"issued":{"date-parts":[["2020",7,28]]}}}],"schema":"https://github.com/citation-style-language/schema/raw/master/csl-citation.json"} </w:instrText>
      </w:r>
      <w:r w:rsidR="00810A8F" w:rsidRPr="00A831E7">
        <w:rPr>
          <w:rFonts w:eastAsia="Calibri"/>
        </w:rPr>
        <w:fldChar w:fldCharType="separate"/>
      </w:r>
      <w:r w:rsidR="00810A8F" w:rsidRPr="00A831E7">
        <w:rPr>
          <w:rFonts w:eastAsia="Calibri"/>
        </w:rPr>
        <w:t>[11]</w:t>
      </w:r>
      <w:r w:rsidR="00810A8F" w:rsidRPr="00A831E7">
        <w:rPr>
          <w:rFonts w:eastAsia="Calibri"/>
        </w:rPr>
        <w:fldChar w:fldCharType="end"/>
      </w:r>
      <w:r w:rsidR="00825EDF" w:rsidRPr="00A831E7">
        <w:rPr>
          <w:rFonts w:eastAsia="Calibri"/>
        </w:rPr>
        <w:t xml:space="preserve">. Η ανάλυση των miRNAs που περιέχονται στα EVs έχει συνδεθεί με τη δυνατότητα διάγνωσης εγκεφαλικών επεισοδίων, καθώς αυτά μπορούν να ανιχνευθούν εύκολα μέσω σύγχρονων τεχνικών όπως </w:t>
      </w:r>
      <w:r w:rsidR="008E382E">
        <w:rPr>
          <w:rFonts w:eastAsia="Calibri"/>
        </w:rPr>
        <w:t>αλληλούχιση (</w:t>
      </w:r>
      <w:r w:rsidR="00825EDF" w:rsidRPr="00A831E7">
        <w:rPr>
          <w:rFonts w:eastAsia="Calibri"/>
        </w:rPr>
        <w:t>sequencing</w:t>
      </w:r>
      <w:r w:rsidR="008E382E">
        <w:rPr>
          <w:rFonts w:eastAsia="Calibri"/>
        </w:rPr>
        <w:t>)</w:t>
      </w:r>
      <w:r w:rsidR="001470B4">
        <w:rPr>
          <w:rFonts w:eastAsia="Calibri"/>
        </w:rPr>
        <w:t xml:space="preserve"> και</w:t>
      </w:r>
      <w:r w:rsidR="00825EDF" w:rsidRPr="00A831E7">
        <w:rPr>
          <w:rFonts w:eastAsia="Calibri"/>
        </w:rPr>
        <w:t xml:space="preserve"> RT-PCR. Ιδιαίτερη σημασία αποκτά η μελέτη των miRNAs στα EVs </w:t>
      </w:r>
      <w:r w:rsidR="00B47338" w:rsidRPr="00A831E7">
        <w:rPr>
          <w:rFonts w:eastAsia="Calibri"/>
        </w:rPr>
        <w:t>από δείγματα αίματος</w:t>
      </w:r>
      <w:r w:rsidR="00825EDF" w:rsidRPr="00A831E7">
        <w:rPr>
          <w:rFonts w:eastAsia="Calibri"/>
        </w:rPr>
        <w:t xml:space="preserve"> που συλλέγεται στην οξεία φάση, καθώς μπορεί να προσφέρει χρήσιμες πληροφορίες για διαγνωστικές εφαρμογές PoC</w:t>
      </w:r>
      <w:r w:rsidR="00B47338" w:rsidRPr="00A831E7">
        <w:rPr>
          <w:rFonts w:eastAsia="Calibri"/>
        </w:rPr>
        <w:t xml:space="preserve"> (</w:t>
      </w:r>
      <w:r w:rsidR="00B47338" w:rsidRPr="00A831E7">
        <w:rPr>
          <w:rFonts w:eastAsia="Calibri"/>
          <w:i/>
          <w:iCs/>
        </w:rPr>
        <w:t>Πίνακας 19</w:t>
      </w:r>
      <w:r w:rsidR="00B47338" w:rsidRPr="00A831E7">
        <w:rPr>
          <w:rFonts w:eastAsia="Calibri"/>
        </w:rPr>
        <w:t>)</w:t>
      </w:r>
      <w:r w:rsidR="00825EDF" w:rsidRPr="00A831E7">
        <w:rPr>
          <w:rFonts w:eastAsia="Calibri"/>
        </w:rPr>
        <w:t>.</w:t>
      </w:r>
    </w:p>
    <w:p w14:paraId="24D6279A" w14:textId="5FBD60D1" w:rsidR="00DB018A" w:rsidRPr="00A831E7" w:rsidRDefault="003020DD" w:rsidP="0057069D">
      <w:pPr>
        <w:spacing w:line="360" w:lineRule="auto"/>
        <w:ind w:firstLine="720"/>
        <w:jc w:val="both"/>
        <w:rPr>
          <w:rFonts w:eastAsia="Calibri"/>
        </w:rPr>
      </w:pPr>
      <w:r w:rsidRPr="00A831E7">
        <w:rPr>
          <w:rFonts w:eastAsia="Calibri"/>
        </w:rPr>
        <w:t xml:space="preserve">Για την εξαγωγή και απομόνωση των miRNA από EVs, χρησιμοποιούνται τεχνικές όπως υπερφυγοκέντρηση, καθίζηση με πολυμερή (π.χ. ExoQuick) ή χρωματογραφία αποκλεισμού μεγέθους, και χαρακτηρίζονται μέσω ηλεκτρονικής μικροσκοπίας (TEM) και western blot για την ανίχνευση των πρωτεϊνικών δεικτών CD9, CD63 και Tsg101 </w:t>
      </w:r>
      <w:r w:rsidRPr="00A831E7">
        <w:rPr>
          <w:rFonts w:eastAsia="Calibri"/>
        </w:rPr>
        <w:fldChar w:fldCharType="begin"/>
      </w:r>
      <w:r w:rsidR="00B61252">
        <w:rPr>
          <w:rFonts w:eastAsia="Calibri"/>
        </w:rPr>
        <w:instrText xml:space="preserve"> ADDIN ZOTERO_ITEM CSL_CITATION {"citationID":"9eJi1ZIw","properties":{"formattedCitation":"[107], [109]","plainCitation":"[107], [109]","noteIndex":0},"citationItems":[{"id":244,"uris":["http://zotero.org/users/local/mfHf28QG/items/ZIBJXLQ8"],"itemData":{"id":244,"type":"article-journal","abstract":"The exosomal miRNAs have been emerged as biomarkers and therapeutic targets for various diseases, however, the function of exosomal miRNAs in stroke remains largely unknown. The blood samples from acute ischemic stroke (AIS) patients and normal ...","container-title":"BMC Neurology","DOI":"10.1186/s12883-018-1196-z","language":"en","note":"PMID: 30514242","page":"198","source":"pmc.ncbi.nlm.nih.gov","title":"Increased serum exosomal miR-134 expression in the acute ischemic stroke patients","volume":"18","author":[{"family":"Zhou","given":"Jingxia"},{"family":"Chen","given":"Lin"},{"family":"Chen","given":"Bocan"},{"family":"Huang","given":"Shaozhu"},{"family":"Zeng","given":"Chaosheng"},{"family":"Wu","given":"Hairong"},{"family":"Chen","given":"Cong"},{"family":"Long","given":"Faqing"}],"issued":{"date-parts":[["2018",12,4]]}},"label":"page"},{"id":236,"uris":["http://zotero.org/users/local/mfHf28QG/items/AWD6D878"],"itemData":{"id":236,"type":"article-journal","abstract":"Recent studies have demonstrated that exosomal microRNAs (miRNAs) are novel biomarkers and therapeutic targets for various diseases including vascular disease. However, specific exosomal miRNAs expression in stroke patients has not been reported ...","container-title":"Frontiers in Neurology","DOI":"10.3389/fneur.2017.00057","language":"en","note":"PMID: 28289400","page":"57","source":"pmc.ncbi.nlm.nih.gov","title":"Increased Circulating Exosomal miRNA-223 Is Associated with Acute Ischemic Stroke","volume":"8","author":[{"family":"Chen","given":"Yajing"},{"family":"Song","given":"Yaying"},{"family":"Huang","given":"Jun"},{"family":"Qu","given":"Meijie"},{"family":"Zhang","given":"Yu"},{"family":"Geng","given":"Jieli"},{"family":"Zhang","given":"Zhijun"},{"family":"Liu","given":"Jianrong"},{"family":"Yang","given":"Guo-Yuan"}],"issued":{"date-parts":[["2017",2,27]]}},"label":"page"}],"schema":"https://github.com/citation-style-language/schema/raw/master/csl-citation.json"} </w:instrText>
      </w:r>
      <w:r w:rsidRPr="00A831E7">
        <w:rPr>
          <w:rFonts w:eastAsia="Calibri"/>
        </w:rPr>
        <w:fldChar w:fldCharType="separate"/>
      </w:r>
      <w:r w:rsidR="00B61252" w:rsidRPr="00B61252">
        <w:rPr>
          <w:rFonts w:eastAsia="Calibri"/>
        </w:rPr>
        <w:t>[107], [109]</w:t>
      </w:r>
      <w:r w:rsidRPr="00A831E7">
        <w:rPr>
          <w:rFonts w:eastAsia="Calibri"/>
        </w:rPr>
        <w:fldChar w:fldCharType="end"/>
      </w:r>
      <w:r w:rsidRPr="00A831E7">
        <w:rPr>
          <w:rFonts w:eastAsia="Calibri"/>
        </w:rPr>
        <w:t>.</w:t>
      </w:r>
      <w:r w:rsidR="00B9167A" w:rsidRPr="00A831E7">
        <w:rPr>
          <w:rFonts w:eastAsia="Calibri"/>
        </w:rPr>
        <w:t xml:space="preserve"> Έ</w:t>
      </w:r>
      <w:r w:rsidRPr="00A831E7">
        <w:rPr>
          <w:rFonts w:eastAsia="Calibri"/>
        </w:rPr>
        <w:t>πειτα η πιο κοινή μέθοδος για την ανίχνευση των επιπέδων των ζητούμενων miRNA εντός των EVs, είναι μέσω RT-qPC assay. Ανάμεσα στα εξωσωματικά miRNAs, τα</w:t>
      </w:r>
      <w:r w:rsidR="00DB018A" w:rsidRPr="00A831E7">
        <w:rPr>
          <w:rFonts w:eastAsia="Calibri"/>
        </w:rPr>
        <w:t xml:space="preserve"> ορό-παράγωγα</w:t>
      </w:r>
      <w:r w:rsidRPr="00A831E7">
        <w:rPr>
          <w:rFonts w:eastAsia="Calibri"/>
        </w:rPr>
        <w:t xml:space="preserve"> </w:t>
      </w:r>
      <w:r w:rsidR="001A281D" w:rsidRPr="00A831E7">
        <w:rPr>
          <w:rFonts w:eastAsia="Calibri"/>
        </w:rPr>
        <w:t>miR</w:t>
      </w:r>
      <w:r w:rsidRPr="00A831E7">
        <w:rPr>
          <w:rFonts w:eastAsia="Calibri"/>
        </w:rPr>
        <w:t>-134 και miR-22</w:t>
      </w:r>
      <w:r w:rsidR="002813E9">
        <w:rPr>
          <w:rFonts w:eastAsia="Calibri"/>
          <w:lang w:val="en-US"/>
        </w:rPr>
        <w:t>3</w:t>
      </w:r>
      <w:r w:rsidR="00DB018A" w:rsidRPr="00A831E7">
        <w:rPr>
          <w:rFonts w:eastAsia="Calibri"/>
        </w:rPr>
        <w:t>,</w:t>
      </w:r>
      <w:r w:rsidRPr="00A831E7">
        <w:rPr>
          <w:rFonts w:eastAsia="Calibri"/>
        </w:rPr>
        <w:t xml:space="preserve"> έχουν δείξει καλή διαγνωστική αξία για οξύ ισχαιμικό εγκεφαλικό επεισόδιο (AIS) </w:t>
      </w:r>
      <w:r w:rsidRPr="00A831E7">
        <w:rPr>
          <w:rFonts w:eastAsia="Calibri"/>
        </w:rPr>
        <w:fldChar w:fldCharType="begin"/>
      </w:r>
      <w:r w:rsidR="00B61252">
        <w:rPr>
          <w:rFonts w:eastAsia="Calibri"/>
        </w:rPr>
        <w:instrText xml:space="preserve"> ADDIN ZOTERO_ITEM CSL_CITATION {"citationID":"rTJLoeyH","properties":{"formattedCitation":"[107], [109]","plainCitation":"[107], [109]","noteIndex":0},"citationItems":[{"id":244,"uris":["http://zotero.org/users/local/mfHf28QG/items/ZIBJXLQ8"],"itemData":{"id":244,"type":"article-journal","abstract":"The exosomal miRNAs have been emerged as biomarkers and therapeutic targets for various diseases, however, the function of exosomal miRNAs in stroke remains largely unknown. The blood samples from acute ischemic stroke (AIS) patients and normal ...","container-title":"BMC Neurology","DOI":"10.1186/s12883-018-1196-z","language":"en","note":"PMID: 30514242","page":"198","source":"pmc.ncbi.nlm.nih.gov","title":"Increased serum exosomal miR-134 expression in the acute ischemic stroke patients","volume":"18","author":[{"family":"Zhou","given":"Jingxia"},{"family":"Chen","given":"Lin"},{"family":"Chen","given":"Bocan"},{"family":"Huang","given":"Shaozhu"},{"family":"Zeng","given":"Chaosheng"},{"family":"Wu","given":"Hairong"},{"family":"Chen","given":"Cong"},{"family":"Long","given":"Faqing"}],"issued":{"date-parts":[["2018",12,4]]}}},{"id":236,"uris":["http://zotero.org/users/local/mfHf28QG/items/AWD6D878"],"itemData":{"id":236,"type":"article-journal","abstract":"Recent studies have demonstrated that exosomal microRNAs (miRNAs) are novel biomarkers and therapeutic targets for various diseases including vascular disease. However, specific exosomal miRNAs expression in stroke patients has not been reported ...","container-title":"Frontiers in Neurology","DOI":"10.3389/fneur.2017.00057","language":"en","note":"PMID: 28289400","page":"57","source":"pmc.ncbi.nlm.nih.gov","title":"Increased Circulating Exosomal miRNA-223 Is Associated with Acute Ischemic Stroke","volume":"8","author":[{"family":"Chen","given":"Yajing"},{"family":"Song","given":"Yaying"},{"family":"Huang","given":"Jun"},{"family":"Qu","given":"Meijie"},{"family":"Zhang","given":"Yu"},{"family":"Geng","given":"Jieli"},{"family":"Zhang","given":"Zhijun"},{"family":"Liu","given":"Jianrong"},{"family":"Yang","given":"Guo-Yuan"}],"issued":{"date-parts":[["2017",2,27]]}}}],"schema":"https://github.com/citation-style-language/schema/raw/master/csl-citation.json"} </w:instrText>
      </w:r>
      <w:r w:rsidRPr="00A831E7">
        <w:rPr>
          <w:rFonts w:eastAsia="Calibri"/>
        </w:rPr>
        <w:fldChar w:fldCharType="separate"/>
      </w:r>
      <w:r w:rsidR="00B61252" w:rsidRPr="00B61252">
        <w:rPr>
          <w:rFonts w:eastAsia="Calibri"/>
        </w:rPr>
        <w:t>[107], [109]</w:t>
      </w:r>
      <w:r w:rsidRPr="00A831E7">
        <w:rPr>
          <w:rFonts w:eastAsia="Calibri"/>
        </w:rPr>
        <w:fldChar w:fldCharType="end"/>
      </w:r>
      <w:r w:rsidRPr="00A831E7">
        <w:rPr>
          <w:rFonts w:eastAsia="Calibri"/>
        </w:rPr>
        <w:t xml:space="preserve">. Το miR-134 παραμένει σταθερό σε όλες τις χρονικές στιγμές (24h, 48h και 72h), παρουσιάζοντας </w:t>
      </w:r>
      <w:r w:rsidR="002916E4" w:rsidRPr="00A831E7">
        <w:rPr>
          <w:rFonts w:eastAsia="Calibri"/>
        </w:rPr>
        <w:t>AUC = 0.834, sensitivity = 75.3% και specificity = 72.8%</w:t>
      </w:r>
      <w:r w:rsidRPr="00A831E7">
        <w:rPr>
          <w:rFonts w:eastAsia="Calibri"/>
        </w:rPr>
        <w:t xml:space="preserve">, ενώ συσχετίζεται με τη σοβαρότητα </w:t>
      </w:r>
      <w:r w:rsidR="001470B4">
        <w:rPr>
          <w:rFonts w:eastAsia="Calibri"/>
        </w:rPr>
        <w:t>τ</w:t>
      </w:r>
      <w:r w:rsidRPr="00A831E7">
        <w:rPr>
          <w:rFonts w:eastAsia="Calibri"/>
        </w:rPr>
        <w:t xml:space="preserve">ου εγκεφαλικού επεισοδίου </w:t>
      </w:r>
      <w:r w:rsidRPr="00A831E7">
        <w:rPr>
          <w:rFonts w:eastAsia="Calibri"/>
        </w:rPr>
        <w:fldChar w:fldCharType="begin"/>
      </w:r>
      <w:r w:rsidR="00B61252">
        <w:rPr>
          <w:rFonts w:eastAsia="Calibri"/>
        </w:rPr>
        <w:instrText xml:space="preserve"> ADDIN ZOTERO_ITEM CSL_CITATION {"citationID":"2hz99BzB","properties":{"formattedCitation":"[109]","plainCitation":"[109]","noteIndex":0},"citationItems":[{"id":244,"uris":["http://zotero.org/users/local/mfHf28QG/items/ZIBJXLQ8"],"itemData":{"id":244,"type":"article-journal","abstract":"The exosomal miRNAs have been emerged as biomarkers and therapeutic targets for various diseases, however, the function of exosomal miRNAs in stroke remains largely unknown. The blood samples from acute ischemic stroke (AIS) patients and normal ...","container-title":"BMC Neurology","DOI":"10.1186/s12883-018-1196-z","language":"en","note":"PMID: 30514242","page":"198","source":"pmc.ncbi.nlm.nih.gov","title":"Increased serum exosomal miR-134 expression in the acute ischemic stroke patients","volume":"18","author":[{"family":"Zhou","given":"Jingxia"},{"family":"Chen","given":"Lin"},{"family":"Chen","given":"Bocan"},{"family":"Huang","given":"Shaozhu"},{"family":"Zeng","given":"Chaosheng"},{"family":"Wu","given":"Hairong"},{"family":"Chen","given":"Cong"},{"family":"Long","given":"Faqing"}],"issued":{"date-parts":[["2018",12,4]]}}}],"schema":"https://github.com/citation-style-language/schema/raw/master/csl-citation.json"} </w:instrText>
      </w:r>
      <w:r w:rsidRPr="00A831E7">
        <w:rPr>
          <w:rFonts w:eastAsia="Calibri"/>
        </w:rPr>
        <w:fldChar w:fldCharType="separate"/>
      </w:r>
      <w:r w:rsidR="00B61252" w:rsidRPr="00B61252">
        <w:rPr>
          <w:rFonts w:eastAsia="Calibri"/>
        </w:rPr>
        <w:t>[109]</w:t>
      </w:r>
      <w:r w:rsidRPr="00A831E7">
        <w:rPr>
          <w:rFonts w:eastAsia="Calibri"/>
        </w:rPr>
        <w:fldChar w:fldCharType="end"/>
      </w:r>
      <w:r w:rsidRPr="00A831E7">
        <w:rPr>
          <w:rFonts w:eastAsia="Calibri"/>
        </w:rPr>
        <w:t>. Αντίθετα, το miR-223</w:t>
      </w:r>
      <w:r w:rsidR="002916E4" w:rsidRPr="00A831E7">
        <w:rPr>
          <w:rFonts w:eastAsia="Calibri"/>
        </w:rPr>
        <w:t xml:space="preserve"> </w:t>
      </w:r>
      <w:r w:rsidRPr="00A831E7">
        <w:rPr>
          <w:rFonts w:eastAsia="Calibri"/>
        </w:rPr>
        <w:t xml:space="preserve">είναι χαμηλό στην έναρξη των συμπτωμάτων αλλά αυξάνεται αργότερα, </w:t>
      </w:r>
      <w:r w:rsidRPr="00A831E7">
        <w:rPr>
          <w:rFonts w:eastAsia="Calibri"/>
        </w:rPr>
        <w:lastRenderedPageBreak/>
        <w:t>κορυφώνοντας στις 72 ώρες μετά την έναρξη του εγκεφαλικού</w:t>
      </w:r>
      <w:r w:rsidR="002916E4" w:rsidRPr="00A831E7">
        <w:rPr>
          <w:rFonts w:eastAsia="Calibri"/>
        </w:rPr>
        <w:t xml:space="preserve"> με AUC = 0.859, sensitivity = 84% και specificity = 78.8%</w:t>
      </w:r>
      <w:r w:rsidRPr="00A831E7">
        <w:rPr>
          <w:rFonts w:eastAsia="Calibri"/>
        </w:rPr>
        <w:t xml:space="preserve"> </w:t>
      </w:r>
      <w:r w:rsidRPr="00A831E7">
        <w:rPr>
          <w:rFonts w:eastAsia="Calibri"/>
        </w:rPr>
        <w:fldChar w:fldCharType="begin"/>
      </w:r>
      <w:r w:rsidR="00B61252">
        <w:rPr>
          <w:rFonts w:eastAsia="Calibri"/>
        </w:rPr>
        <w:instrText xml:space="preserve"> ADDIN ZOTERO_ITEM CSL_CITATION {"citationID":"Hc1IJ2JE","properties":{"formattedCitation":"[107]","plainCitation":"[107]","noteIndex":0},"citationItems":[{"id":236,"uris":["http://zotero.org/users/local/mfHf28QG/items/AWD6D878"],"itemData":{"id":236,"type":"article-journal","abstract":"Recent studies have demonstrated that exosomal microRNAs (miRNAs) are novel biomarkers and therapeutic targets for various diseases including vascular disease. However, specific exosomal miRNAs expression in stroke patients has not been reported ...","container-title":"Frontiers in Neurology","DOI":"10.3389/fneur.2017.00057","language":"en","note":"PMID: 28289400","page":"57","source":"pmc.ncbi.nlm.nih.gov","title":"Increased Circulating Exosomal miRNA-223 Is Associated with Acute Ischemic Stroke","volume":"8","author":[{"family":"Chen","given":"Yajing"},{"family":"Song","given":"Yaying"},{"family":"Huang","given":"Jun"},{"family":"Qu","given":"Meijie"},{"family":"Zhang","given":"Yu"},{"family":"Geng","given":"Jieli"},{"family":"Zhang","given":"Zhijun"},{"family":"Liu","given":"Jianrong"},{"family":"Yang","given":"Guo-Yuan"}],"issued":{"date-parts":[["2017",2,27]]}}}],"schema":"https://github.com/citation-style-language/schema/raw/master/csl-citation.json"} </w:instrText>
      </w:r>
      <w:r w:rsidRPr="00A831E7">
        <w:rPr>
          <w:rFonts w:eastAsia="Calibri"/>
        </w:rPr>
        <w:fldChar w:fldCharType="separate"/>
      </w:r>
      <w:r w:rsidR="00B61252" w:rsidRPr="00B61252">
        <w:rPr>
          <w:rFonts w:eastAsia="Calibri"/>
        </w:rPr>
        <w:t>[107]</w:t>
      </w:r>
      <w:r w:rsidRPr="00A831E7">
        <w:rPr>
          <w:rFonts w:eastAsia="Calibri"/>
        </w:rPr>
        <w:fldChar w:fldCharType="end"/>
      </w:r>
      <w:r w:rsidRPr="00A831E7">
        <w:rPr>
          <w:rFonts w:eastAsia="Calibri"/>
        </w:rPr>
        <w:t xml:space="preserve">. </w:t>
      </w:r>
    </w:p>
    <w:p w14:paraId="34514737" w14:textId="0A8B2311" w:rsidR="00810A8F" w:rsidRPr="00A831E7" w:rsidRDefault="00DB018A" w:rsidP="0057069D">
      <w:pPr>
        <w:spacing w:line="360" w:lineRule="auto"/>
        <w:ind w:firstLine="720"/>
        <w:jc w:val="both"/>
        <w:rPr>
          <w:rFonts w:eastAsia="Calibri"/>
        </w:rPr>
      </w:pPr>
      <w:r w:rsidRPr="00A831E7">
        <w:rPr>
          <w:rFonts w:eastAsia="Calibri"/>
        </w:rPr>
        <w:t>Σε άλλη έρευνα  αξιολογήθηκαν τα miR-21-5p και miR-30a-5p, με προέλευση το πλάσμα αίματος</w:t>
      </w:r>
      <w:r w:rsidR="007E567D">
        <w:rPr>
          <w:rFonts w:eastAsia="Calibri"/>
        </w:rPr>
        <w:t xml:space="preserve"> από 143 δείγματα</w:t>
      </w:r>
      <w:r w:rsidR="007E567D">
        <w:rPr>
          <w:rFonts w:eastAsia="Calibri"/>
          <w:lang w:val="en-US"/>
        </w:rPr>
        <w:t xml:space="preserve"> [NC=24, HIS=15, AIS(1-3</w:t>
      </w:r>
      <w:r w:rsidR="007E567D">
        <w:rPr>
          <w:rFonts w:eastAsia="Calibri"/>
        </w:rPr>
        <w:t>ημ</w:t>
      </w:r>
      <w:r w:rsidR="007E567D">
        <w:rPr>
          <w:rFonts w:eastAsia="Calibri"/>
          <w:lang w:val="en-US"/>
        </w:rPr>
        <w:t>)=33, AIS(3-7</w:t>
      </w:r>
      <w:r w:rsidR="007E567D">
        <w:rPr>
          <w:rFonts w:eastAsia="Calibri"/>
        </w:rPr>
        <w:t xml:space="preserve">ημ)=32, </w:t>
      </w:r>
      <w:r w:rsidR="007E567D">
        <w:rPr>
          <w:rFonts w:eastAsia="Calibri"/>
          <w:lang w:val="en-US"/>
        </w:rPr>
        <w:t>SIS=31, RIS=32]</w:t>
      </w:r>
      <w:r w:rsidRPr="00A831E7">
        <w:rPr>
          <w:rFonts w:eastAsia="Calibri"/>
        </w:rPr>
        <w:t>, ως βιοδείκτες για τη διάγνωση του υπεροξέος (HIS) και οξέος (AIS) ισχαιμικού εγκεφαλικού επεισοδίου</w:t>
      </w:r>
      <w:r w:rsidR="00B9167A" w:rsidRPr="00A831E7">
        <w:rPr>
          <w:rFonts w:eastAsia="Calibri"/>
        </w:rPr>
        <w:t xml:space="preserve"> </w:t>
      </w:r>
      <w:r w:rsidR="00B9167A" w:rsidRPr="00A831E7">
        <w:rPr>
          <w:rFonts w:eastAsia="Calibri"/>
        </w:rPr>
        <w:fldChar w:fldCharType="begin"/>
      </w:r>
      <w:r w:rsidR="00B61252">
        <w:rPr>
          <w:rFonts w:eastAsia="Calibri"/>
        </w:rPr>
        <w:instrText xml:space="preserve"> ADDIN ZOTERO_ITEM CSL_CITATION {"citationID":"PTgoFTZF","properties":{"formattedCitation":"[110]","plainCitation":"[110]","noteIndex":0},"citationItems":[{"id":221,"uris":["http://zotero.org/users/local/mfHf28QG/items/2LYFM6BB"],"itemData":{"id":221,"type":"article-journal","abstract":"BACKGROUND: Early and accurate diagnosis of ischaemic stroke (IS) requires the use of an optimized biomarker. Exosomal microRNAs have the potential to serve as biomarkers owing to their stability and specificity. We investigated the expression levels of plasma-derived exosomal microRNA-21-5p and microRNA-30a-5p in the different phases of IS.\nMETHODS: One hundred forty-three patients with IS and 24 non-stroke controls were enrolled. The patients were divided into the following 5 groups: 1 group for the hyperacute phase IS (HIS, within 6 h); two for the acute phase IS (AIS, including days 1-3 and days 4-7); one for the subacute phase IS (SIS, days 8-14); and one for the recovery phase IS (RIS, days &gt;14). Plasma exosomes were isolated using a QIAGEN exoRNeasy kit and examined by transmission electron -microscopy, nanoparticle tracking, and flow cytometry. The expression levels of miRNA-21-5p and miRNA-30a-5p were detected by quantitative real-time polymerase chain reaction.\nRESULTS: The plasma exosomal miR-21-5p levels in SIS and RIS were significantly higher than that in controls (p &lt; 0.05 and p &lt; 0.01 respectively). The levels of miR-30a-5p in HIS were significantly higher (p &lt; 0.05) and in AIS (days 1-3) were lower than that in controls (p &lt; 0.05). In AIS (days 1-3), both miRNAs were decreased compared with the HIS group (p = 0.053 and 0.001, respectively). The area under the curve (AUC) of the miR-21-5p was 0.714 for SIS (95% CI 0.570-0.859, p = 0.007), 0.734 for RIS (95% CI 0.596-0.871, p = 0.003); the AUC of the miR-30a-5p was 0.826 for HIS (95% CI 0.665-0.988, p = 0.001), 0.438 for AIS (days 1-3; 95% CI 0.240-0.635, p = 0.516).\nCONCLUSIONS: The plasma-derived exosomal miR-21-5p and miRNA-30a-5p in combination are promising biomarkers for diagnosing IS and distinguishing among HIS, SIS, and RIS, especially miRNA-30a-5p for the diagnosis of the HIS phase. Our results provide a new reference for clinicians to apply in early-stage diagnosis and identifies the possible value of biomarkers for IS thrombolysis therapy.","container-title":"Cerebrovascular Diseases (Basel, Switzerland)","DOI":"10.1159/000488365","ISSN":"1421-9786","issue":"5-6","journalAbbreviation":"Cerebrovasc Dis","language":"eng","note":"PMID: 29627835","page":"204-212","source":"PubMed","title":"Diagnosis of Hyperacute and Acute Ischaemic Stroke: The Potential Utility of Exosomal MicroRNA-21-5p and MicroRNA-30a-5p","title-short":"Diagnosis of Hyperacute and Acute Ischaemic Stroke","volume":"45","author":[{"family":"Wang","given":"Wei"},{"family":"Li","given":"Dong-Bin"},{"family":"Li","given":"Ru-Ying"},{"family":"Zhou","given":"Xia"},{"family":"Yu","given":"Dong-Ju"},{"family":"Lan","given":"Xiao-Yan"},{"family":"Li","given":"Jin-Pin"},{"family":"Liu","given":"Jing-Li"}],"issued":{"date-parts":[["2018"]]}}}],"schema":"https://github.com/citation-style-language/schema/raw/master/csl-citation.json"} </w:instrText>
      </w:r>
      <w:r w:rsidR="00B9167A" w:rsidRPr="00A831E7">
        <w:rPr>
          <w:rFonts w:eastAsia="Calibri"/>
        </w:rPr>
        <w:fldChar w:fldCharType="separate"/>
      </w:r>
      <w:r w:rsidR="00B61252" w:rsidRPr="00B61252">
        <w:rPr>
          <w:rFonts w:eastAsia="Calibri"/>
        </w:rPr>
        <w:t>[110]</w:t>
      </w:r>
      <w:r w:rsidR="00B9167A" w:rsidRPr="00A831E7">
        <w:rPr>
          <w:rFonts w:eastAsia="Calibri"/>
        </w:rPr>
        <w:fldChar w:fldCharType="end"/>
      </w:r>
      <w:r w:rsidRPr="00A831E7">
        <w:rPr>
          <w:rFonts w:eastAsia="Calibri"/>
        </w:rPr>
        <w:t>. Τα αποτελέσματα έδειξαν ότι το miR-30a-5p ήταν σημαντικά αυξημένο στη φάση HIS (εντός 6 ωρών) αλλά μειωμένο στη φάση AIS (ημέρες 1-3). Αντίθετα, το miR-21-5p αυξήθηκε στις φάσεις SIS (</w:t>
      </w:r>
      <w:r w:rsidR="001470B4">
        <w:rPr>
          <w:rFonts w:eastAsia="Calibri"/>
        </w:rPr>
        <w:t xml:space="preserve">φάση υπο-οξέους </w:t>
      </w:r>
      <w:r w:rsidR="001470B4">
        <w:rPr>
          <w:rFonts w:eastAsia="Calibri"/>
          <w:lang w:val="en-US"/>
        </w:rPr>
        <w:t>IS</w:t>
      </w:r>
      <w:r w:rsidR="001470B4">
        <w:rPr>
          <w:rFonts w:eastAsia="Calibri"/>
        </w:rPr>
        <w:t>:</w:t>
      </w:r>
      <w:r w:rsidR="001470B4" w:rsidRPr="001470B4">
        <w:rPr>
          <w:rFonts w:eastAsia="Calibri"/>
        </w:rPr>
        <w:t xml:space="preserve"> </w:t>
      </w:r>
      <w:r w:rsidRPr="00A831E7">
        <w:rPr>
          <w:rFonts w:eastAsia="Calibri"/>
        </w:rPr>
        <w:t>8-14 ημέρες) και RIS (</w:t>
      </w:r>
      <w:r w:rsidR="001470B4">
        <w:rPr>
          <w:rFonts w:eastAsia="Calibri"/>
        </w:rPr>
        <w:t xml:space="preserve"> φάση ανάρρωσης </w:t>
      </w:r>
      <w:r w:rsidRPr="00A831E7">
        <w:rPr>
          <w:rFonts w:eastAsia="Calibri"/>
        </w:rPr>
        <w:t>&gt;14 ημέρες), αντανακλώντας πιθανή συσχέτιση με τη νευροπροστασία</w:t>
      </w:r>
      <w:r w:rsidR="00B9167A" w:rsidRPr="00A831E7">
        <w:rPr>
          <w:rFonts w:eastAsia="Calibri"/>
        </w:rPr>
        <w:t xml:space="preserve"> </w:t>
      </w:r>
      <w:r w:rsidR="00B9167A" w:rsidRPr="00A831E7">
        <w:rPr>
          <w:rFonts w:eastAsia="Calibri"/>
        </w:rPr>
        <w:fldChar w:fldCharType="begin"/>
      </w:r>
      <w:r w:rsidR="00B61252">
        <w:rPr>
          <w:rFonts w:eastAsia="Calibri"/>
        </w:rPr>
        <w:instrText xml:space="preserve"> ADDIN ZOTERO_ITEM CSL_CITATION {"citationID":"G6EGbcEH","properties":{"formattedCitation":"[110]","plainCitation":"[110]","noteIndex":0},"citationItems":[{"id":221,"uris":["http://zotero.org/users/local/mfHf28QG/items/2LYFM6BB"],"itemData":{"id":221,"type":"article-journal","abstract":"BACKGROUND: Early and accurate diagnosis of ischaemic stroke (IS) requires the use of an optimized biomarker. Exosomal microRNAs have the potential to serve as biomarkers owing to their stability and specificity. We investigated the expression levels of plasma-derived exosomal microRNA-21-5p and microRNA-30a-5p in the different phases of IS.\nMETHODS: One hundred forty-three patients with IS and 24 non-stroke controls were enrolled. The patients were divided into the following 5 groups: 1 group for the hyperacute phase IS (HIS, within 6 h); two for the acute phase IS (AIS, including days 1-3 and days 4-7); one for the subacute phase IS (SIS, days 8-14); and one for the recovery phase IS (RIS, days &gt;14). Plasma exosomes were isolated using a QIAGEN exoRNeasy kit and examined by transmission electron -microscopy, nanoparticle tracking, and flow cytometry. The expression levels of miRNA-21-5p and miRNA-30a-5p were detected by quantitative real-time polymerase chain reaction.\nRESULTS: The plasma exosomal miR-21-5p levels in SIS and RIS were significantly higher than that in controls (p &lt; 0.05 and p &lt; 0.01 respectively). The levels of miR-30a-5p in HIS were significantly higher (p &lt; 0.05) and in AIS (days 1-3) were lower than that in controls (p &lt; 0.05). In AIS (days 1-3), both miRNAs were decreased compared with the HIS group (p = 0.053 and 0.001, respectively). The area under the curve (AUC) of the miR-21-5p was 0.714 for SIS (95% CI 0.570-0.859, p = 0.007), 0.734 for RIS (95% CI 0.596-0.871, p = 0.003); the AUC of the miR-30a-5p was 0.826 for HIS (95% CI 0.665-0.988, p = 0.001), 0.438 for AIS (days 1-3; 95% CI 0.240-0.635, p = 0.516).\nCONCLUSIONS: The plasma-derived exosomal miR-21-5p and miRNA-30a-5p in combination are promising biomarkers for diagnosing IS and distinguishing among HIS, SIS, and RIS, especially miRNA-30a-5p for the diagnosis of the HIS phase. Our results provide a new reference for clinicians to apply in early-stage diagnosis and identifies the possible value of biomarkers for IS thrombolysis therapy.","container-title":"Cerebrovascular Diseases (Basel, Switzerland)","DOI":"10.1159/000488365","ISSN":"1421-9786","issue":"5-6","journalAbbreviation":"Cerebrovasc Dis","language":"eng","note":"PMID: 29627835","page":"204-212","source":"PubMed","title":"Diagnosis of Hyperacute and Acute Ischaemic Stroke: The Potential Utility of Exosomal MicroRNA-21-5p and MicroRNA-30a-5p","title-short":"Diagnosis of Hyperacute and Acute Ischaemic Stroke","volume":"45","author":[{"family":"Wang","given":"Wei"},{"family":"Li","given":"Dong-Bin"},{"family":"Li","given":"Ru-Ying"},{"family":"Zhou","given":"Xia"},{"family":"Yu","given":"Dong-Ju"},{"family":"Lan","given":"Xiao-Yan"},{"family":"Li","given":"Jin-Pin"},{"family":"Liu","given":"Jing-Li"}],"issued":{"date-parts":[["2018"]]}}}],"schema":"https://github.com/citation-style-language/schema/raw/master/csl-citation.json"} </w:instrText>
      </w:r>
      <w:r w:rsidR="00B9167A" w:rsidRPr="00A831E7">
        <w:rPr>
          <w:rFonts w:eastAsia="Calibri"/>
        </w:rPr>
        <w:fldChar w:fldCharType="separate"/>
      </w:r>
      <w:r w:rsidR="00B61252" w:rsidRPr="00B61252">
        <w:rPr>
          <w:rFonts w:eastAsia="Calibri"/>
        </w:rPr>
        <w:t>[110]</w:t>
      </w:r>
      <w:r w:rsidR="00B9167A" w:rsidRPr="00A831E7">
        <w:rPr>
          <w:rFonts w:eastAsia="Calibri"/>
        </w:rPr>
        <w:fldChar w:fldCharType="end"/>
      </w:r>
      <w:r w:rsidRPr="00A831E7">
        <w:rPr>
          <w:rFonts w:eastAsia="Calibri"/>
        </w:rPr>
        <w:t>. Οι αναλύσεις ROC αποκάλυψαν ότι το miR-30a-5p είχε AUC = 0.826 για HIS</w:t>
      </w:r>
      <w:r w:rsidR="001470B4">
        <w:rPr>
          <w:rFonts w:eastAsia="Calibri"/>
        </w:rPr>
        <w:t xml:space="preserve"> </w:t>
      </w:r>
      <w:r w:rsidRPr="00A831E7">
        <w:rPr>
          <w:rFonts w:eastAsia="Calibri"/>
        </w:rPr>
        <w:t xml:space="preserve">τονίζοντας τη χρησιμότητά του ως μη </w:t>
      </w:r>
      <w:r w:rsidR="001470B4" w:rsidRPr="00A831E7">
        <w:rPr>
          <w:rFonts w:eastAsia="Calibri"/>
        </w:rPr>
        <w:t>επεμβατικό</w:t>
      </w:r>
      <w:r w:rsidR="001470B4">
        <w:rPr>
          <w:rFonts w:eastAsia="Calibri"/>
        </w:rPr>
        <w:t>ς</w:t>
      </w:r>
      <w:r w:rsidRPr="00A831E7">
        <w:rPr>
          <w:rFonts w:eastAsia="Calibri"/>
        </w:rPr>
        <w:t xml:space="preserve"> διαγνωστικ</w:t>
      </w:r>
      <w:r w:rsidR="001470B4">
        <w:rPr>
          <w:rFonts w:eastAsia="Calibri"/>
        </w:rPr>
        <w:t>ός</w:t>
      </w:r>
      <w:r w:rsidRPr="00A831E7">
        <w:rPr>
          <w:rFonts w:eastAsia="Calibri"/>
        </w:rPr>
        <w:t xml:space="preserve"> δείκτ</w:t>
      </w:r>
      <w:r w:rsidR="001470B4">
        <w:rPr>
          <w:rFonts w:eastAsia="Calibri"/>
        </w:rPr>
        <w:t>ης</w:t>
      </w:r>
      <w:r w:rsidRPr="00A831E7">
        <w:rPr>
          <w:rFonts w:eastAsia="Calibri"/>
        </w:rPr>
        <w:t xml:space="preserve"> για την πρώιμη ανίχνευση του εγκεφαλικού</w:t>
      </w:r>
      <w:r w:rsidR="00810A8F" w:rsidRPr="00A831E7">
        <w:rPr>
          <w:rFonts w:eastAsia="Calibri"/>
        </w:rPr>
        <w:t xml:space="preserve"> σε PoC εφαρμογές</w:t>
      </w:r>
      <w:r w:rsidR="00B9167A" w:rsidRPr="00A831E7">
        <w:rPr>
          <w:rFonts w:eastAsia="Calibri"/>
        </w:rPr>
        <w:t xml:space="preserve"> </w:t>
      </w:r>
      <w:r w:rsidR="00B9167A" w:rsidRPr="00A831E7">
        <w:rPr>
          <w:rFonts w:eastAsia="Calibri"/>
        </w:rPr>
        <w:fldChar w:fldCharType="begin"/>
      </w:r>
      <w:r w:rsidR="00B61252">
        <w:rPr>
          <w:rFonts w:eastAsia="Calibri"/>
        </w:rPr>
        <w:instrText xml:space="preserve"> ADDIN ZOTERO_ITEM CSL_CITATION {"citationID":"kyuKU0eV","properties":{"formattedCitation":"[110]","plainCitation":"[110]","noteIndex":0},"citationItems":[{"id":221,"uris":["http://zotero.org/users/local/mfHf28QG/items/2LYFM6BB"],"itemData":{"id":221,"type":"article-journal","abstract":"BACKGROUND: Early and accurate diagnosis of ischaemic stroke (IS) requires the use of an optimized biomarker. Exosomal microRNAs have the potential to serve as biomarkers owing to their stability and specificity. We investigated the expression levels of plasma-derived exosomal microRNA-21-5p and microRNA-30a-5p in the different phases of IS.\nMETHODS: One hundred forty-three patients with IS and 24 non-stroke controls were enrolled. The patients were divided into the following 5 groups: 1 group for the hyperacute phase IS (HIS, within 6 h); two for the acute phase IS (AIS, including days 1-3 and days 4-7); one for the subacute phase IS (SIS, days 8-14); and one for the recovery phase IS (RIS, days &gt;14). Plasma exosomes were isolated using a QIAGEN exoRNeasy kit and examined by transmission electron -microscopy, nanoparticle tracking, and flow cytometry. The expression levels of miRNA-21-5p and miRNA-30a-5p were detected by quantitative real-time polymerase chain reaction.\nRESULTS: The plasma exosomal miR-21-5p levels in SIS and RIS were significantly higher than that in controls (p &lt; 0.05 and p &lt; 0.01 respectively). The levels of miR-30a-5p in HIS were significantly higher (p &lt; 0.05) and in AIS (days 1-3) were lower than that in controls (p &lt; 0.05). In AIS (days 1-3), both miRNAs were decreased compared with the HIS group (p = 0.053 and 0.001, respectively). The area under the curve (AUC) of the miR-21-5p was 0.714 for SIS (95% CI 0.570-0.859, p = 0.007), 0.734 for RIS (95% CI 0.596-0.871, p = 0.003); the AUC of the miR-30a-5p was 0.826 for HIS (95% CI 0.665-0.988, p = 0.001), 0.438 for AIS (days 1-3; 95% CI 0.240-0.635, p = 0.516).\nCONCLUSIONS: The plasma-derived exosomal miR-21-5p and miRNA-30a-5p in combination are promising biomarkers for diagnosing IS and distinguishing among HIS, SIS, and RIS, especially miRNA-30a-5p for the diagnosis of the HIS phase. Our results provide a new reference for clinicians to apply in early-stage diagnosis and identifies the possible value of biomarkers for IS thrombolysis therapy.","container-title":"Cerebrovascular Diseases (Basel, Switzerland)","DOI":"10.1159/000488365","ISSN":"1421-9786","issue":"5-6","journalAbbreviation":"Cerebrovasc Dis","language":"eng","note":"PMID: 29627835","page":"204-212","source":"PubMed","title":"Diagnosis of Hyperacute and Acute Ischaemic Stroke: The Potential Utility of Exosomal MicroRNA-21-5p and MicroRNA-30a-5p","title-short":"Diagnosis of Hyperacute and Acute Ischaemic Stroke","volume":"45","author":[{"family":"Wang","given":"Wei"},{"family":"Li","given":"Dong-Bin"},{"family":"Li","given":"Ru-Ying"},{"family":"Zhou","given":"Xia"},{"family":"Yu","given":"Dong-Ju"},{"family":"Lan","given":"Xiao-Yan"},{"family":"Li","given":"Jin-Pin"},{"family":"Liu","given":"Jing-Li"}],"issued":{"date-parts":[["2018"]]}}}],"schema":"https://github.com/citation-style-language/schema/raw/master/csl-citation.json"} </w:instrText>
      </w:r>
      <w:r w:rsidR="00B9167A" w:rsidRPr="00A831E7">
        <w:rPr>
          <w:rFonts w:eastAsia="Calibri"/>
        </w:rPr>
        <w:fldChar w:fldCharType="separate"/>
      </w:r>
      <w:r w:rsidR="00B61252" w:rsidRPr="00B61252">
        <w:rPr>
          <w:rFonts w:eastAsia="Calibri"/>
        </w:rPr>
        <w:t>[110]</w:t>
      </w:r>
      <w:r w:rsidR="00B9167A" w:rsidRPr="00A831E7">
        <w:rPr>
          <w:rFonts w:eastAsia="Calibri"/>
        </w:rPr>
        <w:fldChar w:fldCharType="end"/>
      </w:r>
      <w:r w:rsidRPr="00A831E7">
        <w:rPr>
          <w:rFonts w:eastAsia="Calibri"/>
        </w:rPr>
        <w:t>.</w:t>
      </w:r>
    </w:p>
    <w:p w14:paraId="36DCEACB" w14:textId="77777777" w:rsidR="00892094" w:rsidRPr="00A831E7" w:rsidRDefault="00892094" w:rsidP="0057069D">
      <w:pPr>
        <w:spacing w:line="360" w:lineRule="auto"/>
        <w:ind w:firstLine="720"/>
        <w:jc w:val="both"/>
        <w:rPr>
          <w:rFonts w:eastAsia="Calibri"/>
        </w:rPr>
      </w:pPr>
    </w:p>
    <w:p w14:paraId="5A5D0426" w14:textId="5C6D96CA" w:rsidR="00B624D2" w:rsidRPr="00A46902" w:rsidRDefault="00D33FD1" w:rsidP="00A46902">
      <w:pPr>
        <w:pStyle w:val="3"/>
      </w:pPr>
      <w:bookmarkStart w:id="147" w:name="_Toc199787417"/>
      <w:bookmarkStart w:id="148" w:name="_Toc199946488"/>
      <w:r w:rsidRPr="00A46902">
        <w:t xml:space="preserve">5.2.3 </w:t>
      </w:r>
      <w:r w:rsidR="00B624D2" w:rsidRPr="00A46902">
        <w:t>Φορτίο EVs: circRNAs</w:t>
      </w:r>
      <w:bookmarkEnd w:id="147"/>
      <w:bookmarkEnd w:id="148"/>
    </w:p>
    <w:p w14:paraId="7C07E2A8" w14:textId="22CBDCD2" w:rsidR="00C7272A" w:rsidRDefault="00B624D2" w:rsidP="0057069D">
      <w:pPr>
        <w:spacing w:line="360" w:lineRule="auto"/>
        <w:ind w:firstLine="720"/>
        <w:jc w:val="both"/>
        <w:rPr>
          <w:rFonts w:eastAsia="Calibri"/>
          <w:lang w:val="en-US"/>
        </w:rPr>
      </w:pPr>
      <w:r w:rsidRPr="00A831E7">
        <w:rPr>
          <w:rFonts w:eastAsia="Calibri"/>
        </w:rPr>
        <w:t xml:space="preserve">Σε αντίθεση με τα miRNAs, τα circRNAs μέσα στα EVs αποτελούν μια ξεχωριστή κατηγορία RNA που παρουσιάζουν ιδιαίτερη σταθερότητα λόγω της κυκλικής δομής τους </w:t>
      </w:r>
      <w:r w:rsidRPr="00A831E7">
        <w:rPr>
          <w:rFonts w:eastAsia="Calibri"/>
        </w:rPr>
        <w:fldChar w:fldCharType="begin"/>
      </w:r>
      <w:r w:rsidR="00B61252">
        <w:rPr>
          <w:rFonts w:eastAsia="Calibri"/>
        </w:rPr>
        <w:instrText xml:space="preserve"> ADDIN ZOTERO_ITEM CSL_CITATION {"citationID":"uSe8DjfE","properties":{"formattedCitation":"[112]","plainCitation":"[112]","noteIndex":0},"citationItems":[{"id":1840,"uris":["http://zotero.org/users/local/mfHf28QG/items/EFGX5BK8"],"itemData":{"id":1840,"type":"article-journal","abstract":"Circular RNAs (circRNAs) have emerged as a prominent class of covalently closed single-stranded RNA molecules that exhibit tissue-specific expression and potential as biomarkers in extracellular vesicles (EVs) derived from liquid biopsies. Still, their characteristics and applications in EVs remain to be unveiled.","container-title":"Genome Medicine","DOI":"10.1186/s13073-024-01400-w","ISSN":"1756-994X","issue":"1","journalAbbreviation":"Genome Medicine","page":"126","source":"BioMed Central","title":"Circular RNA landscape in extracellular vesicles from human biofluids","volume":"16","author":[{"family":"Zhao","given":"Jingjing"},{"family":"Li","given":"Qiaojuan"},{"family":"Hu","given":"Jia"},{"family":"Yu","given":"Hongwu"},{"family":"Shen","given":"Youmin"},{"family":"Lai","given":"Hongyan"},{"family":"Li","given":"Qin"},{"family":"Zhang","given":"Hena"},{"family":"Li","given":"Yan"},{"family":"Fang","given":"Zhuting"},{"family":"Huang","given":"Shenglin"}],"issued":{"date-parts":[["2024",10,31]]}}}],"schema":"https://github.com/citation-style-language/schema/raw/master/csl-citation.json"} </w:instrText>
      </w:r>
      <w:r w:rsidRPr="00A831E7">
        <w:rPr>
          <w:rFonts w:eastAsia="Calibri"/>
        </w:rPr>
        <w:fldChar w:fldCharType="separate"/>
      </w:r>
      <w:r w:rsidR="00B61252" w:rsidRPr="00B61252">
        <w:rPr>
          <w:rFonts w:eastAsia="Calibri"/>
        </w:rPr>
        <w:t>[112]</w:t>
      </w:r>
      <w:r w:rsidRPr="00A831E7">
        <w:rPr>
          <w:rFonts w:eastAsia="Calibri"/>
        </w:rPr>
        <w:fldChar w:fldCharType="end"/>
      </w:r>
      <w:r w:rsidRPr="00A831E7">
        <w:rPr>
          <w:rFonts w:eastAsia="Calibri"/>
        </w:rPr>
        <w:t>. Ιδιαίτερο ενδιαφέρον παρουσιάζει η μελέτη των circRNAs ως βιοδεικτών για</w:t>
      </w:r>
      <w:r w:rsidR="007F1C07" w:rsidRPr="00A831E7">
        <w:rPr>
          <w:rFonts w:eastAsia="Calibri"/>
        </w:rPr>
        <w:t xml:space="preserve"> τον υπότυπο εγκεφαλικού επεισοδίου LAA (Large Artery Atherosclerosis) </w:t>
      </w:r>
      <w:r w:rsidR="007F1C07" w:rsidRPr="00A831E7">
        <w:rPr>
          <w:rFonts w:eastAsia="Calibri"/>
        </w:rPr>
        <w:fldChar w:fldCharType="begin"/>
      </w:r>
      <w:r w:rsidR="00B61252">
        <w:rPr>
          <w:rFonts w:eastAsia="Calibri"/>
        </w:rPr>
        <w:instrText xml:space="preserve"> ADDIN ZOTERO_ITEM CSL_CITATION {"citationID":"dKb1Uu6M","properties":{"formattedCitation":"[111]","plainCitation":"[111]","noteIndex":0},"citationItems":[{"id":232,"uris":["http://zotero.org/users/local/mfHf28QG/items/LNUBKTZ2"],"itemData":{"id":232,"type":"article-journal","abstract":"Large artery atherosclerotic (LAA) stroke is closely associated with atherosclerosis, characterized by the accumulation of immune cells. Early recognition of LAA stroke is crucial. Circulating exosomal circRNAs profiling represents a promising, ...","container-title":"Frontiers in Immunology","DOI":"10.3389/fimmu.2021.830018","language":"en","note":"PMID: 35095932","page":"830018","source":"pmc.ncbi.nlm.nih.gov","title":"Circulating Exosomal circRNAs Contribute to Potential Diagnostic Value of Large Artery Atherosclerotic Stroke","volume":"12","author":[{"family":"Xiao","given":"Qi"},{"family":"Hou","given":"Rongyao"},{"family":"Li","given":"Hong"},{"family":"Zhang","given":"Shuai"},{"family":"Zhang","given":"Fuzhi"},{"family":"Zhu","given":"Xiaoyan"},{"family":"Pan","given":"Xudong"}],"issued":{"date-parts":[["2022",1,13]]}}}],"schema":"https://github.com/citation-style-language/schema/raw/master/csl-citation.json"} </w:instrText>
      </w:r>
      <w:r w:rsidR="007F1C07" w:rsidRPr="00A831E7">
        <w:rPr>
          <w:rFonts w:eastAsia="Calibri"/>
        </w:rPr>
        <w:fldChar w:fldCharType="separate"/>
      </w:r>
      <w:r w:rsidR="00B61252" w:rsidRPr="00B61252">
        <w:rPr>
          <w:rFonts w:eastAsia="Calibri"/>
        </w:rPr>
        <w:t>[111]</w:t>
      </w:r>
      <w:r w:rsidR="007F1C07" w:rsidRPr="00A831E7">
        <w:rPr>
          <w:rFonts w:eastAsia="Calibri"/>
        </w:rPr>
        <w:fldChar w:fldCharType="end"/>
      </w:r>
      <w:r w:rsidR="007F1C07" w:rsidRPr="00A831E7">
        <w:rPr>
          <w:rFonts w:eastAsia="Calibri"/>
        </w:rPr>
        <w:t>.</w:t>
      </w:r>
      <w:r w:rsidRPr="00A831E7">
        <w:rPr>
          <w:rFonts w:eastAsia="Calibri"/>
        </w:rPr>
        <w:t xml:space="preserve"> </w:t>
      </w:r>
      <w:r w:rsidR="007F1C07" w:rsidRPr="00A831E7">
        <w:rPr>
          <w:rFonts w:eastAsia="Calibri"/>
        </w:rPr>
        <w:t>Το LAA εγκεφαλικό είναι ένας υπ</w:t>
      </w:r>
      <w:r w:rsidR="00DB30F9">
        <w:rPr>
          <w:rFonts w:eastAsia="Calibri"/>
        </w:rPr>
        <w:t>ό</w:t>
      </w:r>
      <w:r w:rsidR="007F1C07" w:rsidRPr="00A831E7">
        <w:rPr>
          <w:rFonts w:eastAsia="Calibri"/>
        </w:rPr>
        <w:t>τ</w:t>
      </w:r>
      <w:r w:rsidR="00DB30F9">
        <w:rPr>
          <w:rFonts w:eastAsia="Calibri"/>
        </w:rPr>
        <w:t>υ</w:t>
      </w:r>
      <w:r w:rsidR="007F1C07" w:rsidRPr="00A831E7">
        <w:rPr>
          <w:rFonts w:eastAsia="Calibri"/>
        </w:rPr>
        <w:t xml:space="preserve">πος ισχαιμικού εγκεφαλικού που προκαλείται από αθηροσκληρωτική στένωση ή απόφραξη μεγάλων αρτηριών, όπως η καρωτίδα ή η μέση εγκεφαλική αρτηρία, και σχετίζεται στενά με το LVO, το οποίο περιλαμβάνει ευρύτερα εμβολικά ή θρομβωτικά αίτια </w:t>
      </w:r>
      <w:r w:rsidR="007F1C07" w:rsidRPr="00A831E7">
        <w:rPr>
          <w:rFonts w:eastAsia="Calibri"/>
        </w:rPr>
        <w:fldChar w:fldCharType="begin"/>
      </w:r>
      <w:r w:rsidR="00B61252">
        <w:rPr>
          <w:rFonts w:eastAsia="Calibri"/>
        </w:rPr>
        <w:instrText xml:space="preserve"> ADDIN ZOTERO_ITEM CSL_CITATION {"citationID":"ZQ6vK14R","properties":{"formattedCitation":"[111]","plainCitation":"[111]","noteIndex":0},"citationItems":[{"id":232,"uris":["http://zotero.org/users/local/mfHf28QG/items/LNUBKTZ2"],"itemData":{"id":232,"type":"article-journal","abstract":"Large artery atherosclerotic (LAA) stroke is closely associated with atherosclerosis, characterized by the accumulation of immune cells. Early recognition of LAA stroke is crucial. Circulating exosomal circRNAs profiling represents a promising, ...","container-title":"Frontiers in Immunology","DOI":"10.3389/fimmu.2021.830018","language":"en","note":"PMID: 35095932","page":"830018","source":"pmc.ncbi.nlm.nih.gov","title":"Circulating Exosomal circRNAs Contribute to Potential Diagnostic Value of Large Artery Atherosclerotic Stroke","volume":"12","author":[{"family":"Xiao","given":"Qi"},{"family":"Hou","given":"Rongyao"},{"family":"Li","given":"Hong"},{"family":"Zhang","given":"Shuai"},{"family":"Zhang","given":"Fuzhi"},{"family":"Zhu","given":"Xiaoyan"},{"family":"Pan","given":"Xudong"}],"issued":{"date-parts":[["2022",1,13]]}}}],"schema":"https://github.com/citation-style-language/schema/raw/master/csl-citation.json"} </w:instrText>
      </w:r>
      <w:r w:rsidR="007F1C07" w:rsidRPr="00A831E7">
        <w:rPr>
          <w:rFonts w:eastAsia="Calibri"/>
        </w:rPr>
        <w:fldChar w:fldCharType="separate"/>
      </w:r>
      <w:r w:rsidR="00B61252" w:rsidRPr="00B61252">
        <w:rPr>
          <w:rFonts w:eastAsia="Calibri"/>
        </w:rPr>
        <w:t>[111]</w:t>
      </w:r>
      <w:r w:rsidR="007F1C07" w:rsidRPr="00A831E7">
        <w:rPr>
          <w:rFonts w:eastAsia="Calibri"/>
        </w:rPr>
        <w:fldChar w:fldCharType="end"/>
      </w:r>
      <w:r w:rsidR="008A5D23" w:rsidRPr="00A831E7">
        <w:rPr>
          <w:rFonts w:eastAsia="Calibri"/>
        </w:rPr>
        <w:t>.</w:t>
      </w:r>
      <w:r w:rsidR="007F1C07" w:rsidRPr="00A831E7">
        <w:rPr>
          <w:rFonts w:eastAsia="Calibri"/>
        </w:rPr>
        <w:t xml:space="preserve"> </w:t>
      </w:r>
      <w:r w:rsidRPr="00A831E7">
        <w:rPr>
          <w:rFonts w:eastAsia="Calibri"/>
        </w:rPr>
        <w:t>Στη συγκεκριμένη μελέτη</w:t>
      </w:r>
      <w:r w:rsidR="007F1C07" w:rsidRPr="00A831E7">
        <w:rPr>
          <w:rFonts w:eastAsia="Calibri"/>
        </w:rPr>
        <w:t>,</w:t>
      </w:r>
      <w:r w:rsidRPr="00A831E7">
        <w:rPr>
          <w:rFonts w:eastAsia="Calibri"/>
        </w:rPr>
        <w:t xml:space="preserve"> τα circ_0043837 και circ_0001801 </w:t>
      </w:r>
      <w:r w:rsidR="007F1C07" w:rsidRPr="00A831E7">
        <w:rPr>
          <w:rFonts w:eastAsia="Calibri"/>
        </w:rPr>
        <w:t xml:space="preserve">εμφάνισαν τη μεγαλύτερη διαγνωστική αξία, </w:t>
      </w:r>
      <w:r w:rsidRPr="00A831E7">
        <w:rPr>
          <w:rFonts w:eastAsia="Calibri"/>
        </w:rPr>
        <w:t>με το circ_0043837 να έχει AUC</w:t>
      </w:r>
      <w:r w:rsidR="007F1C07" w:rsidRPr="00A831E7">
        <w:rPr>
          <w:rFonts w:eastAsia="Calibri"/>
        </w:rPr>
        <w:t xml:space="preserve"> = </w:t>
      </w:r>
      <w:r w:rsidRPr="00A831E7">
        <w:rPr>
          <w:rFonts w:eastAsia="Calibri"/>
        </w:rPr>
        <w:t>0.732</w:t>
      </w:r>
      <w:r w:rsidR="007F1C07" w:rsidRPr="00A831E7">
        <w:rPr>
          <w:rFonts w:eastAsia="Calibri"/>
        </w:rPr>
        <w:t xml:space="preserve">, </w:t>
      </w:r>
      <w:r w:rsidRPr="00A831E7">
        <w:rPr>
          <w:rFonts w:eastAsia="Calibri"/>
        </w:rPr>
        <w:t xml:space="preserve">το circ_0001801 AUC </w:t>
      </w:r>
      <w:r w:rsidR="007F1C07" w:rsidRPr="00A831E7">
        <w:rPr>
          <w:rFonts w:eastAsia="Calibri"/>
        </w:rPr>
        <w:t xml:space="preserve">= </w:t>
      </w:r>
      <w:r w:rsidRPr="00A831E7">
        <w:rPr>
          <w:rFonts w:eastAsia="Calibri"/>
        </w:rPr>
        <w:t xml:space="preserve">0.771, ενώ ο συνδυασμός των δύο </w:t>
      </w:r>
      <w:r w:rsidR="007F1C07" w:rsidRPr="00A831E7">
        <w:rPr>
          <w:rFonts w:eastAsia="Calibri"/>
        </w:rPr>
        <w:t xml:space="preserve">είχε </w:t>
      </w:r>
      <w:r w:rsidRPr="00A831E7">
        <w:rPr>
          <w:rFonts w:eastAsia="Calibri"/>
        </w:rPr>
        <w:t xml:space="preserve">AUC </w:t>
      </w:r>
      <w:r w:rsidR="007F1C07" w:rsidRPr="00A831E7">
        <w:rPr>
          <w:rFonts w:eastAsia="Calibri"/>
        </w:rPr>
        <w:t xml:space="preserve">= </w:t>
      </w:r>
      <w:r w:rsidRPr="00A831E7">
        <w:rPr>
          <w:rFonts w:eastAsia="Calibri"/>
        </w:rPr>
        <w:t>0.825</w:t>
      </w:r>
      <w:r w:rsidR="007F1C07" w:rsidRPr="00A831E7">
        <w:rPr>
          <w:rFonts w:eastAsia="Calibri"/>
        </w:rPr>
        <w:t xml:space="preserve"> </w:t>
      </w:r>
      <w:r w:rsidR="007F1C07" w:rsidRPr="00A831E7">
        <w:rPr>
          <w:rFonts w:eastAsia="Calibri"/>
        </w:rPr>
        <w:fldChar w:fldCharType="begin"/>
      </w:r>
      <w:r w:rsidR="00B61252">
        <w:rPr>
          <w:rFonts w:eastAsia="Calibri"/>
        </w:rPr>
        <w:instrText xml:space="preserve"> ADDIN ZOTERO_ITEM CSL_CITATION {"citationID":"Ps46bD8L","properties":{"formattedCitation":"[111]","plainCitation":"[111]","noteIndex":0},"citationItems":[{"id":232,"uris":["http://zotero.org/users/local/mfHf28QG/items/LNUBKTZ2"],"itemData":{"id":232,"type":"article-journal","abstract":"Large artery atherosclerotic (LAA) stroke is closely associated with atherosclerosis, characterized by the accumulation of immune cells. Early recognition of LAA stroke is crucial. Circulating exosomal circRNAs profiling represents a promising, ...","container-title":"Frontiers in Immunology","DOI":"10.3389/fimmu.2021.830018","language":"en","note":"PMID: 35095932","page":"830018","source":"pmc.ncbi.nlm.nih.gov","title":"Circulating Exosomal circRNAs Contribute to Potential Diagnostic Value of Large Artery Atherosclerotic Stroke","volume":"12","author":[{"family":"Xiao","given":"Qi"},{"family":"Hou","given":"Rongyao"},{"family":"Li","given":"Hong"},{"family":"Zhang","given":"Shuai"},{"family":"Zhang","given":"Fuzhi"},{"family":"Zhu","given":"Xiaoyan"},{"family":"Pan","given":"Xudong"}],"issued":{"date-parts":[["2022",1,13]]}}}],"schema":"https://github.com/citation-style-language/schema/raw/master/csl-citation.json"} </w:instrText>
      </w:r>
      <w:r w:rsidR="007F1C07" w:rsidRPr="00A831E7">
        <w:rPr>
          <w:rFonts w:eastAsia="Calibri"/>
        </w:rPr>
        <w:fldChar w:fldCharType="separate"/>
      </w:r>
      <w:r w:rsidR="00B61252" w:rsidRPr="00B61252">
        <w:rPr>
          <w:rFonts w:eastAsia="Calibri"/>
        </w:rPr>
        <w:t>[111]</w:t>
      </w:r>
      <w:r w:rsidR="007F1C07" w:rsidRPr="00A831E7">
        <w:rPr>
          <w:rFonts w:eastAsia="Calibri"/>
        </w:rPr>
        <w:fldChar w:fldCharType="end"/>
      </w:r>
      <w:r w:rsidR="007F1C07" w:rsidRPr="00A831E7">
        <w:rPr>
          <w:rFonts w:eastAsia="Calibri"/>
        </w:rPr>
        <w:t>.</w:t>
      </w:r>
      <w:r w:rsidR="00625AE0" w:rsidRPr="00A831E7">
        <w:rPr>
          <w:rFonts w:eastAsia="Calibri"/>
        </w:rPr>
        <w:t xml:space="preserve"> </w:t>
      </w:r>
    </w:p>
    <w:p w14:paraId="29D52255" w14:textId="77777777" w:rsidR="003678F9" w:rsidRDefault="003678F9" w:rsidP="0057069D">
      <w:pPr>
        <w:spacing w:line="360" w:lineRule="auto"/>
        <w:ind w:firstLine="720"/>
        <w:jc w:val="both"/>
        <w:rPr>
          <w:rFonts w:eastAsia="Calibri"/>
          <w:lang w:val="en-US"/>
        </w:rPr>
      </w:pPr>
    </w:p>
    <w:p w14:paraId="025BED75" w14:textId="77777777" w:rsidR="00EC67FF" w:rsidRDefault="00EC67FF" w:rsidP="0057069D">
      <w:pPr>
        <w:spacing w:line="360" w:lineRule="auto"/>
        <w:ind w:firstLine="720"/>
        <w:jc w:val="both"/>
        <w:rPr>
          <w:rFonts w:eastAsia="Calibri"/>
          <w:lang w:val="en-US"/>
        </w:rPr>
      </w:pPr>
    </w:p>
    <w:p w14:paraId="7CB43740" w14:textId="77777777" w:rsidR="00EC67FF" w:rsidRDefault="00EC67FF" w:rsidP="0057069D">
      <w:pPr>
        <w:spacing w:line="360" w:lineRule="auto"/>
        <w:ind w:firstLine="720"/>
        <w:jc w:val="both"/>
        <w:rPr>
          <w:rFonts w:eastAsia="Calibri"/>
          <w:lang w:val="en-US"/>
        </w:rPr>
      </w:pPr>
    </w:p>
    <w:p w14:paraId="01E7B450" w14:textId="77777777" w:rsidR="005565BC" w:rsidRDefault="005565BC" w:rsidP="0057069D">
      <w:pPr>
        <w:spacing w:line="360" w:lineRule="auto"/>
        <w:ind w:firstLine="720"/>
        <w:jc w:val="both"/>
        <w:rPr>
          <w:rFonts w:eastAsia="Calibri"/>
          <w:lang w:val="en-US"/>
        </w:rPr>
      </w:pPr>
    </w:p>
    <w:p w14:paraId="4050A631" w14:textId="77777777" w:rsidR="00EC67FF" w:rsidRDefault="00EC67FF" w:rsidP="0057069D">
      <w:pPr>
        <w:spacing w:line="360" w:lineRule="auto"/>
        <w:ind w:firstLine="720"/>
        <w:jc w:val="both"/>
        <w:rPr>
          <w:rFonts w:eastAsia="Calibri"/>
          <w:lang w:val="en-US"/>
        </w:rPr>
      </w:pPr>
    </w:p>
    <w:p w14:paraId="65109551" w14:textId="77777777" w:rsidR="00EC67FF" w:rsidRPr="003678F9" w:rsidRDefault="00EC67FF" w:rsidP="0057069D">
      <w:pPr>
        <w:spacing w:line="360" w:lineRule="auto"/>
        <w:ind w:firstLine="720"/>
        <w:jc w:val="both"/>
        <w:rPr>
          <w:rFonts w:eastAsia="Calibri"/>
          <w:lang w:val="en-US"/>
        </w:rPr>
      </w:pPr>
    </w:p>
    <w:p w14:paraId="5DEC1BEF" w14:textId="10F16033" w:rsidR="00D33FD1" w:rsidRDefault="00DC5FE5" w:rsidP="008A6E9D">
      <w:pPr>
        <w:pStyle w:val="2"/>
        <w:spacing w:line="360" w:lineRule="auto"/>
        <w:rPr>
          <w:rFonts w:ascii="Times New Roman" w:hAnsi="Times New Roman" w:cs="Times New Roman"/>
          <w:b/>
          <w:bCs/>
          <w:i/>
          <w:iCs/>
          <w:color w:val="auto"/>
          <w:sz w:val="28"/>
          <w:szCs w:val="28"/>
          <w:lang w:val="en-US"/>
        </w:rPr>
      </w:pPr>
      <w:bookmarkStart w:id="149" w:name="_Toc199787418"/>
      <w:bookmarkStart w:id="150" w:name="_Toc199946489"/>
      <w:r w:rsidRPr="00A831E7">
        <w:rPr>
          <w:rFonts w:ascii="Times New Roman" w:hAnsi="Times New Roman" w:cs="Times New Roman"/>
          <w:b/>
          <w:bCs/>
          <w:i/>
          <w:iCs/>
          <w:color w:val="auto"/>
          <w:sz w:val="28"/>
          <w:szCs w:val="28"/>
        </w:rPr>
        <w:lastRenderedPageBreak/>
        <w:t>5.3 Αξιοποίηση Μηχανικής Μάθησης στη Διάγνωση του Εγκεφαλικού Επεισοδίου με EVs</w:t>
      </w:r>
      <w:bookmarkEnd w:id="149"/>
      <w:bookmarkEnd w:id="150"/>
    </w:p>
    <w:p w14:paraId="1357B057" w14:textId="77777777" w:rsidR="005565BC" w:rsidRPr="005565BC" w:rsidRDefault="005565BC" w:rsidP="005565BC">
      <w:pPr>
        <w:rPr>
          <w:lang w:val="en-US"/>
        </w:rPr>
      </w:pPr>
    </w:p>
    <w:p w14:paraId="3BB98FB3" w14:textId="1CA6011A" w:rsidR="00841D8E" w:rsidRPr="00A831E7" w:rsidRDefault="00841D8E" w:rsidP="0057069D">
      <w:pPr>
        <w:spacing w:line="360" w:lineRule="auto"/>
        <w:ind w:firstLine="720"/>
        <w:jc w:val="both"/>
        <w:rPr>
          <w:rFonts w:eastAsia="Calibri"/>
        </w:rPr>
      </w:pPr>
      <w:r w:rsidRPr="00A831E7">
        <w:rPr>
          <w:rFonts w:eastAsia="Calibri"/>
        </w:rPr>
        <w:t>Η αξιοποίηση αλγορίθμων μηχανικής μάθησης (ML) στην ανάλυση εξωκυτταρικών κυστιδίων (</w:t>
      </w:r>
      <w:r w:rsidR="009C23FA" w:rsidRPr="00A831E7">
        <w:rPr>
          <w:rFonts w:eastAsia="Calibri"/>
        </w:rPr>
        <w:t>EVs</w:t>
      </w:r>
      <w:r w:rsidRPr="00A831E7">
        <w:rPr>
          <w:rFonts w:eastAsia="Calibri"/>
        </w:rPr>
        <w:t>) ενισχύει τη διάγνωση εγκεφαλικών επεισοδίων, παρέχοντας ακριβή ταξινόμηση, βελτιωμένη πρόγνωση και προηγμένη υποστήριξη κλινικών αποφάσεων</w:t>
      </w:r>
      <w:r w:rsidR="00367DE9" w:rsidRPr="00A831E7">
        <w:rPr>
          <w:rFonts w:eastAsia="Calibri"/>
        </w:rPr>
        <w:t xml:space="preserve"> </w:t>
      </w:r>
      <w:r w:rsidR="00367DE9" w:rsidRPr="00A831E7">
        <w:rPr>
          <w:rFonts w:eastAsia="Calibri"/>
        </w:rPr>
        <w:fldChar w:fldCharType="begin"/>
      </w:r>
      <w:r w:rsidR="00B61252">
        <w:rPr>
          <w:rFonts w:eastAsia="Calibri"/>
        </w:rPr>
        <w:instrText xml:space="preserve"> ADDIN ZOTERO_ITEM CSL_CITATION {"citationID":"qX3Vrkt2","properties":{"formattedCitation":"[113]","plainCitation":"[113]","noteIndex":0},"citationItems":[{"id":1846,"uris":["http://zotero.org/users/local/mfHf28QG/items/B3D62CB5"],"itemData":{"id":1846,"type":"article-journal","abstract":"Stroke is a leading cause of death and disability worldwide. Inflammation and microvascular dysfunction have been associated with brain injury and long-term disability after both ischemic and hemorrhagic stroke. Recent studies have suggested a potential role of extracellular vesicles (EVs) as a link underlying these pathogenic processes. EVs are cell-derived particles enveloped by a lipid bilayer, containing proteins, lipids, and nucleic acids. From a functional standpoint, EVs can facilitate intercellular communication, including across the blood–brain barrier (BBB). Recent advances in EV research have shown a preferential release of EVs from specific cell types in the context of stroke, some of which were associated with increased neuroinflammation, microvascular dysfunction, and neuronal cytotoxicity while others offered a degree of neuroprotection. However, one historic challenge in the studies of EVs in stroke is the lack of consistent definitions and methods to analyze EVs, only recently updated in the MISEV2018 guidelines. Given limitations and complexity in the treatment of stroke, particularly delivery of therapeutics across the BBB, increasing attention has been paid towards manipulating EVs as one vehicle that can permit targeted therapeutic delivery to the central nervous system. These discoveries point towards a future where a better understanding of EVs will advance our knowledge of stroke-associated mechanisms of cerebral and systemic injury and contribute to the development of novel treatments. Here, we review the role that EVs play in ischemic and hemorrhagic stroke.","container-title":"Translational Stroke Research","DOI":"10.1007/s12975-022-01027-2","ISSN":"1868-601X","issue":"2","journalAbbreviation":"Transl. Stroke Res.","language":"en","page":"146-159","source":"Springer Link","title":"Unpacking the Role of Extracellular Vesicles in Ischemic and Hemorrhagic Stroke: Pathophysiology and Therapeutic Implications","title-short":"Unpacking the Role of Extracellular Vesicles in Ischemic and Hemorrhagic Stroke","volume":"14","author":[{"family":"Hirsch","given":"Yonatan"},{"family":"Geraghty","given":"Joseph R."},{"family":"Reiter","given":"Cory R."},{"family":"Katz","given":"Eitan A."},{"family":"Little","given":"Conner F."},{"family":"Tobin","given":"Matthew K."},{"family":"Testai","given":"Fernando D."}],"issued":{"date-parts":[["2023",4,1]]}}}],"schema":"https://github.com/citation-style-language/schema/raw/master/csl-citation.json"} </w:instrText>
      </w:r>
      <w:r w:rsidR="00367DE9" w:rsidRPr="00A831E7">
        <w:rPr>
          <w:rFonts w:eastAsia="Calibri"/>
        </w:rPr>
        <w:fldChar w:fldCharType="separate"/>
      </w:r>
      <w:r w:rsidR="00B61252" w:rsidRPr="00B61252">
        <w:rPr>
          <w:rFonts w:eastAsia="Calibri"/>
        </w:rPr>
        <w:t>[113]</w:t>
      </w:r>
      <w:r w:rsidR="00367DE9" w:rsidRPr="00A831E7">
        <w:rPr>
          <w:rFonts w:eastAsia="Calibri"/>
        </w:rPr>
        <w:fldChar w:fldCharType="end"/>
      </w:r>
      <w:r w:rsidRPr="00A831E7">
        <w:rPr>
          <w:rFonts w:eastAsia="Calibri"/>
        </w:rPr>
        <w:t xml:space="preserve">. Ολοένα και περισσότερες έρευνες αξιοποιούν μηχανική μάθηση για την ανάλυση των δεδομένων από EVs, καθώς η τεράστια πολυπλοκότητα και ετερογένεια τους, καθιστά δύσκολη την αναγνώριση μοτίβων και </w:t>
      </w:r>
      <w:r w:rsidR="009C23FA" w:rsidRPr="00A831E7">
        <w:rPr>
          <w:rFonts w:eastAsia="Calibri"/>
        </w:rPr>
        <w:t>υπ</w:t>
      </w:r>
      <w:r w:rsidR="003F6BC2" w:rsidRPr="00A831E7">
        <w:rPr>
          <w:rFonts w:eastAsia="Calibri"/>
        </w:rPr>
        <w:t>ο</w:t>
      </w:r>
      <w:r w:rsidR="009C23FA" w:rsidRPr="00A831E7">
        <w:rPr>
          <w:rFonts w:eastAsia="Calibri"/>
        </w:rPr>
        <w:t>τ</w:t>
      </w:r>
      <w:r w:rsidR="003F6BC2" w:rsidRPr="00A831E7">
        <w:rPr>
          <w:rFonts w:eastAsia="Calibri"/>
        </w:rPr>
        <w:t>ύ</w:t>
      </w:r>
      <w:r w:rsidR="009C23FA" w:rsidRPr="00A831E7">
        <w:rPr>
          <w:rFonts w:eastAsia="Calibri"/>
        </w:rPr>
        <w:t>πων</w:t>
      </w:r>
      <w:r w:rsidRPr="00A831E7">
        <w:rPr>
          <w:rFonts w:eastAsia="Calibri"/>
        </w:rPr>
        <w:t xml:space="preserve"> εγκεφαλικού με παραδοσιακές μεθόδους </w:t>
      </w:r>
      <w:r w:rsidRPr="00A831E7">
        <w:rPr>
          <w:rFonts w:eastAsia="Calibri"/>
        </w:rPr>
        <w:fldChar w:fldCharType="begin"/>
      </w:r>
      <w:r w:rsidR="00B61252">
        <w:rPr>
          <w:rFonts w:eastAsia="Calibri"/>
        </w:rPr>
        <w:instrText xml:space="preserve"> ADDIN ZOTERO_ITEM CSL_CITATION {"citationID":"YIBIMrJd","properties":{"formattedCitation":"[99]","plainCitation":"[99]","noteIndex":0},"citationItems":[{"id":1809,"uris":["http://zotero.org/users/local/mfHf28QG/items/YNKRPJYM"],"itemData":{"id":1809,"type":"article-journal","abstract":"The secretion of extracellular vesicles was initially described as a means of selective elimination of proteins, lipids and RNA from cells. Now, extracellular vesicles are also considered a new mode of intercellular communication.In any given setting, the population of extracellular vesicles comprises diverse subpopulations that can differ in size, morphology, composition or biogenic mechanisms. Complementary methods of analysis are required to distinguish between these subpopulations.Several machineries, prominently including components of the endocytic sorting machineries, act concomitantly for the generation of extracellular vesicles. As a result, extracellular vesicles can vary widely in terms of their composition and may carry specific sets of proteins, lipids or RNA species that then determine their fate and functions.Generation of extracellular vesicles requires the fine-tuning of various intracellular trafficking processes, which define the composition of nascent vesicles and affect their generation and, in the case of exosomes, their secretion from an intracellular compartment.Interactions of extracellular vesicles with recipient cells can have various effects on the target cell, from stimulating signalling pathways to providing trophic support, depending on the mode of interaction and on the intracellular fate of the vesicles in case of their uptake.Studies of the cell biology of extracellular vesicles is not only essential for addressing cell biological questions but also critical to open new avenues for their clinical use as biomarkers, as cargo vehicles for the targeted delivery of compounds or as specific modulators of cell behaviours.","container-title":"Nature Reviews Molecular Cell Biology","DOI":"10.1038/nrm.2017.125","ISSN":"1471-0080","issue":"4","journalAbbreviation":"Nat Rev Mol Cell Biol","language":"en","license":"2018 Springer Nature Limited","note":"publisher: Nature Publishing Group","page":"213-228","source":"www.nature.com","title":"Shedding light on the cell biology of extracellular vesicles","volume":"19","author":[{"family":"Niel","given":"Guillaume","non-dropping-particle":"van"},{"family":"D'Angelo","given":"Gisela"},{"family":"Raposo","given":"Graça"}],"issued":{"date-parts":[["2018",4]]}}}],"schema":"https://github.com/citation-style-language/schema/raw/master/csl-citation.json"} </w:instrText>
      </w:r>
      <w:r w:rsidRPr="00A831E7">
        <w:rPr>
          <w:rFonts w:eastAsia="Calibri"/>
        </w:rPr>
        <w:fldChar w:fldCharType="separate"/>
      </w:r>
      <w:r w:rsidR="00B61252" w:rsidRPr="00B61252">
        <w:rPr>
          <w:rFonts w:eastAsia="Calibri"/>
        </w:rPr>
        <w:t>[99]</w:t>
      </w:r>
      <w:r w:rsidRPr="00A831E7">
        <w:rPr>
          <w:rFonts w:eastAsia="Calibri"/>
        </w:rPr>
        <w:fldChar w:fldCharType="end"/>
      </w:r>
      <w:r w:rsidRPr="00A831E7">
        <w:rPr>
          <w:rFonts w:eastAsia="Calibri"/>
        </w:rPr>
        <w:t>.</w:t>
      </w:r>
    </w:p>
    <w:p w14:paraId="4C2C13FC" w14:textId="72F613F4" w:rsidR="005565BC" w:rsidRDefault="00841D8E" w:rsidP="005565BC">
      <w:pPr>
        <w:spacing w:line="360" w:lineRule="auto"/>
        <w:ind w:firstLine="720"/>
        <w:jc w:val="both"/>
        <w:rPr>
          <w:rFonts w:eastAsia="Calibri"/>
          <w:lang w:val="en-US"/>
        </w:rPr>
      </w:pPr>
      <w:r w:rsidRPr="00A831E7">
        <w:rPr>
          <w:rFonts w:eastAsia="Calibri"/>
        </w:rPr>
        <w:t xml:space="preserve">Οι αλγόριθμοι ML, όπως </w:t>
      </w:r>
      <w:r w:rsidR="009C23FA" w:rsidRPr="00A831E7">
        <w:rPr>
          <w:rFonts w:eastAsia="Calibri"/>
        </w:rPr>
        <w:t>random forests (RF)</w:t>
      </w:r>
      <w:r w:rsidRPr="00A831E7">
        <w:rPr>
          <w:rFonts w:eastAsia="Calibri"/>
        </w:rPr>
        <w:t xml:space="preserve">, </w:t>
      </w:r>
      <w:r w:rsidR="009C23FA" w:rsidRPr="00A831E7">
        <w:rPr>
          <w:rFonts w:eastAsia="Calibri"/>
        </w:rPr>
        <w:t>support vector machines</w:t>
      </w:r>
      <w:r w:rsidRPr="00A831E7">
        <w:rPr>
          <w:rFonts w:eastAsia="Calibri"/>
        </w:rPr>
        <w:t xml:space="preserve"> (SVM), </w:t>
      </w:r>
      <w:r w:rsidR="009C23FA" w:rsidRPr="00A831E7">
        <w:rPr>
          <w:rFonts w:eastAsia="Calibri"/>
        </w:rPr>
        <w:t>neural networks (NN)</w:t>
      </w:r>
      <w:r w:rsidRPr="00A831E7">
        <w:rPr>
          <w:rFonts w:eastAsia="Calibri"/>
        </w:rPr>
        <w:t xml:space="preserve"> και</w:t>
      </w:r>
      <w:r w:rsidR="009C23FA" w:rsidRPr="00A831E7">
        <w:rPr>
          <w:rFonts w:eastAsia="Calibri"/>
        </w:rPr>
        <w:t xml:space="preserve"> </w:t>
      </w:r>
      <w:r w:rsidR="008E382E">
        <w:rPr>
          <w:rFonts w:eastAsia="Calibri"/>
        </w:rPr>
        <w:t>μοντέλα βαθιάς μάθησης</w:t>
      </w:r>
      <w:r w:rsidR="009C23FA" w:rsidRPr="00A831E7">
        <w:rPr>
          <w:rFonts w:eastAsia="Calibri"/>
        </w:rPr>
        <w:t xml:space="preserve"> (DL)</w:t>
      </w:r>
      <w:r w:rsidRPr="00A831E7">
        <w:rPr>
          <w:rFonts w:eastAsia="Calibri"/>
        </w:rPr>
        <w:t xml:space="preserve">, ξεπερνούν αυτούς τους περιορισμούς, αναγνωρίζοντας χαρακτηριστικά μέσα από μεγάλο όγκο πολύπλοκων δεδομένων, αποκαλύπτοντας κρυφές συσχετίσεις σε μοριακές υπογραφές, και βελτιώνοντας τη διαγνωστική ακρίβεια </w:t>
      </w:r>
      <w:r w:rsidR="00367DE9" w:rsidRPr="00A831E7">
        <w:rPr>
          <w:rFonts w:eastAsia="Calibri"/>
        </w:rPr>
        <w:fldChar w:fldCharType="begin"/>
      </w:r>
      <w:r w:rsidR="00B61252">
        <w:rPr>
          <w:rFonts w:eastAsia="Calibri"/>
        </w:rPr>
        <w:instrText xml:space="preserve"> ADDIN ZOTERO_ITEM CSL_CITATION {"citationID":"ttlkKHDD","properties":{"formattedCitation":"[100]","plainCitation":"[100]","noteIndex":0},"citationItems":[{"id":1079,"uris":["http://zotero.org/users/local/mfHf28QG/items/RYIDQXHY"],"itemData":{"id":1079,"type":"article-journal","abstract":"Ischemic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Young"}],"issued":{"date-parts":[["2024",6,20]]}}}],"schema":"https://github.com/citation-style-language/schema/raw/master/csl-citation.json"} </w:instrText>
      </w:r>
      <w:r w:rsidR="00367DE9" w:rsidRPr="00A831E7">
        <w:rPr>
          <w:rFonts w:eastAsia="Calibri"/>
        </w:rPr>
        <w:fldChar w:fldCharType="separate"/>
      </w:r>
      <w:r w:rsidR="00B61252" w:rsidRPr="00B61252">
        <w:rPr>
          <w:rFonts w:eastAsia="Calibri"/>
        </w:rPr>
        <w:t>[100]</w:t>
      </w:r>
      <w:r w:rsidR="00367DE9" w:rsidRPr="00A831E7">
        <w:rPr>
          <w:rFonts w:eastAsia="Calibri"/>
        </w:rPr>
        <w:fldChar w:fldCharType="end"/>
      </w:r>
      <w:r w:rsidRPr="00A831E7">
        <w:rPr>
          <w:rFonts w:eastAsia="Calibri"/>
        </w:rPr>
        <w:t xml:space="preserve">. </w:t>
      </w:r>
      <w:r w:rsidR="00B31156" w:rsidRPr="00A831E7">
        <w:rPr>
          <w:rFonts w:eastAsia="Calibri"/>
        </w:rPr>
        <w:t>Συγκριτικά με τις παραδοσιακές μεθόδους στατιστικής ανάλυσης,</w:t>
      </w:r>
      <w:r w:rsidR="009C23FA" w:rsidRPr="00A831E7">
        <w:rPr>
          <w:rFonts w:eastAsia="Calibri"/>
        </w:rPr>
        <w:t xml:space="preserve"> </w:t>
      </w:r>
      <w:r w:rsidR="00B31156" w:rsidRPr="00A831E7">
        <w:rPr>
          <w:rFonts w:eastAsia="Calibri"/>
        </w:rPr>
        <w:t>που βασίζονται σε προκαθορισμένα μοντέλα και υποθέσεις</w:t>
      </w:r>
      <w:r w:rsidR="009C23FA" w:rsidRPr="00A831E7">
        <w:rPr>
          <w:rFonts w:eastAsia="Calibri"/>
        </w:rPr>
        <w:t xml:space="preserve"> αλλά και σε σχέση με </w:t>
      </w:r>
      <w:r w:rsidR="00025BB7">
        <w:rPr>
          <w:rFonts w:eastAsia="Calibri"/>
        </w:rPr>
        <w:t>τη λογιστική παλινδρόμηση</w:t>
      </w:r>
      <w:r w:rsidR="00025BB7" w:rsidRPr="00025BB7">
        <w:rPr>
          <w:rFonts w:eastAsia="Calibri"/>
        </w:rPr>
        <w:t xml:space="preserve"> </w:t>
      </w:r>
      <w:r w:rsidR="00025BB7">
        <w:rPr>
          <w:rFonts w:eastAsia="Calibri"/>
        </w:rPr>
        <w:t>(</w:t>
      </w:r>
      <w:r w:rsidR="00025BB7">
        <w:rPr>
          <w:rFonts w:eastAsia="Calibri"/>
          <w:lang w:val="en-US"/>
        </w:rPr>
        <w:t>logistic</w:t>
      </w:r>
      <w:r w:rsidR="00025BB7" w:rsidRPr="00025BB7">
        <w:rPr>
          <w:rFonts w:eastAsia="Calibri"/>
        </w:rPr>
        <w:t xml:space="preserve"> </w:t>
      </w:r>
      <w:r w:rsidR="00025BB7">
        <w:rPr>
          <w:rFonts w:eastAsia="Calibri"/>
          <w:lang w:val="en-US"/>
        </w:rPr>
        <w:t>regression</w:t>
      </w:r>
      <w:r w:rsidR="00025BB7" w:rsidRPr="00025BB7">
        <w:rPr>
          <w:rFonts w:eastAsia="Calibri"/>
        </w:rPr>
        <w:t>)</w:t>
      </w:r>
      <w:r w:rsidR="009C23FA" w:rsidRPr="00A831E7">
        <w:rPr>
          <w:rFonts w:eastAsia="Calibri"/>
        </w:rPr>
        <w:t xml:space="preserve">, που είναι μια μορφή </w:t>
      </w:r>
      <w:r w:rsidR="001C4B0E">
        <w:t>επιβλεπόμενης</w:t>
      </w:r>
      <w:r w:rsidR="009C23FA" w:rsidRPr="00A831E7">
        <w:rPr>
          <w:rFonts w:eastAsia="Calibri"/>
        </w:rPr>
        <w:t xml:space="preserve"> ML,</w:t>
      </w:r>
      <w:r w:rsidR="00B31156" w:rsidRPr="00A831E7">
        <w:rPr>
          <w:rFonts w:eastAsia="Calibri"/>
        </w:rPr>
        <w:t xml:space="preserve"> </w:t>
      </w:r>
      <w:r w:rsidR="009C23FA" w:rsidRPr="00A831E7">
        <w:rPr>
          <w:rFonts w:eastAsia="Calibri"/>
        </w:rPr>
        <w:t>οι επικρατέστερες μέθοδοι</w:t>
      </w:r>
      <w:r w:rsidR="00B31156" w:rsidRPr="00A831E7">
        <w:rPr>
          <w:rFonts w:eastAsia="Calibri"/>
        </w:rPr>
        <w:t xml:space="preserve"> </w:t>
      </w:r>
      <w:r w:rsidR="009C23FA" w:rsidRPr="00A831E7">
        <w:rPr>
          <w:rFonts w:eastAsia="Calibri"/>
        </w:rPr>
        <w:t>μηχανικής μάθησης</w:t>
      </w:r>
      <w:r w:rsidR="00B31156" w:rsidRPr="00A831E7">
        <w:rPr>
          <w:rFonts w:eastAsia="Calibri"/>
        </w:rPr>
        <w:t xml:space="preserve"> επιτρέπ</w:t>
      </w:r>
      <w:r w:rsidR="009C23FA" w:rsidRPr="00A831E7">
        <w:rPr>
          <w:rFonts w:eastAsia="Calibri"/>
        </w:rPr>
        <w:t>ουν</w:t>
      </w:r>
      <w:r w:rsidR="00B31156" w:rsidRPr="00A831E7">
        <w:rPr>
          <w:rFonts w:eastAsia="Calibri"/>
        </w:rPr>
        <w:t xml:space="preserve"> την αυτόματη εξαγωγή μοτίβων από πολυδιάστατα δεδομένα χωρίς την ανάγκη αρχικών υποθέσεων</w:t>
      </w:r>
      <w:r w:rsidR="009C23FA" w:rsidRPr="00A831E7">
        <w:rPr>
          <w:rFonts w:eastAsia="Calibri"/>
        </w:rPr>
        <w:t xml:space="preserve"> </w:t>
      </w:r>
      <w:r w:rsidR="009C23FA" w:rsidRPr="00A831E7">
        <w:rPr>
          <w:rFonts w:eastAsia="Calibri"/>
        </w:rPr>
        <w:fldChar w:fldCharType="begin"/>
      </w:r>
      <w:r w:rsidR="00B61252">
        <w:rPr>
          <w:rFonts w:eastAsia="Calibri"/>
        </w:rPr>
        <w:instrText xml:space="preserve"> ADDIN ZOTERO_ITEM CSL_CITATION {"citationID":"PVLBzgMO","properties":{"formattedCitation":"[100], [114]","plainCitation":"[100], [114]","noteIndex":0},"citationItems":[{"id":1079,"uris":["http://zotero.org/users/local/mfHf28QG/items/RYIDQXHY"],"itemData":{"id":1079,"type":"article-journal","abstract":"Ischemic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Young"}],"issued":{"date-parts":[["2024",6,20]]}}},{"id":1847,"uris":["http://zotero.org/users/local/mfHf28QG/items/63X46EBP"],"itemData":{"id":1847,"type":"article-journal","abstract":"Extracellular vesicles (EVs) are a family of small membrane vesicles that carry information about cells by which they are secreted. Growing interest in the role of EVs in intercellular communication, but also in using their diagnostic, prognostic and therapeutic potential in (bio) medical applications, demands for accurate assessment of their biochemical and physical properties. In this review, we provide an overview of available technologies for EV analysis by describing their working principles, assessing their utility in EV research and summarising their potential and limitations. To emphasise the innovations in EV analysis, we also highlight the unique possibilities of emerging technologies with high potential for further development.","container-title":"Bioengineering","DOI":"10.3390/bioengineering6010007","ISSN":"2306-5354","issue":"1","language":"en","license":"http://creativecommons.org/licenses/by/3.0/","note":"number: 1\npublisher: Multidisciplinary Digital Publishing Institute","page":"7","source":"www.mdpi.com","title":"Extracellular Vesicle Quantification and Characterization: Common Methods and Emerging Approaches","title-short":"Extracellular Vesicle Quantification and Characterization","volume":"6","author":[{"family":"Hartjes","given":"Thomas A."},{"family":"Mytnyk","given":"Serhii"},{"family":"Jenster","given":"Guido W."},{"family":"Steijn","given":"Volkert","non-dropping-particle":"van"},{"family":"Royen","given":"Martin E.","non-dropping-particle":"van"}],"issued":{"date-parts":[["2019",3]]}}}],"schema":"https://github.com/citation-style-language/schema/raw/master/csl-citation.json"} </w:instrText>
      </w:r>
      <w:r w:rsidR="009C23FA" w:rsidRPr="00A831E7">
        <w:rPr>
          <w:rFonts w:eastAsia="Calibri"/>
        </w:rPr>
        <w:fldChar w:fldCharType="separate"/>
      </w:r>
      <w:r w:rsidR="00B61252" w:rsidRPr="00B61252">
        <w:rPr>
          <w:rFonts w:eastAsia="Calibri"/>
        </w:rPr>
        <w:t>[100], [114]</w:t>
      </w:r>
      <w:r w:rsidR="009C23FA" w:rsidRPr="00A831E7">
        <w:rPr>
          <w:rFonts w:eastAsia="Calibri"/>
        </w:rPr>
        <w:fldChar w:fldCharType="end"/>
      </w:r>
      <w:r w:rsidR="00B31156" w:rsidRPr="00A831E7">
        <w:rPr>
          <w:rFonts w:eastAsia="Calibri"/>
        </w:rPr>
        <w:t>.</w:t>
      </w:r>
      <w:r w:rsidR="009C23FA" w:rsidRPr="00A831E7">
        <w:rPr>
          <w:rFonts w:eastAsia="Calibri"/>
        </w:rPr>
        <w:t xml:space="preserve"> </w:t>
      </w:r>
      <w:r w:rsidR="00B31156" w:rsidRPr="00A831E7">
        <w:rPr>
          <w:rFonts w:eastAsia="Calibri"/>
        </w:rPr>
        <w:t xml:space="preserve">Η ML επιτρέπει επίσης συνεχή μάθηση και προσαρμογή σε νέα δεδομένα, καθιστώντας την ιδανική για εφαρμογές </w:t>
      </w:r>
      <w:r w:rsidR="009C23FA" w:rsidRPr="00A831E7">
        <w:rPr>
          <w:rFonts w:eastAsia="Calibri"/>
        </w:rPr>
        <w:t>point-of-care</w:t>
      </w:r>
      <w:r w:rsidR="00B31156" w:rsidRPr="00A831E7">
        <w:rPr>
          <w:rFonts w:eastAsia="Calibri"/>
        </w:rPr>
        <w:t xml:space="preserve"> (</w:t>
      </w:r>
      <w:r w:rsidR="009C23FA" w:rsidRPr="00A831E7">
        <w:rPr>
          <w:rFonts w:eastAsia="Calibri"/>
        </w:rPr>
        <w:t>PoC</w:t>
      </w:r>
      <w:r w:rsidR="00B31156" w:rsidRPr="00A831E7">
        <w:rPr>
          <w:rFonts w:eastAsia="Calibri"/>
        </w:rPr>
        <w:t>), όπου η ταχύτητα και η ακρίβεια είναι κρίσιμες</w:t>
      </w:r>
      <w:r w:rsidR="009C23FA" w:rsidRPr="00A831E7">
        <w:rPr>
          <w:rFonts w:eastAsia="Calibri"/>
        </w:rPr>
        <w:t xml:space="preserve"> </w:t>
      </w:r>
      <w:r w:rsidR="009C23FA" w:rsidRPr="00A831E7">
        <w:rPr>
          <w:rFonts w:eastAsia="Calibri"/>
        </w:rPr>
        <w:fldChar w:fldCharType="begin"/>
      </w:r>
      <w:r w:rsidR="00B61252">
        <w:rPr>
          <w:rFonts w:eastAsia="Calibri"/>
        </w:rPr>
        <w:instrText xml:space="preserve"> ADDIN ZOTERO_ITEM CSL_CITATION {"citationID":"j3C2IyTa","properties":{"formattedCitation":"[101]","plainCitation":"[101]","noteIndex":0},"citationItems":[{"id":1074,"uris":["http://zotero.org/users/local/mfHf28QG/items/49E82DUN"],"itemData":{"id":1074,"type":"article-journal","abstract":"L1CAM-positive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009C23FA" w:rsidRPr="00A831E7">
        <w:rPr>
          <w:rFonts w:eastAsia="Calibri"/>
        </w:rPr>
        <w:fldChar w:fldCharType="separate"/>
      </w:r>
      <w:r w:rsidR="00B61252" w:rsidRPr="00B61252">
        <w:rPr>
          <w:rFonts w:eastAsia="Calibri"/>
        </w:rPr>
        <w:t>[101]</w:t>
      </w:r>
      <w:r w:rsidR="009C23FA" w:rsidRPr="00A831E7">
        <w:rPr>
          <w:rFonts w:eastAsia="Calibri"/>
        </w:rPr>
        <w:fldChar w:fldCharType="end"/>
      </w:r>
      <w:r w:rsidR="009C23FA" w:rsidRPr="00A831E7">
        <w:rPr>
          <w:rFonts w:eastAsia="Calibri"/>
        </w:rPr>
        <w:t>.</w:t>
      </w:r>
      <w:r w:rsidR="001E36E2" w:rsidRPr="00A831E7">
        <w:rPr>
          <w:rFonts w:eastAsia="Calibri"/>
        </w:rPr>
        <w:t xml:space="preserve"> </w:t>
      </w:r>
      <w:r w:rsidR="001E36E2" w:rsidRPr="00A831E7">
        <w:t>Οι πιο πρόσφατες μελέτες στην εφαρμογή ML αλγορίθμων για διάγνωση με</w:t>
      </w:r>
      <w:r w:rsidR="002C118A" w:rsidRPr="00A831E7">
        <w:t xml:space="preserve"> χρήση πολλαπλών</w:t>
      </w:r>
      <w:r w:rsidR="001E36E2" w:rsidRPr="00A831E7">
        <w:t xml:space="preserve"> EV</w:t>
      </w:r>
      <w:r w:rsidR="002C118A" w:rsidRPr="00A831E7">
        <w:t xml:space="preserve">s και </w:t>
      </w:r>
      <w:r w:rsidR="008E382E">
        <w:t>σετ χαρακτηριστικών (</w:t>
      </w:r>
      <w:r w:rsidR="002C118A" w:rsidRPr="00A831E7">
        <w:t>feature-sets</w:t>
      </w:r>
      <w:r w:rsidR="008E382E">
        <w:t>)</w:t>
      </w:r>
      <w:r w:rsidR="006D18D2" w:rsidRPr="00A831E7">
        <w:t xml:space="preserve">, </w:t>
      </w:r>
      <w:r w:rsidR="001E36E2" w:rsidRPr="00A831E7">
        <w:t xml:space="preserve">φαίνονται στον </w:t>
      </w:r>
      <w:r w:rsidR="001E36E2" w:rsidRPr="00A831E7">
        <w:rPr>
          <w:i/>
          <w:iCs/>
        </w:rPr>
        <w:t>Πίνακα 20</w:t>
      </w:r>
      <w:r w:rsidR="006D18D2" w:rsidRPr="00A831E7">
        <w:t xml:space="preserve"> και θα μπορούσαν να διακριθούν σε δυο κατηγορίες βιοδεικτών: εξωσωματικά miRNAs-ncRNAs και επιφανειακούς δείκτες των EVs</w:t>
      </w:r>
      <w:r w:rsidR="005B1815">
        <w:rPr>
          <w:lang w:val="en-US"/>
        </w:rPr>
        <w:t xml:space="preserve">, </w:t>
      </w:r>
      <w:r w:rsidR="005B1815">
        <w:t xml:space="preserve">ενώ στον </w:t>
      </w:r>
      <w:r w:rsidR="005B1815" w:rsidRPr="005B1815">
        <w:rPr>
          <w:i/>
          <w:iCs/>
        </w:rPr>
        <w:t>Πίνακα 21</w:t>
      </w:r>
      <w:r w:rsidR="005B1815">
        <w:t xml:space="preserve"> φαίνονται οι έρευνες με </w:t>
      </w:r>
      <w:r w:rsidR="005B1815">
        <w:rPr>
          <w:lang w:val="en-US"/>
        </w:rPr>
        <w:t xml:space="preserve">miRNA </w:t>
      </w:r>
      <w:r w:rsidR="005B1815">
        <w:t>διπλής προέλευσης (αίμα-</w:t>
      </w:r>
      <w:r w:rsidR="005B1815">
        <w:rPr>
          <w:lang w:val="en-US"/>
        </w:rPr>
        <w:t>EVs)</w:t>
      </w:r>
      <w:r w:rsidR="006D18D2" w:rsidRPr="00A831E7">
        <w:t>.</w:t>
      </w:r>
    </w:p>
    <w:p w14:paraId="57F58426" w14:textId="77777777" w:rsidR="005565BC" w:rsidRDefault="005565BC" w:rsidP="005565BC">
      <w:pPr>
        <w:spacing w:line="360" w:lineRule="auto"/>
        <w:ind w:firstLine="720"/>
        <w:jc w:val="both"/>
        <w:rPr>
          <w:rFonts w:eastAsia="Calibri"/>
          <w:lang w:val="en-US"/>
        </w:rPr>
      </w:pPr>
    </w:p>
    <w:p w14:paraId="56BB752F" w14:textId="77777777" w:rsidR="005565BC" w:rsidRDefault="005565BC" w:rsidP="005565BC">
      <w:pPr>
        <w:spacing w:line="360" w:lineRule="auto"/>
        <w:ind w:firstLine="720"/>
        <w:jc w:val="both"/>
        <w:rPr>
          <w:rFonts w:eastAsia="Calibri"/>
          <w:lang w:val="en-US"/>
        </w:rPr>
      </w:pPr>
    </w:p>
    <w:p w14:paraId="23CC68DE" w14:textId="77777777" w:rsidR="005565BC" w:rsidRDefault="005565BC" w:rsidP="005565BC">
      <w:pPr>
        <w:spacing w:line="360" w:lineRule="auto"/>
        <w:ind w:firstLine="720"/>
        <w:jc w:val="both"/>
        <w:rPr>
          <w:rFonts w:eastAsia="Calibri"/>
          <w:lang w:val="en-US"/>
        </w:rPr>
      </w:pPr>
    </w:p>
    <w:p w14:paraId="6D2A5725" w14:textId="77777777" w:rsidR="005565BC" w:rsidRDefault="005565BC" w:rsidP="005565BC">
      <w:pPr>
        <w:spacing w:line="360" w:lineRule="auto"/>
        <w:ind w:firstLine="720"/>
        <w:jc w:val="both"/>
        <w:rPr>
          <w:rFonts w:eastAsia="Calibri"/>
          <w:lang w:val="en-US"/>
        </w:rPr>
      </w:pPr>
    </w:p>
    <w:p w14:paraId="0EF847FD" w14:textId="77777777" w:rsidR="005565BC" w:rsidRDefault="005565BC" w:rsidP="005565BC">
      <w:pPr>
        <w:spacing w:line="360" w:lineRule="auto"/>
        <w:ind w:firstLine="720"/>
        <w:jc w:val="both"/>
        <w:rPr>
          <w:rFonts w:eastAsia="Calibri"/>
          <w:lang w:val="en-US"/>
        </w:rPr>
      </w:pPr>
    </w:p>
    <w:p w14:paraId="16F541EB" w14:textId="77777777" w:rsidR="005565BC" w:rsidRDefault="005565BC" w:rsidP="002F0951">
      <w:pPr>
        <w:spacing w:line="360" w:lineRule="auto"/>
        <w:jc w:val="both"/>
        <w:rPr>
          <w:rFonts w:eastAsia="Calibri"/>
          <w:lang w:val="en-US"/>
        </w:rPr>
      </w:pPr>
    </w:p>
    <w:p w14:paraId="731C6ECA" w14:textId="77777777" w:rsidR="005565BC" w:rsidRPr="00F81FAC" w:rsidRDefault="005565BC" w:rsidP="00F81FAC">
      <w:pPr>
        <w:spacing w:line="360" w:lineRule="auto"/>
        <w:jc w:val="both"/>
        <w:rPr>
          <w:rFonts w:eastAsia="Calibri"/>
        </w:rPr>
      </w:pPr>
    </w:p>
    <w:p w14:paraId="0D81726A" w14:textId="4B38320B" w:rsidR="00DC2467" w:rsidRPr="00A831E7" w:rsidRDefault="00DC2467" w:rsidP="005565BC">
      <w:pPr>
        <w:pStyle w:val="af5"/>
        <w:keepNext/>
        <w:spacing w:line="276" w:lineRule="auto"/>
        <w:jc w:val="center"/>
        <w:rPr>
          <w:b/>
          <w:bCs/>
          <w:color w:val="auto"/>
          <w:sz w:val="20"/>
          <w:szCs w:val="20"/>
        </w:rPr>
      </w:pPr>
      <w:bookmarkStart w:id="151" w:name="_Toc199787755"/>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00104378" w:rsidRPr="00A831E7">
        <w:rPr>
          <w:b/>
          <w:bCs/>
          <w:color w:val="auto"/>
          <w:sz w:val="20"/>
          <w:szCs w:val="20"/>
        </w:rPr>
        <w:t>20</w:t>
      </w:r>
      <w:r w:rsidRPr="00A831E7">
        <w:rPr>
          <w:b/>
          <w:bCs/>
          <w:color w:val="auto"/>
          <w:sz w:val="20"/>
          <w:szCs w:val="20"/>
        </w:rPr>
        <w:fldChar w:fldCharType="end"/>
      </w:r>
      <w:r w:rsidRPr="00A831E7">
        <w:rPr>
          <w:b/>
          <w:bCs/>
          <w:color w:val="auto"/>
          <w:sz w:val="20"/>
          <w:szCs w:val="20"/>
        </w:rPr>
        <w:t>: EVs στη Διάγνωση Εγκεφαλικού Επεισοδίου με αξιοποίηση ML</w:t>
      </w:r>
      <w:bookmarkEnd w:id="151"/>
    </w:p>
    <w:tbl>
      <w:tblPr>
        <w:tblStyle w:val="af0"/>
        <w:tblW w:w="5000" w:type="pct"/>
        <w:tblLayout w:type="fixed"/>
        <w:tblLook w:val="04A0" w:firstRow="1" w:lastRow="0" w:firstColumn="1" w:lastColumn="0" w:noHBand="0" w:noVBand="1"/>
      </w:tblPr>
      <w:tblGrid>
        <w:gridCol w:w="1121"/>
        <w:gridCol w:w="1416"/>
        <w:gridCol w:w="991"/>
        <w:gridCol w:w="1135"/>
        <w:gridCol w:w="851"/>
        <w:gridCol w:w="707"/>
        <w:gridCol w:w="711"/>
        <w:gridCol w:w="707"/>
        <w:gridCol w:w="643"/>
      </w:tblGrid>
      <w:tr w:rsidR="008A6E9D" w:rsidRPr="00A831E7" w14:paraId="2C661590" w14:textId="77777777" w:rsidTr="008A6E9D">
        <w:trPr>
          <w:trHeight w:val="636"/>
          <w:tblHeader/>
        </w:trPr>
        <w:tc>
          <w:tcPr>
            <w:tcW w:w="677" w:type="pct"/>
            <w:tcBorders>
              <w:top w:val="single" w:sz="12" w:space="0" w:color="auto"/>
              <w:left w:val="single" w:sz="12" w:space="0" w:color="auto"/>
              <w:bottom w:val="single" w:sz="12" w:space="0" w:color="auto"/>
            </w:tcBorders>
            <w:shd w:val="clear" w:color="auto" w:fill="D9D9D9" w:themeFill="background1" w:themeFillShade="D9"/>
          </w:tcPr>
          <w:p w14:paraId="65A5D9E8" w14:textId="77777777" w:rsidR="008A5D23" w:rsidRPr="00A831E7" w:rsidRDefault="008A5D23" w:rsidP="008A6E9D">
            <w:pPr>
              <w:jc w:val="center"/>
              <w:rPr>
                <w:b/>
                <w:bCs/>
                <w:i/>
                <w:iCs/>
                <w:sz w:val="20"/>
                <w:szCs w:val="20"/>
              </w:rPr>
            </w:pPr>
            <w:r w:rsidRPr="00A831E7">
              <w:rPr>
                <w:b/>
                <w:bCs/>
                <w:i/>
                <w:iCs/>
                <w:sz w:val="20"/>
                <w:szCs w:val="20"/>
              </w:rPr>
              <w:t>EVs</w:t>
            </w:r>
          </w:p>
        </w:tc>
        <w:tc>
          <w:tcPr>
            <w:tcW w:w="855" w:type="pct"/>
            <w:tcBorders>
              <w:top w:val="single" w:sz="12" w:space="0" w:color="auto"/>
              <w:bottom w:val="single" w:sz="12" w:space="0" w:color="auto"/>
            </w:tcBorders>
            <w:shd w:val="clear" w:color="auto" w:fill="D9D9D9" w:themeFill="background1" w:themeFillShade="D9"/>
          </w:tcPr>
          <w:p w14:paraId="26A5943E" w14:textId="75948F3E" w:rsidR="008A5D23" w:rsidRPr="00A831E7" w:rsidRDefault="009B747E" w:rsidP="008A6E9D">
            <w:pPr>
              <w:jc w:val="center"/>
              <w:rPr>
                <w:b/>
                <w:bCs/>
                <w:i/>
                <w:iCs/>
                <w:sz w:val="20"/>
                <w:szCs w:val="20"/>
              </w:rPr>
            </w:pPr>
            <w:r w:rsidRPr="00A831E7">
              <w:rPr>
                <w:b/>
                <w:bCs/>
                <w:i/>
                <w:iCs/>
                <w:sz w:val="20"/>
                <w:szCs w:val="20"/>
              </w:rPr>
              <w:t>Function</w:t>
            </w:r>
          </w:p>
        </w:tc>
        <w:tc>
          <w:tcPr>
            <w:tcW w:w="598" w:type="pct"/>
            <w:tcBorders>
              <w:top w:val="single" w:sz="12" w:space="0" w:color="auto"/>
              <w:bottom w:val="single" w:sz="12" w:space="0" w:color="auto"/>
            </w:tcBorders>
            <w:shd w:val="clear" w:color="auto" w:fill="D9D9D9" w:themeFill="background1" w:themeFillShade="D9"/>
          </w:tcPr>
          <w:p w14:paraId="3934C4C6" w14:textId="076DDE4D" w:rsidR="008A5D23" w:rsidRPr="00A831E7" w:rsidRDefault="009B747E" w:rsidP="008A6E9D">
            <w:pPr>
              <w:jc w:val="center"/>
              <w:rPr>
                <w:b/>
                <w:bCs/>
                <w:i/>
                <w:iCs/>
                <w:sz w:val="20"/>
                <w:szCs w:val="20"/>
              </w:rPr>
            </w:pPr>
            <w:r w:rsidRPr="00A831E7">
              <w:rPr>
                <w:b/>
                <w:bCs/>
                <w:i/>
                <w:iCs/>
                <w:sz w:val="20"/>
                <w:szCs w:val="20"/>
              </w:rPr>
              <w:t>Source</w:t>
            </w:r>
            <w:r w:rsidR="00F01A2D" w:rsidRPr="00A831E7">
              <w:rPr>
                <w:b/>
                <w:bCs/>
                <w:i/>
                <w:iCs/>
                <w:sz w:val="20"/>
                <w:szCs w:val="20"/>
              </w:rPr>
              <w:t>,</w:t>
            </w:r>
            <w:r w:rsidR="008A5D23" w:rsidRPr="00A831E7">
              <w:rPr>
                <w:b/>
                <w:bCs/>
                <w:i/>
                <w:iCs/>
                <w:sz w:val="20"/>
                <w:szCs w:val="20"/>
              </w:rPr>
              <w:t xml:space="preserve"> Method &amp; Ts</w:t>
            </w:r>
          </w:p>
        </w:tc>
        <w:tc>
          <w:tcPr>
            <w:tcW w:w="685" w:type="pct"/>
            <w:tcBorders>
              <w:top w:val="single" w:sz="12" w:space="0" w:color="auto"/>
              <w:bottom w:val="single" w:sz="12" w:space="0" w:color="auto"/>
            </w:tcBorders>
            <w:shd w:val="clear" w:color="auto" w:fill="D9D9D9" w:themeFill="background1" w:themeFillShade="D9"/>
          </w:tcPr>
          <w:p w14:paraId="386DA6E3" w14:textId="77777777" w:rsidR="008A5D23" w:rsidRPr="00A831E7" w:rsidRDefault="008A5D23" w:rsidP="008A6E9D">
            <w:pPr>
              <w:jc w:val="center"/>
              <w:rPr>
                <w:b/>
                <w:bCs/>
                <w:i/>
                <w:iCs/>
                <w:sz w:val="20"/>
                <w:szCs w:val="20"/>
              </w:rPr>
            </w:pPr>
            <w:r w:rsidRPr="00A831E7">
              <w:rPr>
                <w:b/>
                <w:bCs/>
                <w:i/>
                <w:iCs/>
                <w:sz w:val="20"/>
                <w:szCs w:val="20"/>
              </w:rPr>
              <w:t>ML</w:t>
            </w:r>
          </w:p>
        </w:tc>
        <w:tc>
          <w:tcPr>
            <w:tcW w:w="514" w:type="pct"/>
            <w:tcBorders>
              <w:top w:val="single" w:sz="12" w:space="0" w:color="auto"/>
              <w:bottom w:val="single" w:sz="12" w:space="0" w:color="auto"/>
            </w:tcBorders>
            <w:shd w:val="clear" w:color="auto" w:fill="D9D9D9" w:themeFill="background1" w:themeFillShade="D9"/>
          </w:tcPr>
          <w:p w14:paraId="61A82CD4" w14:textId="3B5EE81E" w:rsidR="008A5D23" w:rsidRPr="00A831E7" w:rsidRDefault="008A5D23" w:rsidP="008A6E9D">
            <w:pPr>
              <w:jc w:val="center"/>
              <w:rPr>
                <w:b/>
                <w:bCs/>
                <w:i/>
                <w:iCs/>
                <w:sz w:val="20"/>
                <w:szCs w:val="20"/>
              </w:rPr>
            </w:pPr>
            <w:r w:rsidRPr="00A831E7">
              <w:rPr>
                <w:b/>
                <w:bCs/>
                <w:i/>
                <w:iCs/>
                <w:sz w:val="20"/>
                <w:szCs w:val="20"/>
              </w:rPr>
              <w:t>Stroke</w:t>
            </w:r>
            <w:r w:rsidRPr="00A831E7">
              <w:rPr>
                <w:b/>
                <w:bCs/>
                <w:i/>
                <w:iCs/>
                <w:sz w:val="20"/>
                <w:szCs w:val="20"/>
              </w:rPr>
              <w:br/>
              <w:t>type</w:t>
            </w:r>
          </w:p>
        </w:tc>
        <w:tc>
          <w:tcPr>
            <w:tcW w:w="427" w:type="pct"/>
            <w:tcBorders>
              <w:top w:val="single" w:sz="12" w:space="0" w:color="auto"/>
              <w:bottom w:val="single" w:sz="8" w:space="0" w:color="auto"/>
            </w:tcBorders>
            <w:shd w:val="clear" w:color="auto" w:fill="D9D9D9" w:themeFill="background1" w:themeFillShade="D9"/>
          </w:tcPr>
          <w:p w14:paraId="0BCC9D1B" w14:textId="77777777" w:rsidR="008A5D23" w:rsidRPr="00A831E7" w:rsidRDefault="008A5D23" w:rsidP="008A6E9D">
            <w:pPr>
              <w:jc w:val="center"/>
              <w:rPr>
                <w:b/>
                <w:bCs/>
                <w:i/>
                <w:iCs/>
                <w:sz w:val="20"/>
                <w:szCs w:val="20"/>
              </w:rPr>
            </w:pPr>
            <w:r w:rsidRPr="00A831E7">
              <w:rPr>
                <w:b/>
                <w:bCs/>
                <w:i/>
                <w:iCs/>
                <w:sz w:val="20"/>
                <w:szCs w:val="20"/>
              </w:rPr>
              <w:t>AUC</w:t>
            </w:r>
          </w:p>
        </w:tc>
        <w:tc>
          <w:tcPr>
            <w:tcW w:w="429" w:type="pct"/>
            <w:tcBorders>
              <w:top w:val="single" w:sz="12" w:space="0" w:color="auto"/>
              <w:bottom w:val="single" w:sz="8" w:space="0" w:color="auto"/>
            </w:tcBorders>
            <w:shd w:val="clear" w:color="auto" w:fill="D9D9D9" w:themeFill="background1" w:themeFillShade="D9"/>
          </w:tcPr>
          <w:p w14:paraId="43B3D15A" w14:textId="77777777" w:rsidR="008A5D23" w:rsidRPr="00A831E7" w:rsidRDefault="008A5D23" w:rsidP="008A6E9D">
            <w:pPr>
              <w:jc w:val="center"/>
              <w:rPr>
                <w:b/>
                <w:bCs/>
                <w:i/>
                <w:iCs/>
                <w:sz w:val="20"/>
                <w:szCs w:val="20"/>
              </w:rPr>
            </w:pPr>
            <w:r w:rsidRPr="00A831E7">
              <w:rPr>
                <w:b/>
                <w:bCs/>
                <w:i/>
                <w:iCs/>
                <w:sz w:val="20"/>
                <w:szCs w:val="20"/>
              </w:rPr>
              <w:t>Sensitivity</w:t>
            </w:r>
          </w:p>
        </w:tc>
        <w:tc>
          <w:tcPr>
            <w:tcW w:w="427" w:type="pct"/>
            <w:tcBorders>
              <w:top w:val="single" w:sz="12" w:space="0" w:color="auto"/>
              <w:bottom w:val="single" w:sz="8" w:space="0" w:color="auto"/>
            </w:tcBorders>
            <w:shd w:val="clear" w:color="auto" w:fill="D9D9D9" w:themeFill="background1" w:themeFillShade="D9"/>
          </w:tcPr>
          <w:p w14:paraId="64733A8B" w14:textId="77777777" w:rsidR="008A5D23" w:rsidRPr="00A831E7" w:rsidRDefault="008A5D23" w:rsidP="008A6E9D">
            <w:pPr>
              <w:jc w:val="center"/>
              <w:rPr>
                <w:b/>
                <w:bCs/>
                <w:i/>
                <w:iCs/>
                <w:sz w:val="20"/>
                <w:szCs w:val="20"/>
              </w:rPr>
            </w:pPr>
            <w:r w:rsidRPr="00A831E7">
              <w:rPr>
                <w:b/>
                <w:bCs/>
                <w:i/>
                <w:iCs/>
                <w:sz w:val="20"/>
                <w:szCs w:val="20"/>
              </w:rPr>
              <w:t>Specificity</w:t>
            </w:r>
          </w:p>
        </w:tc>
        <w:tc>
          <w:tcPr>
            <w:tcW w:w="388" w:type="pct"/>
            <w:tcBorders>
              <w:top w:val="single" w:sz="12" w:space="0" w:color="auto"/>
              <w:bottom w:val="single" w:sz="8" w:space="0" w:color="auto"/>
              <w:right w:val="single" w:sz="12" w:space="0" w:color="000000"/>
            </w:tcBorders>
            <w:shd w:val="clear" w:color="auto" w:fill="D9D9D9" w:themeFill="background1" w:themeFillShade="D9"/>
          </w:tcPr>
          <w:p w14:paraId="3399BFF6" w14:textId="77777777" w:rsidR="008A5D23" w:rsidRPr="00A831E7" w:rsidRDefault="008A5D23" w:rsidP="008A6E9D">
            <w:pPr>
              <w:jc w:val="center"/>
              <w:rPr>
                <w:b/>
                <w:bCs/>
                <w:i/>
                <w:iCs/>
                <w:sz w:val="20"/>
                <w:szCs w:val="20"/>
              </w:rPr>
            </w:pPr>
            <w:r w:rsidRPr="00A831E7">
              <w:rPr>
                <w:b/>
                <w:bCs/>
                <w:i/>
                <w:iCs/>
                <w:sz w:val="20"/>
                <w:szCs w:val="20"/>
              </w:rPr>
              <w:t>Ref.</w:t>
            </w:r>
          </w:p>
        </w:tc>
      </w:tr>
      <w:tr w:rsidR="008A5D23" w:rsidRPr="00A831E7" w14:paraId="7A21CE39" w14:textId="77777777" w:rsidTr="00DC2467">
        <w:trPr>
          <w:trHeight w:val="267"/>
        </w:trPr>
        <w:tc>
          <w:tcPr>
            <w:tcW w:w="677" w:type="pct"/>
            <w:vMerge w:val="restart"/>
            <w:tcBorders>
              <w:top w:val="single" w:sz="12" w:space="0" w:color="auto"/>
              <w:left w:val="single" w:sz="12" w:space="0" w:color="auto"/>
            </w:tcBorders>
            <w:shd w:val="clear" w:color="auto" w:fill="auto"/>
          </w:tcPr>
          <w:p w14:paraId="6355FCF1" w14:textId="10C34274" w:rsidR="008A5D23" w:rsidRPr="00A831E7" w:rsidRDefault="008A5D23" w:rsidP="00BF2D0F">
            <w:pPr>
              <w:jc w:val="center"/>
              <w:rPr>
                <w:sz w:val="18"/>
                <w:szCs w:val="18"/>
              </w:rPr>
            </w:pPr>
            <w:r w:rsidRPr="00A831E7">
              <w:rPr>
                <w:sz w:val="18"/>
                <w:szCs w:val="18"/>
              </w:rPr>
              <w:t>1251 miRNAs</w:t>
            </w:r>
            <w:r w:rsidR="00972CD3" w:rsidRPr="00A831E7">
              <w:rPr>
                <w:sz w:val="18"/>
                <w:szCs w:val="18"/>
              </w:rPr>
              <w:br/>
            </w:r>
            <w:r w:rsidRPr="00A831E7">
              <w:rPr>
                <w:sz w:val="18"/>
                <w:szCs w:val="18"/>
              </w:rPr>
              <w:br/>
            </w:r>
            <w:hyperlink w:anchor="_Παράρτημα_Πινάκων_και" w:history="1">
              <w:r w:rsidR="00972CD3" w:rsidRPr="00A831E7">
                <w:rPr>
                  <w:rStyle w:val="-"/>
                  <w:sz w:val="16"/>
                  <w:szCs w:val="16"/>
                </w:rPr>
                <w:t>(Παράρτημα: Πίνακας 1)</w:t>
              </w:r>
            </w:hyperlink>
          </w:p>
        </w:tc>
        <w:tc>
          <w:tcPr>
            <w:tcW w:w="855" w:type="pct"/>
            <w:vMerge w:val="restart"/>
            <w:tcBorders>
              <w:top w:val="single" w:sz="12" w:space="0" w:color="auto"/>
            </w:tcBorders>
            <w:shd w:val="clear" w:color="auto" w:fill="auto"/>
          </w:tcPr>
          <w:p w14:paraId="25EE57BE" w14:textId="77777777" w:rsidR="008A5D23" w:rsidRDefault="008A5D23" w:rsidP="00BF2D0F">
            <w:pPr>
              <w:jc w:val="center"/>
              <w:rPr>
                <w:i/>
                <w:iCs/>
                <w:sz w:val="16"/>
                <w:szCs w:val="16"/>
                <w:lang w:val="en-US"/>
              </w:rPr>
            </w:pPr>
            <w:r w:rsidRPr="00730D74">
              <w:rPr>
                <w:i/>
                <w:iCs/>
                <w:sz w:val="16"/>
                <w:szCs w:val="16"/>
                <w:lang w:val="en-US"/>
              </w:rPr>
              <w:t>EV-miRNAs from peripheral blood.</w:t>
            </w:r>
            <w:r w:rsidRPr="00730D74">
              <w:rPr>
                <w:i/>
                <w:iCs/>
                <w:sz w:val="16"/>
                <w:szCs w:val="16"/>
                <w:lang w:val="en-US"/>
              </w:rPr>
              <w:br/>
            </w:r>
            <w:r w:rsidRPr="00730D74">
              <w:rPr>
                <w:i/>
                <w:iCs/>
                <w:sz w:val="16"/>
                <w:szCs w:val="16"/>
                <w:lang w:val="en-US"/>
              </w:rPr>
              <w:br/>
            </w:r>
            <w:r w:rsidRPr="00A831E7">
              <w:rPr>
                <w:i/>
                <w:iCs/>
                <w:sz w:val="16"/>
                <w:szCs w:val="16"/>
              </w:rPr>
              <w:t>[3-fold cross-validation]</w:t>
            </w:r>
          </w:p>
          <w:p w14:paraId="74D59C43" w14:textId="22F5F82A" w:rsidR="00772FFA" w:rsidRPr="00772FFA" w:rsidRDefault="00772FFA" w:rsidP="00BF2D0F">
            <w:pPr>
              <w:jc w:val="center"/>
              <w:rPr>
                <w:i/>
                <w:iCs/>
                <w:sz w:val="16"/>
                <w:szCs w:val="16"/>
                <w:lang w:val="en-US"/>
              </w:rPr>
            </w:pPr>
            <w:r>
              <w:rPr>
                <w:i/>
                <w:iCs/>
                <w:sz w:val="16"/>
                <w:szCs w:val="16"/>
                <w:lang w:val="en-US"/>
              </w:rPr>
              <w:t>LAA=24,SAO=24,CES=22</w:t>
            </w:r>
          </w:p>
        </w:tc>
        <w:tc>
          <w:tcPr>
            <w:tcW w:w="598" w:type="pct"/>
            <w:vMerge w:val="restart"/>
            <w:tcBorders>
              <w:top w:val="single" w:sz="12" w:space="0" w:color="auto"/>
            </w:tcBorders>
            <w:shd w:val="clear" w:color="auto" w:fill="auto"/>
          </w:tcPr>
          <w:p w14:paraId="4F9DB5B6" w14:textId="21631E4A" w:rsidR="008A5D23" w:rsidRPr="00730D74" w:rsidRDefault="008A5D23" w:rsidP="00BF2D0F">
            <w:pPr>
              <w:jc w:val="center"/>
              <w:rPr>
                <w:i/>
                <w:iCs/>
                <w:sz w:val="16"/>
                <w:szCs w:val="16"/>
                <w:lang w:val="en-US"/>
              </w:rPr>
            </w:pPr>
            <w:r w:rsidRPr="00730D74">
              <w:rPr>
                <w:i/>
                <w:iCs/>
                <w:sz w:val="16"/>
                <w:szCs w:val="16"/>
                <w:lang w:val="en-US"/>
              </w:rPr>
              <w:t>&lt;7days</w:t>
            </w:r>
            <w:r w:rsidRPr="00730D74">
              <w:rPr>
                <w:i/>
                <w:iCs/>
                <w:sz w:val="16"/>
                <w:szCs w:val="16"/>
                <w:lang w:val="en-US"/>
              </w:rPr>
              <w:br/>
              <w:t>Serum</w:t>
            </w:r>
          </w:p>
          <w:p w14:paraId="1DDB9A35" w14:textId="5209D30A" w:rsidR="008A5D23" w:rsidRDefault="008A5D23" w:rsidP="00BF2D0F">
            <w:pPr>
              <w:jc w:val="center"/>
              <w:rPr>
                <w:i/>
                <w:iCs/>
                <w:sz w:val="16"/>
                <w:szCs w:val="16"/>
                <w:lang w:val="en-US"/>
              </w:rPr>
            </w:pPr>
            <w:r w:rsidRPr="00730D74">
              <w:rPr>
                <w:i/>
                <w:iCs/>
                <w:sz w:val="16"/>
                <w:szCs w:val="16"/>
                <w:lang w:val="en-US"/>
              </w:rPr>
              <w:t>&amp; plasma.</w:t>
            </w:r>
          </w:p>
          <w:p w14:paraId="07131DA7" w14:textId="77777777" w:rsidR="00115381" w:rsidRPr="00730D74" w:rsidRDefault="00115381" w:rsidP="00BF2D0F">
            <w:pPr>
              <w:jc w:val="center"/>
              <w:rPr>
                <w:i/>
                <w:iCs/>
                <w:sz w:val="16"/>
                <w:szCs w:val="16"/>
                <w:lang w:val="en-US"/>
              </w:rPr>
            </w:pPr>
          </w:p>
          <w:p w14:paraId="329C7DF0" w14:textId="14370586" w:rsidR="008A5D23" w:rsidRPr="00730D74" w:rsidRDefault="008A5D23" w:rsidP="00BF2D0F">
            <w:pPr>
              <w:jc w:val="center"/>
              <w:rPr>
                <w:i/>
                <w:iCs/>
                <w:sz w:val="16"/>
                <w:szCs w:val="16"/>
                <w:lang w:val="en-US"/>
              </w:rPr>
            </w:pPr>
            <w:r w:rsidRPr="00730D74">
              <w:rPr>
                <w:i/>
                <w:iCs/>
                <w:sz w:val="16"/>
                <w:szCs w:val="16"/>
                <w:lang w:val="en-US"/>
              </w:rPr>
              <w:t>PBS/</w:t>
            </w:r>
          </w:p>
          <w:p w14:paraId="5DAE410B" w14:textId="77777777" w:rsidR="00115381" w:rsidRDefault="008A5D23" w:rsidP="00BF2D0F">
            <w:pPr>
              <w:jc w:val="center"/>
              <w:rPr>
                <w:i/>
                <w:iCs/>
                <w:sz w:val="16"/>
                <w:szCs w:val="16"/>
                <w:lang w:val="en-US"/>
              </w:rPr>
            </w:pPr>
            <w:r w:rsidRPr="00730D74">
              <w:rPr>
                <w:i/>
                <w:iCs/>
                <w:sz w:val="16"/>
                <w:szCs w:val="16"/>
                <w:lang w:val="en-US"/>
              </w:rPr>
              <w:t>miRNeasy/ NGS/</w:t>
            </w:r>
          </w:p>
          <w:p w14:paraId="41D8BA10" w14:textId="03653BA8" w:rsidR="008A5D23" w:rsidRPr="00730D74" w:rsidRDefault="008A5D23" w:rsidP="00BF2D0F">
            <w:pPr>
              <w:jc w:val="center"/>
              <w:rPr>
                <w:i/>
                <w:iCs/>
                <w:sz w:val="16"/>
                <w:szCs w:val="16"/>
                <w:lang w:val="en-US"/>
              </w:rPr>
            </w:pPr>
            <w:r w:rsidRPr="00730D74">
              <w:rPr>
                <w:i/>
                <w:iCs/>
                <w:sz w:val="16"/>
                <w:szCs w:val="16"/>
                <w:lang w:val="en-US"/>
              </w:rPr>
              <w:t>feature selection</w:t>
            </w:r>
          </w:p>
        </w:tc>
        <w:tc>
          <w:tcPr>
            <w:tcW w:w="685" w:type="pct"/>
            <w:vMerge w:val="restart"/>
            <w:tcBorders>
              <w:top w:val="single" w:sz="12" w:space="0" w:color="auto"/>
            </w:tcBorders>
            <w:shd w:val="clear" w:color="auto" w:fill="auto"/>
          </w:tcPr>
          <w:p w14:paraId="3266DE3E" w14:textId="77777777" w:rsidR="008A5D23" w:rsidRPr="00A831E7" w:rsidRDefault="008A5D23" w:rsidP="00BF2D0F">
            <w:pPr>
              <w:jc w:val="center"/>
              <w:rPr>
                <w:i/>
                <w:iCs/>
                <w:sz w:val="16"/>
                <w:szCs w:val="16"/>
              </w:rPr>
            </w:pPr>
            <w:r w:rsidRPr="00A831E7">
              <w:rPr>
                <w:i/>
                <w:iCs/>
                <w:sz w:val="16"/>
                <w:szCs w:val="16"/>
              </w:rPr>
              <w:t>Logistic</w:t>
            </w:r>
          </w:p>
          <w:p w14:paraId="2F68AF9D" w14:textId="77777777" w:rsidR="008A5D23" w:rsidRPr="00A831E7" w:rsidRDefault="008A5D23" w:rsidP="00BF2D0F">
            <w:pPr>
              <w:jc w:val="center"/>
              <w:rPr>
                <w:i/>
                <w:iCs/>
                <w:sz w:val="16"/>
                <w:szCs w:val="16"/>
              </w:rPr>
            </w:pPr>
            <w:r w:rsidRPr="00A831E7">
              <w:rPr>
                <w:i/>
                <w:iCs/>
                <w:sz w:val="16"/>
                <w:szCs w:val="16"/>
              </w:rPr>
              <w:t>Regression ML models</w:t>
            </w:r>
          </w:p>
        </w:tc>
        <w:tc>
          <w:tcPr>
            <w:tcW w:w="514" w:type="pct"/>
            <w:tcBorders>
              <w:top w:val="single" w:sz="12" w:space="0" w:color="auto"/>
              <w:bottom w:val="single" w:sz="8" w:space="0" w:color="auto"/>
            </w:tcBorders>
            <w:shd w:val="clear" w:color="auto" w:fill="auto"/>
          </w:tcPr>
          <w:p w14:paraId="5E25F1A0" w14:textId="77777777" w:rsidR="008A5D23" w:rsidRPr="00A831E7" w:rsidRDefault="008A5D23" w:rsidP="00BF2D0F">
            <w:pPr>
              <w:jc w:val="center"/>
              <w:rPr>
                <w:sz w:val="18"/>
                <w:szCs w:val="18"/>
              </w:rPr>
            </w:pPr>
            <w:r w:rsidRPr="00A831E7">
              <w:rPr>
                <w:sz w:val="18"/>
                <w:szCs w:val="18"/>
              </w:rPr>
              <w:t>LAA</w:t>
            </w:r>
          </w:p>
        </w:tc>
        <w:tc>
          <w:tcPr>
            <w:tcW w:w="427" w:type="pct"/>
            <w:tcBorders>
              <w:top w:val="single" w:sz="12" w:space="0" w:color="auto"/>
              <w:bottom w:val="single" w:sz="8" w:space="0" w:color="auto"/>
            </w:tcBorders>
            <w:shd w:val="clear" w:color="auto" w:fill="auto"/>
          </w:tcPr>
          <w:p w14:paraId="70B36DED" w14:textId="77777777" w:rsidR="008A5D23" w:rsidRPr="00A831E7" w:rsidRDefault="008A5D23" w:rsidP="00BF2D0F">
            <w:pPr>
              <w:jc w:val="center"/>
              <w:rPr>
                <w:sz w:val="18"/>
                <w:szCs w:val="18"/>
              </w:rPr>
            </w:pPr>
            <w:r w:rsidRPr="00A831E7">
              <w:rPr>
                <w:sz w:val="18"/>
                <w:szCs w:val="18"/>
              </w:rPr>
              <w:t>0.98</w:t>
            </w:r>
          </w:p>
        </w:tc>
        <w:tc>
          <w:tcPr>
            <w:tcW w:w="429" w:type="pct"/>
            <w:tcBorders>
              <w:top w:val="single" w:sz="12" w:space="0" w:color="auto"/>
              <w:bottom w:val="single" w:sz="8" w:space="0" w:color="auto"/>
            </w:tcBorders>
            <w:shd w:val="clear" w:color="auto" w:fill="auto"/>
          </w:tcPr>
          <w:p w14:paraId="2E8CFF08" w14:textId="77777777" w:rsidR="008A5D23" w:rsidRPr="00A831E7" w:rsidRDefault="008A5D23" w:rsidP="00BF2D0F">
            <w:pPr>
              <w:jc w:val="center"/>
              <w:rPr>
                <w:sz w:val="18"/>
                <w:szCs w:val="18"/>
              </w:rPr>
            </w:pPr>
            <w:r w:rsidRPr="00A831E7">
              <w:rPr>
                <w:sz w:val="18"/>
                <w:szCs w:val="18"/>
              </w:rPr>
              <w:t>-</w:t>
            </w:r>
          </w:p>
        </w:tc>
        <w:tc>
          <w:tcPr>
            <w:tcW w:w="427" w:type="pct"/>
            <w:tcBorders>
              <w:top w:val="single" w:sz="12" w:space="0" w:color="auto"/>
              <w:bottom w:val="single" w:sz="8" w:space="0" w:color="auto"/>
            </w:tcBorders>
            <w:shd w:val="clear" w:color="auto" w:fill="auto"/>
          </w:tcPr>
          <w:p w14:paraId="722098F7" w14:textId="77777777" w:rsidR="008A5D23" w:rsidRPr="00A831E7" w:rsidRDefault="008A5D23" w:rsidP="00BF2D0F">
            <w:pPr>
              <w:jc w:val="center"/>
              <w:rPr>
                <w:sz w:val="18"/>
                <w:szCs w:val="18"/>
              </w:rPr>
            </w:pPr>
            <w:r w:rsidRPr="00A831E7">
              <w:rPr>
                <w:sz w:val="18"/>
                <w:szCs w:val="18"/>
              </w:rPr>
              <w:t>-</w:t>
            </w:r>
          </w:p>
        </w:tc>
        <w:tc>
          <w:tcPr>
            <w:tcW w:w="388" w:type="pct"/>
            <w:vMerge w:val="restart"/>
            <w:tcBorders>
              <w:top w:val="single" w:sz="12" w:space="0" w:color="auto"/>
              <w:right w:val="single" w:sz="12" w:space="0" w:color="000000"/>
            </w:tcBorders>
            <w:shd w:val="clear" w:color="auto" w:fill="auto"/>
          </w:tcPr>
          <w:p w14:paraId="3DAA3C38" w14:textId="77777777" w:rsidR="003D1E82" w:rsidRPr="00A831E7" w:rsidRDefault="003D1E82" w:rsidP="00BF2D0F">
            <w:pPr>
              <w:jc w:val="center"/>
              <w:rPr>
                <w:sz w:val="16"/>
                <w:szCs w:val="16"/>
              </w:rPr>
            </w:pPr>
            <w:r w:rsidRPr="00A831E7">
              <w:rPr>
                <w:sz w:val="16"/>
                <w:szCs w:val="16"/>
              </w:rPr>
              <w:t>Bang</w:t>
            </w:r>
          </w:p>
          <w:p w14:paraId="1D051FF6" w14:textId="413587DF" w:rsidR="003D1E82" w:rsidRPr="00A831E7" w:rsidRDefault="003D1E82" w:rsidP="00BF2D0F">
            <w:pPr>
              <w:jc w:val="center"/>
              <w:rPr>
                <w:sz w:val="16"/>
                <w:szCs w:val="16"/>
              </w:rPr>
            </w:pPr>
            <w:r w:rsidRPr="00A831E7">
              <w:rPr>
                <w:sz w:val="16"/>
                <w:szCs w:val="16"/>
              </w:rPr>
              <w:t>et al.</w:t>
            </w:r>
          </w:p>
          <w:p w14:paraId="67992B5F" w14:textId="53A7A1F0" w:rsidR="008A5D23" w:rsidRPr="00A831E7" w:rsidRDefault="003D1E82" w:rsidP="00BF2D0F">
            <w:pPr>
              <w:jc w:val="center"/>
              <w:rPr>
                <w:sz w:val="18"/>
                <w:szCs w:val="18"/>
              </w:rPr>
            </w:pPr>
            <w:r w:rsidRPr="00A831E7">
              <w:rPr>
                <w:sz w:val="18"/>
                <w:szCs w:val="18"/>
              </w:rPr>
              <w:fldChar w:fldCharType="begin"/>
            </w:r>
            <w:r w:rsidR="00B61252">
              <w:rPr>
                <w:sz w:val="18"/>
                <w:szCs w:val="18"/>
              </w:rPr>
              <w:instrText xml:space="preserve"> ADDIN ZOTERO_ITEM CSL_CITATION {"citationID":"FCqyQLLg","properties":{"formattedCitation":"[100]","plainCitation":"[100]","noteIndex":0},"citationItems":[{"id":1079,"uris":["http://zotero.org/users/local/mfHf28QG/items/RYIDQXHY"],"itemData":{"id":1079,"type":"article-journal","abstract":"Ischemic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Young"}],"issued":{"date-parts":[["2024",6,20]]}}}],"schema":"https://github.com/citation-style-language/schema/raw/master/csl-citation.json"} </w:instrText>
            </w:r>
            <w:r w:rsidRPr="00A831E7">
              <w:rPr>
                <w:sz w:val="18"/>
                <w:szCs w:val="18"/>
              </w:rPr>
              <w:fldChar w:fldCharType="separate"/>
            </w:r>
            <w:r w:rsidR="00B61252" w:rsidRPr="00B61252">
              <w:rPr>
                <w:sz w:val="18"/>
              </w:rPr>
              <w:t>[100]</w:t>
            </w:r>
            <w:r w:rsidRPr="00A831E7">
              <w:rPr>
                <w:sz w:val="18"/>
                <w:szCs w:val="18"/>
              </w:rPr>
              <w:fldChar w:fldCharType="end"/>
            </w:r>
          </w:p>
        </w:tc>
      </w:tr>
      <w:tr w:rsidR="008A5D23" w:rsidRPr="00A831E7" w14:paraId="496C0162" w14:textId="77777777" w:rsidTr="00DC2467">
        <w:trPr>
          <w:trHeight w:val="250"/>
        </w:trPr>
        <w:tc>
          <w:tcPr>
            <w:tcW w:w="677" w:type="pct"/>
            <w:vMerge/>
            <w:tcBorders>
              <w:left w:val="single" w:sz="12" w:space="0" w:color="auto"/>
            </w:tcBorders>
            <w:shd w:val="clear" w:color="auto" w:fill="auto"/>
          </w:tcPr>
          <w:p w14:paraId="7DF1646D" w14:textId="77777777" w:rsidR="008A5D23" w:rsidRPr="00A831E7" w:rsidRDefault="008A5D23" w:rsidP="00BF2D0F">
            <w:pPr>
              <w:jc w:val="center"/>
              <w:rPr>
                <w:sz w:val="18"/>
                <w:szCs w:val="18"/>
              </w:rPr>
            </w:pPr>
          </w:p>
        </w:tc>
        <w:tc>
          <w:tcPr>
            <w:tcW w:w="855" w:type="pct"/>
            <w:vMerge/>
            <w:shd w:val="clear" w:color="auto" w:fill="auto"/>
          </w:tcPr>
          <w:p w14:paraId="30A6B664" w14:textId="77777777" w:rsidR="008A5D23" w:rsidRPr="00A831E7" w:rsidRDefault="008A5D23" w:rsidP="00BF2D0F">
            <w:pPr>
              <w:jc w:val="center"/>
              <w:rPr>
                <w:i/>
                <w:iCs/>
                <w:sz w:val="16"/>
                <w:szCs w:val="16"/>
              </w:rPr>
            </w:pPr>
          </w:p>
        </w:tc>
        <w:tc>
          <w:tcPr>
            <w:tcW w:w="598" w:type="pct"/>
            <w:vMerge/>
            <w:shd w:val="clear" w:color="auto" w:fill="auto"/>
          </w:tcPr>
          <w:p w14:paraId="06AFD97F" w14:textId="77777777" w:rsidR="008A5D23" w:rsidRPr="00A831E7" w:rsidRDefault="008A5D23" w:rsidP="00BF2D0F">
            <w:pPr>
              <w:jc w:val="center"/>
              <w:rPr>
                <w:i/>
                <w:iCs/>
                <w:sz w:val="16"/>
                <w:szCs w:val="16"/>
              </w:rPr>
            </w:pPr>
          </w:p>
        </w:tc>
        <w:tc>
          <w:tcPr>
            <w:tcW w:w="685" w:type="pct"/>
            <w:vMerge/>
            <w:shd w:val="clear" w:color="auto" w:fill="auto"/>
          </w:tcPr>
          <w:p w14:paraId="23379556" w14:textId="77777777" w:rsidR="008A5D23" w:rsidRPr="00A831E7" w:rsidRDefault="008A5D23" w:rsidP="00BF2D0F">
            <w:pPr>
              <w:jc w:val="center"/>
              <w:rPr>
                <w:i/>
                <w:iCs/>
                <w:sz w:val="16"/>
                <w:szCs w:val="16"/>
              </w:rPr>
            </w:pPr>
          </w:p>
        </w:tc>
        <w:tc>
          <w:tcPr>
            <w:tcW w:w="514" w:type="pct"/>
            <w:tcBorders>
              <w:top w:val="single" w:sz="8" w:space="0" w:color="auto"/>
              <w:bottom w:val="single" w:sz="8" w:space="0" w:color="auto"/>
            </w:tcBorders>
            <w:shd w:val="clear" w:color="auto" w:fill="auto"/>
          </w:tcPr>
          <w:p w14:paraId="2668C090" w14:textId="77777777" w:rsidR="008A5D23" w:rsidRPr="00A831E7" w:rsidRDefault="008A5D23" w:rsidP="00BF2D0F">
            <w:pPr>
              <w:jc w:val="center"/>
              <w:rPr>
                <w:sz w:val="18"/>
                <w:szCs w:val="18"/>
              </w:rPr>
            </w:pPr>
            <w:r w:rsidRPr="00A831E7">
              <w:rPr>
                <w:sz w:val="18"/>
                <w:szCs w:val="18"/>
              </w:rPr>
              <w:t>SAO</w:t>
            </w:r>
          </w:p>
        </w:tc>
        <w:tc>
          <w:tcPr>
            <w:tcW w:w="427" w:type="pct"/>
            <w:tcBorders>
              <w:top w:val="single" w:sz="8" w:space="0" w:color="auto"/>
              <w:bottom w:val="single" w:sz="8" w:space="0" w:color="auto"/>
            </w:tcBorders>
            <w:shd w:val="clear" w:color="auto" w:fill="auto"/>
          </w:tcPr>
          <w:p w14:paraId="1BB01042" w14:textId="77777777" w:rsidR="008A5D23" w:rsidRPr="00A831E7" w:rsidRDefault="008A5D23" w:rsidP="00BF2D0F">
            <w:pPr>
              <w:jc w:val="center"/>
              <w:rPr>
                <w:sz w:val="18"/>
                <w:szCs w:val="18"/>
              </w:rPr>
            </w:pPr>
            <w:r w:rsidRPr="00A831E7">
              <w:rPr>
                <w:sz w:val="18"/>
                <w:szCs w:val="18"/>
              </w:rPr>
              <w:t>0.93</w:t>
            </w:r>
          </w:p>
        </w:tc>
        <w:tc>
          <w:tcPr>
            <w:tcW w:w="429" w:type="pct"/>
            <w:tcBorders>
              <w:top w:val="single" w:sz="8" w:space="0" w:color="auto"/>
              <w:bottom w:val="single" w:sz="8" w:space="0" w:color="auto"/>
            </w:tcBorders>
            <w:shd w:val="clear" w:color="auto" w:fill="auto"/>
          </w:tcPr>
          <w:p w14:paraId="4C6C7371" w14:textId="77777777" w:rsidR="008A5D23" w:rsidRPr="00A831E7" w:rsidRDefault="008A5D23" w:rsidP="00BF2D0F">
            <w:pPr>
              <w:jc w:val="center"/>
              <w:rPr>
                <w:sz w:val="18"/>
                <w:szCs w:val="18"/>
              </w:rPr>
            </w:pPr>
            <w:r w:rsidRPr="00A831E7">
              <w:rPr>
                <w:sz w:val="18"/>
                <w:szCs w:val="18"/>
              </w:rPr>
              <w:t>-</w:t>
            </w:r>
          </w:p>
        </w:tc>
        <w:tc>
          <w:tcPr>
            <w:tcW w:w="427" w:type="pct"/>
            <w:tcBorders>
              <w:top w:val="single" w:sz="8" w:space="0" w:color="auto"/>
              <w:bottom w:val="single" w:sz="8" w:space="0" w:color="auto"/>
            </w:tcBorders>
            <w:shd w:val="clear" w:color="auto" w:fill="auto"/>
          </w:tcPr>
          <w:p w14:paraId="77958A1E" w14:textId="77777777" w:rsidR="008A5D23" w:rsidRPr="00A831E7" w:rsidRDefault="008A5D23" w:rsidP="00BF2D0F">
            <w:pPr>
              <w:jc w:val="center"/>
              <w:rPr>
                <w:sz w:val="18"/>
                <w:szCs w:val="18"/>
              </w:rPr>
            </w:pPr>
            <w:r w:rsidRPr="00A831E7">
              <w:rPr>
                <w:sz w:val="18"/>
                <w:szCs w:val="18"/>
              </w:rPr>
              <w:t>-</w:t>
            </w:r>
          </w:p>
        </w:tc>
        <w:tc>
          <w:tcPr>
            <w:tcW w:w="388" w:type="pct"/>
            <w:vMerge/>
            <w:tcBorders>
              <w:right w:val="single" w:sz="12" w:space="0" w:color="000000"/>
            </w:tcBorders>
            <w:shd w:val="clear" w:color="auto" w:fill="auto"/>
          </w:tcPr>
          <w:p w14:paraId="3EE09975" w14:textId="77777777" w:rsidR="008A5D23" w:rsidRPr="00A831E7" w:rsidRDefault="008A5D23" w:rsidP="00BF2D0F">
            <w:pPr>
              <w:jc w:val="center"/>
              <w:rPr>
                <w:sz w:val="18"/>
                <w:szCs w:val="18"/>
              </w:rPr>
            </w:pPr>
          </w:p>
        </w:tc>
      </w:tr>
      <w:tr w:rsidR="008A5D23" w:rsidRPr="00A831E7" w14:paraId="42212CF5" w14:textId="77777777" w:rsidTr="00DC2467">
        <w:trPr>
          <w:trHeight w:val="331"/>
        </w:trPr>
        <w:tc>
          <w:tcPr>
            <w:tcW w:w="677" w:type="pct"/>
            <w:vMerge/>
            <w:tcBorders>
              <w:left w:val="single" w:sz="12" w:space="0" w:color="auto"/>
              <w:bottom w:val="single" w:sz="12" w:space="0" w:color="000000"/>
            </w:tcBorders>
            <w:shd w:val="clear" w:color="auto" w:fill="auto"/>
          </w:tcPr>
          <w:p w14:paraId="4F7DEB4F" w14:textId="77777777" w:rsidR="008A5D23" w:rsidRPr="00A831E7" w:rsidRDefault="008A5D23" w:rsidP="00BF2D0F">
            <w:pPr>
              <w:jc w:val="center"/>
              <w:rPr>
                <w:sz w:val="18"/>
                <w:szCs w:val="18"/>
              </w:rPr>
            </w:pPr>
          </w:p>
        </w:tc>
        <w:tc>
          <w:tcPr>
            <w:tcW w:w="855" w:type="pct"/>
            <w:vMerge/>
            <w:tcBorders>
              <w:bottom w:val="single" w:sz="12" w:space="0" w:color="000000"/>
            </w:tcBorders>
            <w:shd w:val="clear" w:color="auto" w:fill="auto"/>
          </w:tcPr>
          <w:p w14:paraId="2CB92651" w14:textId="77777777" w:rsidR="008A5D23" w:rsidRPr="00A831E7" w:rsidRDefault="008A5D23" w:rsidP="00BF2D0F">
            <w:pPr>
              <w:jc w:val="center"/>
              <w:rPr>
                <w:i/>
                <w:iCs/>
                <w:sz w:val="16"/>
                <w:szCs w:val="16"/>
              </w:rPr>
            </w:pPr>
          </w:p>
        </w:tc>
        <w:tc>
          <w:tcPr>
            <w:tcW w:w="598" w:type="pct"/>
            <w:vMerge/>
            <w:tcBorders>
              <w:bottom w:val="single" w:sz="12" w:space="0" w:color="000000"/>
            </w:tcBorders>
            <w:shd w:val="clear" w:color="auto" w:fill="auto"/>
          </w:tcPr>
          <w:p w14:paraId="55FFCB7D" w14:textId="77777777" w:rsidR="008A5D23" w:rsidRPr="00A831E7" w:rsidRDefault="008A5D23" w:rsidP="00BF2D0F">
            <w:pPr>
              <w:jc w:val="center"/>
              <w:rPr>
                <w:i/>
                <w:iCs/>
                <w:sz w:val="16"/>
                <w:szCs w:val="16"/>
              </w:rPr>
            </w:pPr>
          </w:p>
        </w:tc>
        <w:tc>
          <w:tcPr>
            <w:tcW w:w="685" w:type="pct"/>
            <w:vMerge/>
            <w:tcBorders>
              <w:bottom w:val="single" w:sz="12" w:space="0" w:color="000000"/>
            </w:tcBorders>
            <w:shd w:val="clear" w:color="auto" w:fill="auto"/>
          </w:tcPr>
          <w:p w14:paraId="512E60FC" w14:textId="77777777" w:rsidR="008A5D23" w:rsidRPr="00A831E7" w:rsidRDefault="008A5D23" w:rsidP="00BF2D0F">
            <w:pPr>
              <w:jc w:val="center"/>
              <w:rPr>
                <w:i/>
                <w:iCs/>
                <w:sz w:val="16"/>
                <w:szCs w:val="16"/>
              </w:rPr>
            </w:pPr>
          </w:p>
        </w:tc>
        <w:tc>
          <w:tcPr>
            <w:tcW w:w="514" w:type="pct"/>
            <w:tcBorders>
              <w:top w:val="single" w:sz="8" w:space="0" w:color="auto"/>
              <w:bottom w:val="single" w:sz="12" w:space="0" w:color="000000"/>
            </w:tcBorders>
            <w:shd w:val="clear" w:color="auto" w:fill="auto"/>
          </w:tcPr>
          <w:p w14:paraId="7B4B96EF" w14:textId="77777777" w:rsidR="008A5D23" w:rsidRPr="00A831E7" w:rsidRDefault="008A5D23" w:rsidP="00BF2D0F">
            <w:pPr>
              <w:jc w:val="center"/>
              <w:rPr>
                <w:sz w:val="18"/>
                <w:szCs w:val="18"/>
              </w:rPr>
            </w:pPr>
            <w:r w:rsidRPr="00A831E7">
              <w:rPr>
                <w:sz w:val="18"/>
                <w:szCs w:val="18"/>
              </w:rPr>
              <w:t>CES</w:t>
            </w:r>
          </w:p>
        </w:tc>
        <w:tc>
          <w:tcPr>
            <w:tcW w:w="427" w:type="pct"/>
            <w:tcBorders>
              <w:top w:val="single" w:sz="8" w:space="0" w:color="auto"/>
              <w:bottom w:val="single" w:sz="12" w:space="0" w:color="000000"/>
            </w:tcBorders>
            <w:shd w:val="clear" w:color="auto" w:fill="auto"/>
          </w:tcPr>
          <w:p w14:paraId="1DEA448A" w14:textId="77777777" w:rsidR="008A5D23" w:rsidRPr="00A831E7" w:rsidRDefault="008A5D23" w:rsidP="00BF2D0F">
            <w:pPr>
              <w:jc w:val="center"/>
              <w:rPr>
                <w:sz w:val="18"/>
                <w:szCs w:val="18"/>
              </w:rPr>
            </w:pPr>
            <w:r w:rsidRPr="00A831E7">
              <w:rPr>
                <w:sz w:val="18"/>
                <w:szCs w:val="18"/>
              </w:rPr>
              <w:t>0.93</w:t>
            </w:r>
          </w:p>
        </w:tc>
        <w:tc>
          <w:tcPr>
            <w:tcW w:w="429" w:type="pct"/>
            <w:tcBorders>
              <w:top w:val="single" w:sz="8" w:space="0" w:color="auto"/>
              <w:bottom w:val="single" w:sz="8" w:space="0" w:color="auto"/>
            </w:tcBorders>
            <w:shd w:val="clear" w:color="auto" w:fill="auto"/>
          </w:tcPr>
          <w:p w14:paraId="3F542365" w14:textId="77777777" w:rsidR="008A5D23" w:rsidRPr="00A831E7" w:rsidRDefault="008A5D23" w:rsidP="00BF2D0F">
            <w:pPr>
              <w:jc w:val="center"/>
              <w:rPr>
                <w:sz w:val="18"/>
                <w:szCs w:val="18"/>
              </w:rPr>
            </w:pPr>
            <w:r w:rsidRPr="00A831E7">
              <w:rPr>
                <w:sz w:val="18"/>
                <w:szCs w:val="18"/>
              </w:rPr>
              <w:t>-</w:t>
            </w:r>
          </w:p>
        </w:tc>
        <w:tc>
          <w:tcPr>
            <w:tcW w:w="427" w:type="pct"/>
            <w:tcBorders>
              <w:top w:val="single" w:sz="8" w:space="0" w:color="auto"/>
              <w:bottom w:val="single" w:sz="8" w:space="0" w:color="auto"/>
            </w:tcBorders>
            <w:shd w:val="clear" w:color="auto" w:fill="auto"/>
          </w:tcPr>
          <w:p w14:paraId="19DEBB8D" w14:textId="77777777" w:rsidR="008A5D23" w:rsidRPr="00A831E7" w:rsidRDefault="008A5D23" w:rsidP="00BF2D0F">
            <w:pPr>
              <w:jc w:val="center"/>
              <w:rPr>
                <w:sz w:val="18"/>
                <w:szCs w:val="18"/>
              </w:rPr>
            </w:pPr>
            <w:r w:rsidRPr="00A831E7">
              <w:rPr>
                <w:sz w:val="18"/>
                <w:szCs w:val="18"/>
              </w:rPr>
              <w:t>-</w:t>
            </w:r>
          </w:p>
        </w:tc>
        <w:tc>
          <w:tcPr>
            <w:tcW w:w="388" w:type="pct"/>
            <w:vMerge/>
            <w:tcBorders>
              <w:bottom w:val="single" w:sz="8" w:space="0" w:color="auto"/>
              <w:right w:val="single" w:sz="12" w:space="0" w:color="000000"/>
            </w:tcBorders>
            <w:shd w:val="clear" w:color="auto" w:fill="auto"/>
          </w:tcPr>
          <w:p w14:paraId="10CDCC3E" w14:textId="77777777" w:rsidR="008A5D23" w:rsidRPr="00A831E7" w:rsidRDefault="008A5D23" w:rsidP="00BF2D0F">
            <w:pPr>
              <w:jc w:val="center"/>
              <w:rPr>
                <w:sz w:val="18"/>
                <w:szCs w:val="18"/>
              </w:rPr>
            </w:pPr>
          </w:p>
        </w:tc>
      </w:tr>
      <w:tr w:rsidR="008F5904" w:rsidRPr="00A831E7" w14:paraId="5453FA5A" w14:textId="77777777" w:rsidTr="003D15D4">
        <w:trPr>
          <w:trHeight w:val="612"/>
        </w:trPr>
        <w:tc>
          <w:tcPr>
            <w:tcW w:w="677" w:type="pct"/>
            <w:vMerge w:val="restart"/>
            <w:tcBorders>
              <w:top w:val="single" w:sz="12" w:space="0" w:color="auto"/>
              <w:left w:val="single" w:sz="12" w:space="0" w:color="auto"/>
            </w:tcBorders>
            <w:shd w:val="clear" w:color="auto" w:fill="auto"/>
          </w:tcPr>
          <w:p w14:paraId="0DC682F5" w14:textId="680D64BA" w:rsidR="003D15D4" w:rsidRPr="00A831E7" w:rsidRDefault="003D15D4" w:rsidP="00BF2D0F">
            <w:pPr>
              <w:jc w:val="center"/>
              <w:rPr>
                <w:sz w:val="18"/>
                <w:szCs w:val="18"/>
              </w:rPr>
            </w:pPr>
            <w:bookmarkStart w:id="152" w:name="_Hlk199087170"/>
            <w:r w:rsidRPr="00A831E7">
              <w:rPr>
                <w:sz w:val="18"/>
                <w:szCs w:val="18"/>
              </w:rPr>
              <w:t>Ex-miRNAs</w:t>
            </w:r>
            <w:r w:rsidRPr="00A831E7">
              <w:rPr>
                <w:sz w:val="18"/>
                <w:szCs w:val="18"/>
              </w:rPr>
              <w:br/>
            </w:r>
          </w:p>
          <w:p w14:paraId="139A9D37" w14:textId="1EBEA7CA" w:rsidR="003D15D4" w:rsidRPr="00A831E7" w:rsidRDefault="003D15D4" w:rsidP="00BF2D0F">
            <w:pPr>
              <w:jc w:val="center"/>
              <w:rPr>
                <w:sz w:val="18"/>
                <w:szCs w:val="18"/>
              </w:rPr>
            </w:pPr>
            <w:hyperlink w:anchor="_Παράρτημα" w:history="1">
              <w:r w:rsidRPr="00A831E7">
                <w:rPr>
                  <w:rStyle w:val="-"/>
                  <w:sz w:val="16"/>
                  <w:szCs w:val="16"/>
                </w:rPr>
                <w:t>(Παράρτημα: Πίνακας 2)</w:t>
              </w:r>
            </w:hyperlink>
          </w:p>
        </w:tc>
        <w:tc>
          <w:tcPr>
            <w:tcW w:w="855" w:type="pct"/>
            <w:vMerge w:val="restart"/>
            <w:tcBorders>
              <w:top w:val="single" w:sz="12" w:space="0" w:color="auto"/>
              <w:bottom w:val="single" w:sz="8" w:space="0" w:color="auto"/>
            </w:tcBorders>
            <w:shd w:val="clear" w:color="auto" w:fill="auto"/>
          </w:tcPr>
          <w:p w14:paraId="74576D45" w14:textId="77777777" w:rsidR="003D15D4" w:rsidRDefault="003D15D4" w:rsidP="00BF2D0F">
            <w:pPr>
              <w:jc w:val="center"/>
              <w:rPr>
                <w:i/>
                <w:iCs/>
                <w:sz w:val="16"/>
                <w:szCs w:val="16"/>
                <w:lang w:val="en-US"/>
              </w:rPr>
            </w:pPr>
            <w:r w:rsidRPr="00730D74">
              <w:rPr>
                <w:i/>
                <w:iCs/>
                <w:sz w:val="16"/>
                <w:szCs w:val="16"/>
                <w:lang w:val="en-US"/>
              </w:rPr>
              <w:t>ex-miRNAs: derived from extracellular vesicles associated with major stroke subtypes.</w:t>
            </w:r>
            <w:r w:rsidRPr="00730D74">
              <w:rPr>
                <w:i/>
                <w:iCs/>
                <w:sz w:val="16"/>
                <w:szCs w:val="16"/>
                <w:lang w:val="en-US"/>
              </w:rPr>
              <w:br/>
            </w:r>
            <w:r w:rsidRPr="00730D74">
              <w:rPr>
                <w:i/>
                <w:iCs/>
                <w:sz w:val="16"/>
                <w:szCs w:val="16"/>
                <w:lang w:val="en-US"/>
              </w:rPr>
              <w:br/>
            </w:r>
            <w:r w:rsidRPr="00A831E7">
              <w:rPr>
                <w:i/>
                <w:iCs/>
                <w:sz w:val="16"/>
                <w:szCs w:val="16"/>
              </w:rPr>
              <w:t xml:space="preserve">[Same data-set/ </w:t>
            </w:r>
            <w:r w:rsidRPr="00A831E7">
              <w:rPr>
                <w:i/>
                <w:iCs/>
                <w:sz w:val="16"/>
                <w:szCs w:val="16"/>
              </w:rPr>
              <w:br/>
              <w:t>no validation]</w:t>
            </w:r>
          </w:p>
          <w:p w14:paraId="2D8E00E7" w14:textId="11608C69" w:rsidR="003D15D4" w:rsidRPr="00772FFA" w:rsidRDefault="003D15D4" w:rsidP="00BF2D0F">
            <w:pPr>
              <w:jc w:val="center"/>
              <w:rPr>
                <w:i/>
                <w:iCs/>
                <w:sz w:val="16"/>
                <w:szCs w:val="16"/>
                <w:lang w:val="en-US"/>
              </w:rPr>
            </w:pPr>
            <w:r w:rsidRPr="00A831E7">
              <w:rPr>
                <w:i/>
                <w:iCs/>
                <w:sz w:val="16"/>
                <w:szCs w:val="16"/>
              </w:rPr>
              <w:br/>
            </w:r>
            <w:r>
              <w:rPr>
                <w:i/>
                <w:iCs/>
                <w:sz w:val="16"/>
                <w:szCs w:val="16"/>
                <w:lang w:val="en-US"/>
              </w:rPr>
              <w:t>IPH=19, SAH=17, IS=21</w:t>
            </w:r>
          </w:p>
        </w:tc>
        <w:tc>
          <w:tcPr>
            <w:tcW w:w="598" w:type="pct"/>
            <w:vMerge w:val="restart"/>
            <w:tcBorders>
              <w:top w:val="single" w:sz="12" w:space="0" w:color="auto"/>
              <w:bottom w:val="single" w:sz="8" w:space="0" w:color="auto"/>
            </w:tcBorders>
            <w:shd w:val="clear" w:color="auto" w:fill="auto"/>
          </w:tcPr>
          <w:p w14:paraId="3BC5610E" w14:textId="77777777" w:rsidR="003D15D4" w:rsidRPr="00730D74" w:rsidRDefault="003D15D4" w:rsidP="00BF2D0F">
            <w:pPr>
              <w:jc w:val="center"/>
              <w:rPr>
                <w:i/>
                <w:iCs/>
                <w:sz w:val="16"/>
                <w:szCs w:val="16"/>
                <w:lang w:val="en-US"/>
              </w:rPr>
            </w:pPr>
            <w:r w:rsidRPr="00730D74">
              <w:rPr>
                <w:i/>
                <w:iCs/>
                <w:sz w:val="16"/>
                <w:szCs w:val="16"/>
                <w:lang w:val="en-US"/>
              </w:rPr>
              <w:t>&lt;24h</w:t>
            </w:r>
          </w:p>
          <w:p w14:paraId="7FBE06B6" w14:textId="42B33413" w:rsidR="003D15D4" w:rsidRPr="00730D74" w:rsidRDefault="003D15D4" w:rsidP="008A5D23">
            <w:pPr>
              <w:jc w:val="center"/>
              <w:rPr>
                <w:i/>
                <w:iCs/>
                <w:sz w:val="16"/>
                <w:szCs w:val="16"/>
                <w:lang w:val="en-US"/>
              </w:rPr>
            </w:pPr>
            <w:r w:rsidRPr="00730D74">
              <w:rPr>
                <w:i/>
                <w:iCs/>
                <w:sz w:val="16"/>
                <w:szCs w:val="16"/>
                <w:lang w:val="en-US"/>
              </w:rPr>
              <w:t>Serum</w:t>
            </w:r>
          </w:p>
          <w:p w14:paraId="4D4C1F0C" w14:textId="77777777" w:rsidR="00115381" w:rsidRDefault="003D15D4" w:rsidP="008A5D23">
            <w:pPr>
              <w:jc w:val="center"/>
              <w:rPr>
                <w:i/>
                <w:iCs/>
                <w:sz w:val="16"/>
                <w:szCs w:val="16"/>
                <w:lang w:val="en-US"/>
              </w:rPr>
            </w:pPr>
            <w:r w:rsidRPr="00730D74">
              <w:rPr>
                <w:i/>
                <w:iCs/>
                <w:sz w:val="16"/>
                <w:szCs w:val="16"/>
                <w:lang w:val="en-US"/>
              </w:rPr>
              <w:t>&amp; plasma</w:t>
            </w:r>
          </w:p>
          <w:p w14:paraId="06B242EC" w14:textId="010238DD" w:rsidR="003D15D4" w:rsidRPr="00730D74" w:rsidRDefault="003D15D4" w:rsidP="008A5D23">
            <w:pPr>
              <w:jc w:val="center"/>
              <w:rPr>
                <w:i/>
                <w:iCs/>
                <w:sz w:val="16"/>
                <w:szCs w:val="16"/>
                <w:lang w:val="en-US"/>
              </w:rPr>
            </w:pPr>
            <w:r w:rsidRPr="00730D74">
              <w:rPr>
                <w:i/>
                <w:iCs/>
                <w:sz w:val="16"/>
                <w:szCs w:val="16"/>
                <w:lang w:val="en-US"/>
              </w:rPr>
              <w:t>.</w:t>
            </w:r>
          </w:p>
          <w:p w14:paraId="1E292656" w14:textId="1025C659" w:rsidR="003D15D4" w:rsidRPr="00730D74" w:rsidRDefault="003D15D4" w:rsidP="00BF2D0F">
            <w:pPr>
              <w:jc w:val="center"/>
              <w:rPr>
                <w:i/>
                <w:iCs/>
                <w:sz w:val="16"/>
                <w:szCs w:val="16"/>
                <w:lang w:val="en-US"/>
              </w:rPr>
            </w:pPr>
            <w:r w:rsidRPr="00730D74">
              <w:rPr>
                <w:i/>
                <w:iCs/>
                <w:sz w:val="16"/>
                <w:szCs w:val="16"/>
                <w:lang w:val="en-US"/>
              </w:rPr>
              <w:t>exoRNeasy/ TruSeq kit/ R11490;</w:t>
            </w:r>
          </w:p>
          <w:p w14:paraId="1F9E3315" w14:textId="77777777" w:rsidR="00115381" w:rsidRDefault="003D15D4" w:rsidP="00BF2D0F">
            <w:pPr>
              <w:jc w:val="center"/>
              <w:rPr>
                <w:i/>
                <w:iCs/>
                <w:sz w:val="16"/>
                <w:szCs w:val="16"/>
                <w:lang w:val="en-US"/>
              </w:rPr>
            </w:pPr>
            <w:r w:rsidRPr="00ED7551">
              <w:rPr>
                <w:i/>
                <w:iCs/>
                <w:sz w:val="16"/>
                <w:szCs w:val="16"/>
                <w:lang w:val="en-US"/>
              </w:rPr>
              <w:t>ThermoFisher/</w:t>
            </w:r>
          </w:p>
          <w:p w14:paraId="2BB07953" w14:textId="7C4FE201" w:rsidR="003D15D4" w:rsidRPr="00ED7551" w:rsidRDefault="003D15D4" w:rsidP="00BF2D0F">
            <w:pPr>
              <w:jc w:val="center"/>
              <w:rPr>
                <w:i/>
                <w:iCs/>
                <w:sz w:val="16"/>
                <w:szCs w:val="16"/>
                <w:lang w:val="en-US"/>
              </w:rPr>
            </w:pPr>
            <w:r w:rsidRPr="00ED7551">
              <w:rPr>
                <w:i/>
                <w:iCs/>
                <w:sz w:val="16"/>
                <w:szCs w:val="16"/>
                <w:lang w:val="en-US"/>
              </w:rPr>
              <w:t>DeSeq2-R</w:t>
            </w:r>
          </w:p>
        </w:tc>
        <w:tc>
          <w:tcPr>
            <w:tcW w:w="685" w:type="pct"/>
            <w:vMerge w:val="restart"/>
            <w:tcBorders>
              <w:top w:val="single" w:sz="12" w:space="0" w:color="auto"/>
              <w:bottom w:val="single" w:sz="8" w:space="0" w:color="auto"/>
            </w:tcBorders>
            <w:shd w:val="clear" w:color="auto" w:fill="auto"/>
          </w:tcPr>
          <w:p w14:paraId="2C2B34F4" w14:textId="77777777" w:rsidR="003D15D4" w:rsidRPr="00A831E7" w:rsidRDefault="003D15D4" w:rsidP="00BF2D0F">
            <w:pPr>
              <w:jc w:val="center"/>
              <w:rPr>
                <w:i/>
                <w:iCs/>
                <w:sz w:val="16"/>
                <w:szCs w:val="16"/>
              </w:rPr>
            </w:pPr>
            <w:r w:rsidRPr="00A831E7">
              <w:rPr>
                <w:i/>
                <w:iCs/>
                <w:sz w:val="16"/>
                <w:szCs w:val="16"/>
              </w:rPr>
              <w:t>LASSO</w:t>
            </w:r>
          </w:p>
        </w:tc>
        <w:tc>
          <w:tcPr>
            <w:tcW w:w="514" w:type="pct"/>
            <w:tcBorders>
              <w:top w:val="single" w:sz="12" w:space="0" w:color="auto"/>
            </w:tcBorders>
            <w:shd w:val="clear" w:color="auto" w:fill="auto"/>
          </w:tcPr>
          <w:p w14:paraId="109B3947" w14:textId="58EADFA1" w:rsidR="003D15D4" w:rsidRPr="008F5904" w:rsidRDefault="00717049" w:rsidP="00BF2D0F">
            <w:pPr>
              <w:jc w:val="center"/>
              <w:rPr>
                <w:sz w:val="18"/>
                <w:lang w:val="en-US"/>
              </w:rPr>
            </w:pPr>
            <w:r w:rsidRPr="008F5904">
              <w:rPr>
                <w:sz w:val="18"/>
                <w:lang w:val="en-US"/>
              </w:rPr>
              <w:t>IPH-</w:t>
            </w:r>
            <w:r>
              <w:rPr>
                <w:sz w:val="18"/>
                <w:szCs w:val="18"/>
                <w:lang w:val="en-US"/>
              </w:rPr>
              <w:t>IS</w:t>
            </w:r>
          </w:p>
        </w:tc>
        <w:tc>
          <w:tcPr>
            <w:tcW w:w="427" w:type="pct"/>
            <w:tcBorders>
              <w:top w:val="single" w:sz="12" w:space="0" w:color="auto"/>
            </w:tcBorders>
            <w:shd w:val="clear" w:color="auto" w:fill="auto"/>
          </w:tcPr>
          <w:p w14:paraId="2DF11AF5" w14:textId="459215C1" w:rsidR="003D15D4" w:rsidRPr="00A831E7" w:rsidRDefault="003D15D4" w:rsidP="00BF2D0F">
            <w:pPr>
              <w:jc w:val="center"/>
              <w:rPr>
                <w:sz w:val="18"/>
                <w:szCs w:val="18"/>
              </w:rPr>
            </w:pPr>
            <w:r w:rsidRPr="00A831E7">
              <w:rPr>
                <w:sz w:val="18"/>
                <w:szCs w:val="18"/>
              </w:rPr>
              <w:t>0.82</w:t>
            </w:r>
          </w:p>
        </w:tc>
        <w:tc>
          <w:tcPr>
            <w:tcW w:w="429" w:type="pct"/>
            <w:tcBorders>
              <w:top w:val="single" w:sz="12" w:space="0" w:color="auto"/>
            </w:tcBorders>
            <w:shd w:val="clear" w:color="auto" w:fill="auto"/>
          </w:tcPr>
          <w:p w14:paraId="15A3EB65" w14:textId="37DF71A9" w:rsidR="003D15D4" w:rsidRPr="00A831E7" w:rsidRDefault="003D15D4" w:rsidP="00BF2D0F">
            <w:pPr>
              <w:jc w:val="center"/>
              <w:rPr>
                <w:sz w:val="18"/>
                <w:szCs w:val="18"/>
              </w:rPr>
            </w:pPr>
            <w:r w:rsidRPr="00A831E7">
              <w:rPr>
                <w:sz w:val="18"/>
                <w:szCs w:val="18"/>
              </w:rPr>
              <w:t>-</w:t>
            </w:r>
          </w:p>
        </w:tc>
        <w:tc>
          <w:tcPr>
            <w:tcW w:w="427" w:type="pct"/>
            <w:tcBorders>
              <w:top w:val="single" w:sz="12" w:space="0" w:color="auto"/>
            </w:tcBorders>
            <w:shd w:val="clear" w:color="auto" w:fill="auto"/>
          </w:tcPr>
          <w:p w14:paraId="4C8A329F" w14:textId="66B0FC69" w:rsidR="003D15D4" w:rsidRPr="00A831E7" w:rsidRDefault="003D15D4" w:rsidP="00BF2D0F">
            <w:pPr>
              <w:jc w:val="center"/>
              <w:rPr>
                <w:sz w:val="18"/>
                <w:szCs w:val="18"/>
              </w:rPr>
            </w:pPr>
            <w:r w:rsidRPr="00A831E7">
              <w:rPr>
                <w:sz w:val="18"/>
                <w:szCs w:val="18"/>
              </w:rPr>
              <w:t>-</w:t>
            </w:r>
          </w:p>
        </w:tc>
        <w:tc>
          <w:tcPr>
            <w:tcW w:w="388" w:type="pct"/>
            <w:vMerge w:val="restart"/>
            <w:tcBorders>
              <w:top w:val="single" w:sz="12" w:space="0" w:color="auto"/>
              <w:right w:val="single" w:sz="12" w:space="0" w:color="000000"/>
            </w:tcBorders>
            <w:shd w:val="clear" w:color="auto" w:fill="auto"/>
          </w:tcPr>
          <w:p w14:paraId="6D3D7357" w14:textId="0D1ED256" w:rsidR="003D15D4" w:rsidRPr="00A831E7" w:rsidRDefault="003D15D4" w:rsidP="00BF2D0F">
            <w:pPr>
              <w:jc w:val="center"/>
              <w:rPr>
                <w:sz w:val="16"/>
                <w:szCs w:val="16"/>
              </w:rPr>
            </w:pPr>
            <w:r w:rsidRPr="00A831E7">
              <w:rPr>
                <w:sz w:val="16"/>
                <w:szCs w:val="16"/>
              </w:rPr>
              <w:t>Kalani et al.</w:t>
            </w:r>
          </w:p>
          <w:p w14:paraId="6CC4C8B0" w14:textId="69F4BE82" w:rsidR="003D15D4" w:rsidRPr="00A831E7" w:rsidRDefault="003D15D4" w:rsidP="00BF2D0F">
            <w:pPr>
              <w:jc w:val="center"/>
              <w:rPr>
                <w:sz w:val="18"/>
                <w:szCs w:val="18"/>
              </w:rPr>
            </w:pPr>
            <w:r w:rsidRPr="00A831E7">
              <w:rPr>
                <w:sz w:val="18"/>
                <w:szCs w:val="18"/>
              </w:rPr>
              <w:fldChar w:fldCharType="begin"/>
            </w:r>
            <w:r w:rsidRPr="00A831E7">
              <w:rPr>
                <w:sz w:val="18"/>
                <w:szCs w:val="18"/>
              </w:rPr>
              <w:instrText xml:space="preserve"> ADDIN ZOTERO_ITEM CSL_CITATION {"citationID":"A8h2XSl1","properties":{"formattedCitation":"[10]","plainCitation":"[10]","noteIndex":0},"citationItems":[{"id":1084,"uris":["http://zotero.org/users/local/mfHf28QG/items/UDN8SAAT"],"itemData":{"id":1084,"type":"article-journal","abstract":"Rapid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Van"}],"issued":{"date-parts":[["2020",1,24]]}}}],"schema":"https://github.com/citation-style-language/schema/raw/master/csl-citation.json"} </w:instrText>
            </w:r>
            <w:r w:rsidRPr="00A831E7">
              <w:rPr>
                <w:sz w:val="18"/>
                <w:szCs w:val="18"/>
              </w:rPr>
              <w:fldChar w:fldCharType="separate"/>
            </w:r>
            <w:r w:rsidRPr="00A831E7">
              <w:rPr>
                <w:sz w:val="18"/>
              </w:rPr>
              <w:t>[10]</w:t>
            </w:r>
            <w:r w:rsidRPr="00A831E7">
              <w:rPr>
                <w:sz w:val="18"/>
                <w:szCs w:val="18"/>
              </w:rPr>
              <w:fldChar w:fldCharType="end"/>
            </w:r>
          </w:p>
        </w:tc>
      </w:tr>
      <w:bookmarkEnd w:id="152"/>
      <w:tr w:rsidR="008F5904" w:rsidRPr="00A831E7" w14:paraId="6FC3E95C" w14:textId="77777777" w:rsidTr="003D15D4">
        <w:trPr>
          <w:trHeight w:val="830"/>
        </w:trPr>
        <w:tc>
          <w:tcPr>
            <w:tcW w:w="677" w:type="pct"/>
            <w:vMerge/>
            <w:tcBorders>
              <w:left w:val="single" w:sz="12" w:space="0" w:color="auto"/>
            </w:tcBorders>
            <w:shd w:val="clear" w:color="auto" w:fill="auto"/>
          </w:tcPr>
          <w:p w14:paraId="46F10801" w14:textId="77777777" w:rsidR="008A5D23" w:rsidRPr="00A831E7" w:rsidRDefault="008A5D23" w:rsidP="00BF2D0F">
            <w:pPr>
              <w:jc w:val="center"/>
              <w:rPr>
                <w:sz w:val="18"/>
                <w:szCs w:val="18"/>
              </w:rPr>
            </w:pPr>
          </w:p>
        </w:tc>
        <w:tc>
          <w:tcPr>
            <w:tcW w:w="855" w:type="pct"/>
            <w:vMerge/>
            <w:tcBorders>
              <w:top w:val="single" w:sz="8" w:space="0" w:color="auto"/>
              <w:bottom w:val="single" w:sz="8" w:space="0" w:color="auto"/>
            </w:tcBorders>
            <w:shd w:val="clear" w:color="auto" w:fill="auto"/>
          </w:tcPr>
          <w:p w14:paraId="27CCD5EC" w14:textId="77777777" w:rsidR="008A5D23" w:rsidRPr="00A831E7" w:rsidRDefault="008A5D23" w:rsidP="00BF2D0F">
            <w:pPr>
              <w:jc w:val="center"/>
              <w:rPr>
                <w:i/>
                <w:iCs/>
                <w:sz w:val="16"/>
                <w:szCs w:val="16"/>
              </w:rPr>
            </w:pPr>
          </w:p>
        </w:tc>
        <w:tc>
          <w:tcPr>
            <w:tcW w:w="598" w:type="pct"/>
            <w:vMerge/>
            <w:tcBorders>
              <w:top w:val="single" w:sz="8" w:space="0" w:color="auto"/>
              <w:bottom w:val="single" w:sz="8" w:space="0" w:color="auto"/>
            </w:tcBorders>
            <w:shd w:val="clear" w:color="auto" w:fill="auto"/>
          </w:tcPr>
          <w:p w14:paraId="7837841D" w14:textId="77777777" w:rsidR="008A5D23" w:rsidRPr="00A831E7" w:rsidRDefault="008A5D23" w:rsidP="00BF2D0F">
            <w:pPr>
              <w:jc w:val="center"/>
              <w:rPr>
                <w:i/>
                <w:iCs/>
                <w:sz w:val="16"/>
                <w:szCs w:val="16"/>
              </w:rPr>
            </w:pPr>
          </w:p>
        </w:tc>
        <w:tc>
          <w:tcPr>
            <w:tcW w:w="685" w:type="pct"/>
            <w:vMerge/>
            <w:tcBorders>
              <w:top w:val="single" w:sz="8" w:space="0" w:color="auto"/>
              <w:bottom w:val="single" w:sz="8" w:space="0" w:color="auto"/>
            </w:tcBorders>
            <w:shd w:val="clear" w:color="auto" w:fill="auto"/>
          </w:tcPr>
          <w:p w14:paraId="04D45462" w14:textId="77777777" w:rsidR="008A5D23" w:rsidRPr="00A831E7" w:rsidRDefault="008A5D23" w:rsidP="00BF2D0F">
            <w:pPr>
              <w:jc w:val="center"/>
              <w:rPr>
                <w:i/>
                <w:iCs/>
                <w:sz w:val="16"/>
                <w:szCs w:val="16"/>
              </w:rPr>
            </w:pPr>
          </w:p>
        </w:tc>
        <w:tc>
          <w:tcPr>
            <w:tcW w:w="514" w:type="pct"/>
            <w:tcBorders>
              <w:top w:val="single" w:sz="8" w:space="0" w:color="auto"/>
              <w:bottom w:val="single" w:sz="8" w:space="0" w:color="auto"/>
            </w:tcBorders>
            <w:shd w:val="clear" w:color="auto" w:fill="auto"/>
          </w:tcPr>
          <w:p w14:paraId="60B5F337" w14:textId="10596708" w:rsidR="008A5D23" w:rsidRPr="008F5904" w:rsidRDefault="008A5D23" w:rsidP="00BF2D0F">
            <w:pPr>
              <w:jc w:val="center"/>
              <w:rPr>
                <w:sz w:val="18"/>
                <w:lang w:val="en-US"/>
              </w:rPr>
            </w:pPr>
            <w:r w:rsidRPr="00A831E7">
              <w:rPr>
                <w:sz w:val="18"/>
                <w:szCs w:val="18"/>
              </w:rPr>
              <w:t>SAH-</w:t>
            </w:r>
            <w:r w:rsidR="003D15D4">
              <w:rPr>
                <w:sz w:val="18"/>
                <w:szCs w:val="18"/>
              </w:rPr>
              <w:t>Storke</w:t>
            </w:r>
          </w:p>
        </w:tc>
        <w:tc>
          <w:tcPr>
            <w:tcW w:w="427" w:type="pct"/>
            <w:tcBorders>
              <w:top w:val="single" w:sz="8" w:space="0" w:color="auto"/>
              <w:bottom w:val="single" w:sz="8" w:space="0" w:color="auto"/>
            </w:tcBorders>
            <w:shd w:val="clear" w:color="auto" w:fill="auto"/>
          </w:tcPr>
          <w:p w14:paraId="3F4066FD" w14:textId="77777777" w:rsidR="008A5D23" w:rsidRPr="00A831E7" w:rsidRDefault="008A5D23" w:rsidP="00BF2D0F">
            <w:pPr>
              <w:jc w:val="center"/>
              <w:rPr>
                <w:sz w:val="18"/>
                <w:szCs w:val="18"/>
              </w:rPr>
            </w:pPr>
            <w:r w:rsidRPr="00A831E7">
              <w:rPr>
                <w:sz w:val="18"/>
                <w:szCs w:val="18"/>
              </w:rPr>
              <w:t>0.93</w:t>
            </w:r>
          </w:p>
        </w:tc>
        <w:tc>
          <w:tcPr>
            <w:tcW w:w="429" w:type="pct"/>
            <w:tcBorders>
              <w:top w:val="single" w:sz="8" w:space="0" w:color="auto"/>
              <w:bottom w:val="single" w:sz="8" w:space="0" w:color="auto"/>
            </w:tcBorders>
            <w:shd w:val="clear" w:color="auto" w:fill="auto"/>
          </w:tcPr>
          <w:p w14:paraId="24BBC1DE" w14:textId="77777777" w:rsidR="008A5D23" w:rsidRPr="00A831E7" w:rsidRDefault="008A5D23" w:rsidP="00BF2D0F">
            <w:pPr>
              <w:jc w:val="center"/>
              <w:rPr>
                <w:sz w:val="18"/>
                <w:szCs w:val="18"/>
              </w:rPr>
            </w:pPr>
            <w:r w:rsidRPr="00A831E7">
              <w:rPr>
                <w:sz w:val="18"/>
                <w:szCs w:val="18"/>
              </w:rPr>
              <w:t>-</w:t>
            </w:r>
          </w:p>
        </w:tc>
        <w:tc>
          <w:tcPr>
            <w:tcW w:w="427" w:type="pct"/>
            <w:tcBorders>
              <w:top w:val="single" w:sz="8" w:space="0" w:color="auto"/>
              <w:bottom w:val="single" w:sz="8" w:space="0" w:color="auto"/>
            </w:tcBorders>
            <w:shd w:val="clear" w:color="auto" w:fill="auto"/>
          </w:tcPr>
          <w:p w14:paraId="52091FD7" w14:textId="77777777" w:rsidR="008A5D23" w:rsidRPr="00A831E7" w:rsidRDefault="008A5D23" w:rsidP="00BF2D0F">
            <w:pPr>
              <w:jc w:val="center"/>
              <w:rPr>
                <w:sz w:val="18"/>
                <w:szCs w:val="18"/>
              </w:rPr>
            </w:pPr>
            <w:r w:rsidRPr="00A831E7">
              <w:rPr>
                <w:sz w:val="18"/>
                <w:szCs w:val="18"/>
              </w:rPr>
              <w:t>-</w:t>
            </w:r>
          </w:p>
        </w:tc>
        <w:tc>
          <w:tcPr>
            <w:tcW w:w="388" w:type="pct"/>
            <w:vMerge/>
            <w:tcBorders>
              <w:bottom w:val="single" w:sz="8" w:space="0" w:color="auto"/>
              <w:right w:val="single" w:sz="12" w:space="0" w:color="000000"/>
            </w:tcBorders>
            <w:shd w:val="clear" w:color="auto" w:fill="auto"/>
          </w:tcPr>
          <w:p w14:paraId="43174BCE" w14:textId="77777777" w:rsidR="008A5D23" w:rsidRPr="00A831E7" w:rsidRDefault="008A5D23" w:rsidP="00BF2D0F">
            <w:pPr>
              <w:jc w:val="center"/>
              <w:rPr>
                <w:sz w:val="18"/>
                <w:szCs w:val="18"/>
              </w:rPr>
            </w:pPr>
          </w:p>
        </w:tc>
      </w:tr>
      <w:tr w:rsidR="008A5D23" w:rsidRPr="00A831E7" w14:paraId="7B89B0BC" w14:textId="77777777" w:rsidTr="00DC2467">
        <w:trPr>
          <w:trHeight w:val="267"/>
        </w:trPr>
        <w:tc>
          <w:tcPr>
            <w:tcW w:w="677" w:type="pct"/>
            <w:vMerge/>
            <w:tcBorders>
              <w:left w:val="single" w:sz="12" w:space="0" w:color="auto"/>
              <w:bottom w:val="single" w:sz="12" w:space="0" w:color="000000"/>
            </w:tcBorders>
            <w:shd w:val="clear" w:color="auto" w:fill="auto"/>
          </w:tcPr>
          <w:p w14:paraId="49DC7238" w14:textId="77777777" w:rsidR="008A5D23" w:rsidRPr="00A831E7" w:rsidRDefault="008A5D23" w:rsidP="00BF2D0F">
            <w:pPr>
              <w:jc w:val="center"/>
              <w:rPr>
                <w:sz w:val="18"/>
                <w:szCs w:val="18"/>
              </w:rPr>
            </w:pPr>
          </w:p>
        </w:tc>
        <w:tc>
          <w:tcPr>
            <w:tcW w:w="855" w:type="pct"/>
            <w:vMerge/>
            <w:tcBorders>
              <w:top w:val="single" w:sz="8" w:space="0" w:color="auto"/>
              <w:bottom w:val="single" w:sz="12" w:space="0" w:color="000000"/>
            </w:tcBorders>
            <w:shd w:val="clear" w:color="auto" w:fill="auto"/>
          </w:tcPr>
          <w:p w14:paraId="2916BBAA" w14:textId="77777777" w:rsidR="008A5D23" w:rsidRPr="00A831E7" w:rsidRDefault="008A5D23" w:rsidP="00BF2D0F">
            <w:pPr>
              <w:jc w:val="center"/>
              <w:rPr>
                <w:i/>
                <w:iCs/>
                <w:sz w:val="16"/>
                <w:szCs w:val="16"/>
              </w:rPr>
            </w:pPr>
          </w:p>
        </w:tc>
        <w:tc>
          <w:tcPr>
            <w:tcW w:w="598" w:type="pct"/>
            <w:vMerge/>
            <w:tcBorders>
              <w:top w:val="single" w:sz="8" w:space="0" w:color="auto"/>
              <w:bottom w:val="single" w:sz="12" w:space="0" w:color="000000"/>
            </w:tcBorders>
            <w:shd w:val="clear" w:color="auto" w:fill="auto"/>
          </w:tcPr>
          <w:p w14:paraId="682A431F" w14:textId="77777777" w:rsidR="008A5D23" w:rsidRPr="00A831E7" w:rsidRDefault="008A5D23" w:rsidP="00BF2D0F">
            <w:pPr>
              <w:jc w:val="center"/>
              <w:rPr>
                <w:i/>
                <w:iCs/>
                <w:sz w:val="16"/>
                <w:szCs w:val="16"/>
              </w:rPr>
            </w:pPr>
          </w:p>
        </w:tc>
        <w:tc>
          <w:tcPr>
            <w:tcW w:w="685" w:type="pct"/>
            <w:vMerge/>
            <w:tcBorders>
              <w:top w:val="single" w:sz="8" w:space="0" w:color="auto"/>
              <w:bottom w:val="single" w:sz="12" w:space="0" w:color="000000"/>
            </w:tcBorders>
            <w:shd w:val="clear" w:color="auto" w:fill="auto"/>
          </w:tcPr>
          <w:p w14:paraId="385DD859" w14:textId="77777777" w:rsidR="008A5D23" w:rsidRPr="00A831E7" w:rsidRDefault="008A5D23" w:rsidP="00BF2D0F">
            <w:pPr>
              <w:jc w:val="center"/>
              <w:rPr>
                <w:i/>
                <w:iCs/>
                <w:sz w:val="16"/>
                <w:szCs w:val="16"/>
              </w:rPr>
            </w:pPr>
          </w:p>
        </w:tc>
        <w:tc>
          <w:tcPr>
            <w:tcW w:w="514" w:type="pct"/>
            <w:tcBorders>
              <w:top w:val="single" w:sz="8" w:space="0" w:color="auto"/>
              <w:bottom w:val="single" w:sz="12" w:space="0" w:color="000000"/>
            </w:tcBorders>
            <w:shd w:val="clear" w:color="auto" w:fill="auto"/>
          </w:tcPr>
          <w:p w14:paraId="0341B13E" w14:textId="50D2502F" w:rsidR="008A5D23" w:rsidRPr="008F5904" w:rsidRDefault="003D15D4" w:rsidP="00BF2D0F">
            <w:pPr>
              <w:jc w:val="center"/>
              <w:rPr>
                <w:sz w:val="18"/>
                <w:lang w:val="en-US"/>
              </w:rPr>
            </w:pPr>
            <w:r>
              <w:rPr>
                <w:sz w:val="18"/>
                <w:szCs w:val="18"/>
                <w:lang w:val="en-US"/>
              </w:rPr>
              <w:t>IS-HS</w:t>
            </w:r>
          </w:p>
        </w:tc>
        <w:tc>
          <w:tcPr>
            <w:tcW w:w="427" w:type="pct"/>
            <w:tcBorders>
              <w:top w:val="single" w:sz="8" w:space="0" w:color="auto"/>
              <w:bottom w:val="single" w:sz="12" w:space="0" w:color="000000"/>
            </w:tcBorders>
            <w:shd w:val="clear" w:color="auto" w:fill="auto"/>
          </w:tcPr>
          <w:p w14:paraId="0A394203" w14:textId="77777777" w:rsidR="008A5D23" w:rsidRPr="00A831E7" w:rsidRDefault="008A5D23" w:rsidP="00BF2D0F">
            <w:pPr>
              <w:jc w:val="center"/>
              <w:rPr>
                <w:sz w:val="18"/>
                <w:szCs w:val="18"/>
              </w:rPr>
            </w:pPr>
            <w:r w:rsidRPr="00A831E7">
              <w:rPr>
                <w:sz w:val="18"/>
                <w:szCs w:val="18"/>
              </w:rPr>
              <w:t>0.75</w:t>
            </w:r>
          </w:p>
        </w:tc>
        <w:tc>
          <w:tcPr>
            <w:tcW w:w="429" w:type="pct"/>
            <w:tcBorders>
              <w:top w:val="single" w:sz="8" w:space="0" w:color="auto"/>
              <w:bottom w:val="single" w:sz="12" w:space="0" w:color="000000"/>
            </w:tcBorders>
            <w:shd w:val="clear" w:color="auto" w:fill="auto"/>
          </w:tcPr>
          <w:p w14:paraId="51A62031" w14:textId="77777777" w:rsidR="008A5D23" w:rsidRPr="00A831E7" w:rsidRDefault="008A5D23" w:rsidP="00BF2D0F">
            <w:pPr>
              <w:jc w:val="center"/>
              <w:rPr>
                <w:sz w:val="18"/>
                <w:szCs w:val="18"/>
              </w:rPr>
            </w:pPr>
            <w:r w:rsidRPr="00A831E7">
              <w:rPr>
                <w:sz w:val="18"/>
                <w:szCs w:val="18"/>
              </w:rPr>
              <w:t>-</w:t>
            </w:r>
          </w:p>
        </w:tc>
        <w:tc>
          <w:tcPr>
            <w:tcW w:w="427" w:type="pct"/>
            <w:tcBorders>
              <w:top w:val="single" w:sz="8" w:space="0" w:color="auto"/>
              <w:bottom w:val="single" w:sz="12" w:space="0" w:color="000000"/>
            </w:tcBorders>
            <w:shd w:val="clear" w:color="auto" w:fill="auto"/>
          </w:tcPr>
          <w:p w14:paraId="6D2DE3FC" w14:textId="77777777" w:rsidR="008A5D23" w:rsidRPr="00A831E7" w:rsidRDefault="008A5D23" w:rsidP="00BF2D0F">
            <w:pPr>
              <w:jc w:val="center"/>
              <w:rPr>
                <w:sz w:val="18"/>
                <w:szCs w:val="18"/>
              </w:rPr>
            </w:pPr>
            <w:r w:rsidRPr="00A831E7">
              <w:rPr>
                <w:sz w:val="18"/>
                <w:szCs w:val="18"/>
              </w:rPr>
              <w:t>-</w:t>
            </w:r>
          </w:p>
        </w:tc>
        <w:tc>
          <w:tcPr>
            <w:tcW w:w="388" w:type="pct"/>
            <w:vMerge/>
            <w:tcBorders>
              <w:top w:val="single" w:sz="8" w:space="0" w:color="auto"/>
              <w:bottom w:val="single" w:sz="12" w:space="0" w:color="auto"/>
              <w:right w:val="single" w:sz="12" w:space="0" w:color="000000"/>
            </w:tcBorders>
            <w:shd w:val="clear" w:color="auto" w:fill="auto"/>
          </w:tcPr>
          <w:p w14:paraId="1490368E" w14:textId="77777777" w:rsidR="008A5D23" w:rsidRPr="00A831E7" w:rsidRDefault="008A5D23" w:rsidP="00BF2D0F">
            <w:pPr>
              <w:jc w:val="center"/>
              <w:rPr>
                <w:sz w:val="18"/>
                <w:szCs w:val="18"/>
              </w:rPr>
            </w:pPr>
          </w:p>
        </w:tc>
      </w:tr>
      <w:tr w:rsidR="008A5D23" w:rsidRPr="00A831E7" w14:paraId="2EA5EE83" w14:textId="77777777" w:rsidTr="00DC2467">
        <w:trPr>
          <w:trHeight w:val="253"/>
        </w:trPr>
        <w:tc>
          <w:tcPr>
            <w:tcW w:w="677" w:type="pct"/>
            <w:tcBorders>
              <w:top w:val="single" w:sz="12" w:space="0" w:color="auto"/>
              <w:left w:val="single" w:sz="12" w:space="0" w:color="auto"/>
              <w:bottom w:val="single" w:sz="8" w:space="0" w:color="auto"/>
            </w:tcBorders>
            <w:shd w:val="clear" w:color="auto" w:fill="auto"/>
          </w:tcPr>
          <w:p w14:paraId="6C4E239D" w14:textId="4F57F921" w:rsidR="008A5D23" w:rsidRPr="00A831E7" w:rsidRDefault="008A5D23" w:rsidP="00BF2D0F">
            <w:pPr>
              <w:jc w:val="center"/>
              <w:rPr>
                <w:sz w:val="18"/>
                <w:szCs w:val="18"/>
              </w:rPr>
            </w:pPr>
            <w:r w:rsidRPr="00A831E7">
              <w:rPr>
                <w:sz w:val="18"/>
                <w:szCs w:val="18"/>
              </w:rPr>
              <w:t>12miRNA</w:t>
            </w:r>
          </w:p>
        </w:tc>
        <w:tc>
          <w:tcPr>
            <w:tcW w:w="855" w:type="pct"/>
            <w:vMerge w:val="restart"/>
            <w:tcBorders>
              <w:top w:val="single" w:sz="12" w:space="0" w:color="auto"/>
              <w:bottom w:val="single" w:sz="8" w:space="0" w:color="auto"/>
            </w:tcBorders>
            <w:shd w:val="clear" w:color="auto" w:fill="auto"/>
          </w:tcPr>
          <w:p w14:paraId="0B8A768B" w14:textId="77777777" w:rsidR="00772FFA" w:rsidRDefault="008A5D23" w:rsidP="00BF2D0F">
            <w:pPr>
              <w:jc w:val="center"/>
              <w:rPr>
                <w:i/>
                <w:iCs/>
                <w:sz w:val="16"/>
                <w:szCs w:val="16"/>
              </w:rPr>
            </w:pPr>
            <w:r w:rsidRPr="00730D74">
              <w:rPr>
                <w:i/>
                <w:iCs/>
                <w:sz w:val="16"/>
                <w:szCs w:val="16"/>
                <w:lang w:val="en-US"/>
              </w:rPr>
              <w:t xml:space="preserve">L1EV RNA : RNA </w:t>
            </w:r>
            <w:r w:rsidRPr="00A831E7">
              <w:rPr>
                <w:i/>
                <w:iCs/>
                <w:sz w:val="16"/>
                <w:szCs w:val="16"/>
              </w:rPr>
              <w:t>από</w:t>
            </w:r>
            <w:r w:rsidRPr="00730D74">
              <w:rPr>
                <w:i/>
                <w:iCs/>
                <w:sz w:val="16"/>
                <w:szCs w:val="16"/>
                <w:lang w:val="en-US"/>
              </w:rPr>
              <w:t xml:space="preserve"> L1CAM positive  extracellular vesicles(L1EV)</w:t>
            </w:r>
            <w:r w:rsidRPr="00730D74">
              <w:rPr>
                <w:i/>
                <w:iCs/>
                <w:sz w:val="16"/>
                <w:szCs w:val="16"/>
                <w:lang w:val="en-US"/>
              </w:rPr>
              <w:br/>
            </w:r>
            <w:r w:rsidRPr="00730D74">
              <w:rPr>
                <w:i/>
                <w:iCs/>
                <w:sz w:val="16"/>
                <w:szCs w:val="16"/>
                <w:lang w:val="en-US"/>
              </w:rPr>
              <w:br/>
              <w:t>[qRT-PCR &amp; 10-fold nested cross-validation]</w:t>
            </w:r>
          </w:p>
          <w:p w14:paraId="02277D48" w14:textId="77777777" w:rsidR="00387775" w:rsidRPr="00387775" w:rsidRDefault="00387775" w:rsidP="00BF2D0F">
            <w:pPr>
              <w:jc w:val="center"/>
              <w:rPr>
                <w:i/>
                <w:iCs/>
                <w:sz w:val="16"/>
                <w:szCs w:val="16"/>
              </w:rPr>
            </w:pPr>
          </w:p>
          <w:p w14:paraId="0CB9400A" w14:textId="3FFDDB51" w:rsidR="008A5D23" w:rsidRPr="00387775" w:rsidRDefault="00772FFA" w:rsidP="00BF2D0F">
            <w:pPr>
              <w:jc w:val="center"/>
              <w:rPr>
                <w:i/>
                <w:iCs/>
                <w:sz w:val="16"/>
                <w:szCs w:val="16"/>
              </w:rPr>
            </w:pPr>
            <w:r>
              <w:rPr>
                <w:i/>
                <w:iCs/>
                <w:sz w:val="16"/>
                <w:szCs w:val="16"/>
                <w:lang w:val="en-US"/>
              </w:rPr>
              <w:t>NC=12, IS=16</w:t>
            </w:r>
          </w:p>
        </w:tc>
        <w:tc>
          <w:tcPr>
            <w:tcW w:w="598" w:type="pct"/>
            <w:vMerge w:val="restart"/>
            <w:tcBorders>
              <w:top w:val="single" w:sz="12" w:space="0" w:color="auto"/>
            </w:tcBorders>
            <w:shd w:val="clear" w:color="auto" w:fill="auto"/>
          </w:tcPr>
          <w:p w14:paraId="39DA78CE" w14:textId="77777777" w:rsidR="008A5D23" w:rsidRPr="00730D74" w:rsidRDefault="008A5D23" w:rsidP="00BF2D0F">
            <w:pPr>
              <w:jc w:val="center"/>
              <w:rPr>
                <w:i/>
                <w:iCs/>
                <w:sz w:val="16"/>
                <w:szCs w:val="16"/>
                <w:lang w:val="en-US"/>
              </w:rPr>
            </w:pPr>
            <w:r w:rsidRPr="00730D74">
              <w:rPr>
                <w:i/>
                <w:iCs/>
                <w:sz w:val="16"/>
                <w:szCs w:val="16"/>
                <w:lang w:val="en-US"/>
              </w:rPr>
              <w:t>&lt;24h</w:t>
            </w:r>
          </w:p>
          <w:p w14:paraId="766FB745" w14:textId="77777777" w:rsidR="00115381" w:rsidRDefault="008A5D23" w:rsidP="00BF2D0F">
            <w:pPr>
              <w:jc w:val="center"/>
              <w:rPr>
                <w:i/>
                <w:iCs/>
                <w:sz w:val="16"/>
                <w:szCs w:val="16"/>
                <w:lang w:val="en-US"/>
              </w:rPr>
            </w:pPr>
            <w:r w:rsidRPr="00730D74">
              <w:rPr>
                <w:i/>
                <w:iCs/>
                <w:sz w:val="16"/>
                <w:szCs w:val="16"/>
                <w:lang w:val="en-US"/>
              </w:rPr>
              <w:t>Plasma</w:t>
            </w:r>
          </w:p>
          <w:p w14:paraId="0D594105" w14:textId="36D6CBD3" w:rsidR="008A5D23" w:rsidRPr="00730D74" w:rsidRDefault="008A5D23" w:rsidP="00BF2D0F">
            <w:pPr>
              <w:jc w:val="center"/>
              <w:rPr>
                <w:i/>
                <w:iCs/>
                <w:sz w:val="16"/>
                <w:szCs w:val="16"/>
                <w:lang w:val="en-US"/>
              </w:rPr>
            </w:pPr>
          </w:p>
          <w:p w14:paraId="3420098D" w14:textId="77777777" w:rsidR="008A5D23" w:rsidRPr="00730D74" w:rsidRDefault="008A5D23" w:rsidP="00BF2D0F">
            <w:pPr>
              <w:jc w:val="center"/>
              <w:rPr>
                <w:i/>
                <w:iCs/>
                <w:sz w:val="16"/>
                <w:szCs w:val="16"/>
                <w:lang w:val="en-US"/>
              </w:rPr>
            </w:pPr>
            <w:r w:rsidRPr="00730D74">
              <w:rPr>
                <w:i/>
                <w:iCs/>
                <w:sz w:val="16"/>
                <w:szCs w:val="16"/>
                <w:lang w:val="en-US"/>
              </w:rPr>
              <w:t>ExoQuick/</w:t>
            </w:r>
            <w:r w:rsidRPr="00730D74">
              <w:rPr>
                <w:i/>
                <w:iCs/>
                <w:sz w:val="16"/>
                <w:szCs w:val="16"/>
                <w:lang w:val="en-US"/>
              </w:rPr>
              <w:br/>
              <w:t xml:space="preserve">R/WCGNA/ </w:t>
            </w:r>
          </w:p>
          <w:p w14:paraId="4C1B2A8F" w14:textId="77777777" w:rsidR="008A5D23" w:rsidRPr="00A831E7" w:rsidRDefault="008A5D23" w:rsidP="00BF2D0F">
            <w:pPr>
              <w:jc w:val="center"/>
              <w:rPr>
                <w:i/>
                <w:iCs/>
                <w:sz w:val="16"/>
                <w:szCs w:val="16"/>
              </w:rPr>
            </w:pPr>
            <w:r w:rsidRPr="00A831E7">
              <w:rPr>
                <w:i/>
                <w:iCs/>
                <w:sz w:val="16"/>
                <w:szCs w:val="16"/>
              </w:rPr>
              <w:t>qRT-PCR</w:t>
            </w:r>
            <w:r w:rsidRPr="00A831E7">
              <w:rPr>
                <w:i/>
                <w:iCs/>
                <w:sz w:val="16"/>
                <w:szCs w:val="16"/>
              </w:rPr>
              <w:br/>
            </w:r>
          </w:p>
        </w:tc>
        <w:tc>
          <w:tcPr>
            <w:tcW w:w="685" w:type="pct"/>
            <w:vMerge w:val="restart"/>
            <w:tcBorders>
              <w:top w:val="single" w:sz="12" w:space="0" w:color="auto"/>
            </w:tcBorders>
            <w:shd w:val="clear" w:color="auto" w:fill="auto"/>
          </w:tcPr>
          <w:p w14:paraId="493C7C9A" w14:textId="77777777" w:rsidR="008A5D23" w:rsidRPr="00730D74" w:rsidRDefault="008A5D23" w:rsidP="00BF2D0F">
            <w:pPr>
              <w:jc w:val="center"/>
              <w:rPr>
                <w:i/>
                <w:iCs/>
                <w:sz w:val="16"/>
                <w:szCs w:val="16"/>
                <w:lang w:val="en-US"/>
              </w:rPr>
            </w:pPr>
            <w:r w:rsidRPr="00730D74">
              <w:rPr>
                <w:i/>
                <w:iCs/>
                <w:sz w:val="16"/>
                <w:szCs w:val="16"/>
                <w:lang w:val="en-US"/>
              </w:rPr>
              <w:t>RF</w:t>
            </w:r>
          </w:p>
          <w:p w14:paraId="3084F2D1" w14:textId="77777777" w:rsidR="008A5D23" w:rsidRPr="00730D74" w:rsidRDefault="008A5D23" w:rsidP="00BF2D0F">
            <w:pPr>
              <w:jc w:val="center"/>
              <w:rPr>
                <w:i/>
                <w:iCs/>
                <w:sz w:val="16"/>
                <w:szCs w:val="16"/>
                <w:lang w:val="en-US"/>
              </w:rPr>
            </w:pPr>
            <w:r w:rsidRPr="00730D74">
              <w:rPr>
                <w:i/>
                <w:iCs/>
                <w:sz w:val="16"/>
                <w:szCs w:val="16"/>
                <w:lang w:val="en-US"/>
              </w:rPr>
              <w:t>(filtering of</w:t>
            </w:r>
            <w:r w:rsidRPr="00730D74">
              <w:rPr>
                <w:i/>
                <w:iCs/>
                <w:sz w:val="16"/>
                <w:szCs w:val="16"/>
                <w:lang w:val="en-US"/>
              </w:rPr>
              <w:br/>
              <w:t>WCGNA derived data)</w:t>
            </w:r>
          </w:p>
        </w:tc>
        <w:tc>
          <w:tcPr>
            <w:tcW w:w="514" w:type="pct"/>
            <w:tcBorders>
              <w:top w:val="single" w:sz="12" w:space="0" w:color="auto"/>
              <w:bottom w:val="single" w:sz="8" w:space="0" w:color="auto"/>
            </w:tcBorders>
            <w:shd w:val="clear" w:color="auto" w:fill="auto"/>
          </w:tcPr>
          <w:p w14:paraId="776411B7" w14:textId="77777777" w:rsidR="008A5D23" w:rsidRPr="00A831E7" w:rsidRDefault="008A5D23" w:rsidP="00BF2D0F">
            <w:pPr>
              <w:jc w:val="center"/>
              <w:rPr>
                <w:sz w:val="18"/>
                <w:szCs w:val="18"/>
              </w:rPr>
            </w:pPr>
            <w:r w:rsidRPr="00A831E7">
              <w:rPr>
                <w:sz w:val="18"/>
                <w:szCs w:val="18"/>
              </w:rPr>
              <w:t>IS-NC</w:t>
            </w:r>
          </w:p>
        </w:tc>
        <w:tc>
          <w:tcPr>
            <w:tcW w:w="427" w:type="pct"/>
            <w:tcBorders>
              <w:top w:val="single" w:sz="12" w:space="0" w:color="auto"/>
              <w:bottom w:val="single" w:sz="8" w:space="0" w:color="auto"/>
            </w:tcBorders>
            <w:shd w:val="clear" w:color="auto" w:fill="auto"/>
          </w:tcPr>
          <w:p w14:paraId="550898DC" w14:textId="77777777" w:rsidR="008A5D23" w:rsidRPr="00A831E7" w:rsidRDefault="008A5D23" w:rsidP="00BF2D0F">
            <w:pPr>
              <w:jc w:val="center"/>
              <w:rPr>
                <w:sz w:val="18"/>
                <w:szCs w:val="18"/>
              </w:rPr>
            </w:pPr>
            <w:r w:rsidRPr="00A831E7">
              <w:rPr>
                <w:sz w:val="18"/>
                <w:szCs w:val="18"/>
              </w:rPr>
              <w:t>0.93</w:t>
            </w:r>
          </w:p>
        </w:tc>
        <w:tc>
          <w:tcPr>
            <w:tcW w:w="429" w:type="pct"/>
            <w:tcBorders>
              <w:top w:val="single" w:sz="12" w:space="0" w:color="auto"/>
              <w:bottom w:val="single" w:sz="8" w:space="0" w:color="auto"/>
            </w:tcBorders>
            <w:shd w:val="clear" w:color="auto" w:fill="auto"/>
          </w:tcPr>
          <w:p w14:paraId="45DD01AB" w14:textId="77777777" w:rsidR="008A5D23" w:rsidRPr="00A831E7" w:rsidRDefault="008A5D23" w:rsidP="00BF2D0F">
            <w:pPr>
              <w:jc w:val="center"/>
              <w:rPr>
                <w:sz w:val="18"/>
                <w:szCs w:val="18"/>
              </w:rPr>
            </w:pPr>
            <w:r w:rsidRPr="00A831E7">
              <w:rPr>
                <w:sz w:val="18"/>
                <w:szCs w:val="18"/>
              </w:rPr>
              <w:t>0.87</w:t>
            </w:r>
          </w:p>
        </w:tc>
        <w:tc>
          <w:tcPr>
            <w:tcW w:w="427" w:type="pct"/>
            <w:tcBorders>
              <w:top w:val="single" w:sz="12" w:space="0" w:color="auto"/>
              <w:bottom w:val="single" w:sz="8" w:space="0" w:color="auto"/>
            </w:tcBorders>
            <w:shd w:val="clear" w:color="auto" w:fill="auto"/>
          </w:tcPr>
          <w:p w14:paraId="4A95DD7B" w14:textId="77777777" w:rsidR="008A5D23" w:rsidRPr="00A831E7" w:rsidRDefault="008A5D23" w:rsidP="00BF2D0F">
            <w:pPr>
              <w:jc w:val="center"/>
              <w:rPr>
                <w:sz w:val="18"/>
                <w:szCs w:val="18"/>
              </w:rPr>
            </w:pPr>
            <w:r w:rsidRPr="00A831E7">
              <w:rPr>
                <w:sz w:val="18"/>
                <w:szCs w:val="18"/>
              </w:rPr>
              <w:t>1.00</w:t>
            </w:r>
          </w:p>
        </w:tc>
        <w:tc>
          <w:tcPr>
            <w:tcW w:w="388" w:type="pct"/>
            <w:vMerge w:val="restart"/>
            <w:tcBorders>
              <w:top w:val="single" w:sz="12" w:space="0" w:color="auto"/>
              <w:bottom w:val="single" w:sz="8" w:space="0" w:color="auto"/>
              <w:right w:val="single" w:sz="12" w:space="0" w:color="000000"/>
            </w:tcBorders>
            <w:shd w:val="clear" w:color="auto" w:fill="auto"/>
          </w:tcPr>
          <w:p w14:paraId="00495B3E" w14:textId="3722E25E" w:rsidR="003D1E82" w:rsidRPr="00A831E7" w:rsidRDefault="003D1E82" w:rsidP="00BF2D0F">
            <w:pPr>
              <w:jc w:val="center"/>
              <w:rPr>
                <w:sz w:val="16"/>
                <w:szCs w:val="16"/>
              </w:rPr>
            </w:pPr>
            <w:r w:rsidRPr="00A831E7">
              <w:rPr>
                <w:sz w:val="16"/>
                <w:szCs w:val="16"/>
              </w:rPr>
              <w:t>Man-wani et al.</w:t>
            </w:r>
          </w:p>
          <w:p w14:paraId="725E81C9" w14:textId="5C590370" w:rsidR="008A5D23" w:rsidRPr="00A831E7" w:rsidRDefault="003D1E82" w:rsidP="00BF2D0F">
            <w:pPr>
              <w:jc w:val="center"/>
              <w:rPr>
                <w:sz w:val="18"/>
                <w:szCs w:val="18"/>
              </w:rPr>
            </w:pPr>
            <w:r w:rsidRPr="00A831E7">
              <w:rPr>
                <w:sz w:val="18"/>
                <w:szCs w:val="18"/>
              </w:rPr>
              <w:fldChar w:fldCharType="begin"/>
            </w:r>
            <w:r w:rsidR="00B61252">
              <w:rPr>
                <w:sz w:val="18"/>
                <w:szCs w:val="18"/>
              </w:rPr>
              <w:instrText xml:space="preserve"> ADDIN ZOTERO_ITEM CSL_CITATION {"citationID":"xslPaVQH","properties":{"formattedCitation":"[101]","plainCitation":"[101]","noteIndex":0},"citationItems":[{"id":1074,"uris":["http://zotero.org/users/local/mfHf28QG/items/49E82DUN"],"itemData":{"id":1074,"type":"article-journal","abstract":"L1CAM-positive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Pr="00A831E7">
              <w:rPr>
                <w:sz w:val="18"/>
                <w:szCs w:val="18"/>
              </w:rPr>
              <w:fldChar w:fldCharType="separate"/>
            </w:r>
            <w:r w:rsidR="00B61252" w:rsidRPr="00B61252">
              <w:rPr>
                <w:sz w:val="18"/>
              </w:rPr>
              <w:t>[101]</w:t>
            </w:r>
            <w:r w:rsidRPr="00A831E7">
              <w:rPr>
                <w:sz w:val="18"/>
                <w:szCs w:val="18"/>
              </w:rPr>
              <w:fldChar w:fldCharType="end"/>
            </w:r>
          </w:p>
        </w:tc>
      </w:tr>
      <w:tr w:rsidR="008A5D23" w:rsidRPr="00A831E7" w14:paraId="5FE9ACE5" w14:textId="77777777" w:rsidTr="00DC2467">
        <w:trPr>
          <w:trHeight w:val="241"/>
        </w:trPr>
        <w:tc>
          <w:tcPr>
            <w:tcW w:w="677" w:type="pct"/>
            <w:tcBorders>
              <w:top w:val="single" w:sz="8" w:space="0" w:color="auto"/>
              <w:left w:val="single" w:sz="12" w:space="0" w:color="auto"/>
              <w:bottom w:val="single" w:sz="8" w:space="0" w:color="auto"/>
            </w:tcBorders>
            <w:shd w:val="clear" w:color="auto" w:fill="auto"/>
          </w:tcPr>
          <w:p w14:paraId="2EBBE00C" w14:textId="653A820A" w:rsidR="008A5D23" w:rsidRPr="00A831E7" w:rsidRDefault="008A5D23" w:rsidP="00BF2D0F">
            <w:pPr>
              <w:jc w:val="center"/>
              <w:rPr>
                <w:sz w:val="18"/>
                <w:szCs w:val="18"/>
              </w:rPr>
            </w:pPr>
            <w:r w:rsidRPr="00A831E7">
              <w:rPr>
                <w:sz w:val="18"/>
                <w:szCs w:val="18"/>
              </w:rPr>
              <w:t>6 ncRNA</w:t>
            </w:r>
          </w:p>
        </w:tc>
        <w:tc>
          <w:tcPr>
            <w:tcW w:w="855" w:type="pct"/>
            <w:vMerge/>
            <w:tcBorders>
              <w:top w:val="single" w:sz="8" w:space="0" w:color="auto"/>
              <w:bottom w:val="single" w:sz="8" w:space="0" w:color="auto"/>
            </w:tcBorders>
            <w:shd w:val="clear" w:color="auto" w:fill="auto"/>
          </w:tcPr>
          <w:p w14:paraId="788EF8A2" w14:textId="77777777" w:rsidR="008A5D23" w:rsidRPr="00A831E7" w:rsidRDefault="008A5D23" w:rsidP="00BF2D0F">
            <w:pPr>
              <w:jc w:val="center"/>
              <w:rPr>
                <w:i/>
                <w:iCs/>
                <w:sz w:val="16"/>
                <w:szCs w:val="16"/>
              </w:rPr>
            </w:pPr>
          </w:p>
        </w:tc>
        <w:tc>
          <w:tcPr>
            <w:tcW w:w="598" w:type="pct"/>
            <w:vMerge/>
            <w:tcBorders>
              <w:bottom w:val="single" w:sz="8" w:space="0" w:color="auto"/>
            </w:tcBorders>
            <w:shd w:val="clear" w:color="auto" w:fill="auto"/>
          </w:tcPr>
          <w:p w14:paraId="1FE55B9C" w14:textId="77777777" w:rsidR="008A5D23" w:rsidRPr="00A831E7" w:rsidRDefault="008A5D23" w:rsidP="00BF2D0F">
            <w:pPr>
              <w:jc w:val="center"/>
              <w:rPr>
                <w:i/>
                <w:iCs/>
                <w:sz w:val="16"/>
                <w:szCs w:val="16"/>
              </w:rPr>
            </w:pPr>
          </w:p>
        </w:tc>
        <w:tc>
          <w:tcPr>
            <w:tcW w:w="685" w:type="pct"/>
            <w:vMerge/>
            <w:tcBorders>
              <w:bottom w:val="single" w:sz="8" w:space="0" w:color="auto"/>
            </w:tcBorders>
            <w:shd w:val="clear" w:color="auto" w:fill="auto"/>
          </w:tcPr>
          <w:p w14:paraId="3CF833C8" w14:textId="77777777" w:rsidR="008A5D23" w:rsidRPr="00A831E7" w:rsidRDefault="008A5D23" w:rsidP="00BF2D0F">
            <w:pPr>
              <w:jc w:val="center"/>
              <w:rPr>
                <w:i/>
                <w:iCs/>
                <w:sz w:val="16"/>
                <w:szCs w:val="16"/>
              </w:rPr>
            </w:pPr>
          </w:p>
        </w:tc>
        <w:tc>
          <w:tcPr>
            <w:tcW w:w="514" w:type="pct"/>
            <w:tcBorders>
              <w:top w:val="single" w:sz="8" w:space="0" w:color="auto"/>
              <w:bottom w:val="single" w:sz="8" w:space="0" w:color="auto"/>
            </w:tcBorders>
            <w:shd w:val="clear" w:color="auto" w:fill="auto"/>
          </w:tcPr>
          <w:p w14:paraId="18E75DC5" w14:textId="77777777" w:rsidR="008A5D23" w:rsidRPr="00A831E7" w:rsidRDefault="008A5D23" w:rsidP="00BF2D0F">
            <w:pPr>
              <w:jc w:val="center"/>
              <w:rPr>
                <w:sz w:val="18"/>
                <w:szCs w:val="18"/>
              </w:rPr>
            </w:pPr>
            <w:r w:rsidRPr="00A831E7">
              <w:rPr>
                <w:sz w:val="18"/>
                <w:szCs w:val="18"/>
              </w:rPr>
              <w:t>»</w:t>
            </w:r>
          </w:p>
        </w:tc>
        <w:tc>
          <w:tcPr>
            <w:tcW w:w="427" w:type="pct"/>
            <w:tcBorders>
              <w:top w:val="single" w:sz="8" w:space="0" w:color="auto"/>
              <w:bottom w:val="single" w:sz="8" w:space="0" w:color="auto"/>
            </w:tcBorders>
            <w:shd w:val="clear" w:color="auto" w:fill="auto"/>
          </w:tcPr>
          <w:p w14:paraId="7F05076F" w14:textId="77777777" w:rsidR="008A5D23" w:rsidRPr="00A831E7" w:rsidRDefault="008A5D23" w:rsidP="00BF2D0F">
            <w:pPr>
              <w:jc w:val="center"/>
              <w:rPr>
                <w:sz w:val="18"/>
                <w:szCs w:val="18"/>
              </w:rPr>
            </w:pPr>
            <w:r w:rsidRPr="00A831E7">
              <w:rPr>
                <w:sz w:val="18"/>
                <w:szCs w:val="18"/>
              </w:rPr>
              <w:t>0.83</w:t>
            </w:r>
          </w:p>
        </w:tc>
        <w:tc>
          <w:tcPr>
            <w:tcW w:w="429" w:type="pct"/>
            <w:tcBorders>
              <w:top w:val="single" w:sz="8" w:space="0" w:color="auto"/>
              <w:bottom w:val="single" w:sz="8" w:space="0" w:color="auto"/>
            </w:tcBorders>
            <w:shd w:val="clear" w:color="auto" w:fill="auto"/>
          </w:tcPr>
          <w:p w14:paraId="7EFB285A" w14:textId="77777777" w:rsidR="008A5D23" w:rsidRPr="00A831E7" w:rsidRDefault="008A5D23" w:rsidP="00BF2D0F">
            <w:pPr>
              <w:jc w:val="center"/>
              <w:rPr>
                <w:sz w:val="18"/>
                <w:szCs w:val="18"/>
              </w:rPr>
            </w:pPr>
            <w:r w:rsidRPr="00A831E7">
              <w:rPr>
                <w:sz w:val="18"/>
                <w:szCs w:val="18"/>
              </w:rPr>
              <w:t>0.94</w:t>
            </w:r>
          </w:p>
        </w:tc>
        <w:tc>
          <w:tcPr>
            <w:tcW w:w="427" w:type="pct"/>
            <w:tcBorders>
              <w:top w:val="single" w:sz="8" w:space="0" w:color="auto"/>
              <w:bottom w:val="single" w:sz="8" w:space="0" w:color="auto"/>
            </w:tcBorders>
            <w:shd w:val="clear" w:color="auto" w:fill="auto"/>
          </w:tcPr>
          <w:p w14:paraId="04480ECB" w14:textId="77777777" w:rsidR="008A5D23" w:rsidRPr="00A831E7" w:rsidRDefault="008A5D23" w:rsidP="00BF2D0F">
            <w:pPr>
              <w:jc w:val="center"/>
              <w:rPr>
                <w:sz w:val="18"/>
                <w:szCs w:val="18"/>
              </w:rPr>
            </w:pPr>
            <w:r w:rsidRPr="00A831E7">
              <w:rPr>
                <w:sz w:val="18"/>
                <w:szCs w:val="18"/>
              </w:rPr>
              <w:t>0.92</w:t>
            </w:r>
          </w:p>
        </w:tc>
        <w:tc>
          <w:tcPr>
            <w:tcW w:w="388" w:type="pct"/>
            <w:vMerge/>
            <w:tcBorders>
              <w:top w:val="single" w:sz="8" w:space="0" w:color="auto"/>
              <w:bottom w:val="single" w:sz="8" w:space="0" w:color="auto"/>
              <w:right w:val="single" w:sz="12" w:space="0" w:color="000000"/>
            </w:tcBorders>
            <w:shd w:val="clear" w:color="auto" w:fill="auto"/>
          </w:tcPr>
          <w:p w14:paraId="5B6C2C3B" w14:textId="77777777" w:rsidR="008A5D23" w:rsidRPr="00A831E7" w:rsidRDefault="008A5D23" w:rsidP="00BF2D0F">
            <w:pPr>
              <w:jc w:val="center"/>
              <w:rPr>
                <w:sz w:val="18"/>
                <w:szCs w:val="18"/>
              </w:rPr>
            </w:pPr>
          </w:p>
        </w:tc>
      </w:tr>
      <w:tr w:rsidR="008A5D23" w:rsidRPr="00A831E7" w14:paraId="2A841185" w14:textId="77777777" w:rsidTr="00DC2467">
        <w:trPr>
          <w:trHeight w:val="267"/>
        </w:trPr>
        <w:tc>
          <w:tcPr>
            <w:tcW w:w="677" w:type="pct"/>
            <w:tcBorders>
              <w:top w:val="single" w:sz="8" w:space="0" w:color="auto"/>
              <w:left w:val="single" w:sz="12" w:space="0" w:color="auto"/>
              <w:bottom w:val="single" w:sz="12" w:space="0" w:color="000000"/>
            </w:tcBorders>
            <w:shd w:val="clear" w:color="auto" w:fill="auto"/>
          </w:tcPr>
          <w:p w14:paraId="229AC8C0" w14:textId="4E4A441A" w:rsidR="008A5D23" w:rsidRPr="00A831E7" w:rsidRDefault="008A5D23" w:rsidP="00BF2D0F">
            <w:pPr>
              <w:jc w:val="center"/>
              <w:rPr>
                <w:sz w:val="18"/>
                <w:szCs w:val="18"/>
              </w:rPr>
            </w:pPr>
            <w:r w:rsidRPr="00A831E7">
              <w:rPr>
                <w:sz w:val="18"/>
                <w:szCs w:val="18"/>
              </w:rPr>
              <w:t>12miRNA</w:t>
            </w:r>
            <w:r w:rsidR="00972CD3" w:rsidRPr="00A831E7">
              <w:rPr>
                <w:sz w:val="18"/>
                <w:szCs w:val="18"/>
              </w:rPr>
              <w:t xml:space="preserve"> &amp;</w:t>
            </w:r>
            <w:r w:rsidRPr="00A831E7">
              <w:rPr>
                <w:sz w:val="18"/>
                <w:szCs w:val="18"/>
              </w:rPr>
              <w:br/>
              <w:t>6 ncRNA</w:t>
            </w:r>
            <w:r w:rsidR="00972CD3" w:rsidRPr="00A831E7">
              <w:rPr>
                <w:sz w:val="18"/>
                <w:szCs w:val="18"/>
              </w:rPr>
              <w:br/>
            </w:r>
            <w:r w:rsidR="00972CD3" w:rsidRPr="00A831E7">
              <w:rPr>
                <w:sz w:val="18"/>
                <w:szCs w:val="18"/>
              </w:rPr>
              <w:br/>
            </w:r>
            <w:hyperlink w:anchor="_Παράρτημα" w:history="1">
              <w:r w:rsidR="00972CD3" w:rsidRPr="00A831E7">
                <w:rPr>
                  <w:rStyle w:val="-"/>
                  <w:sz w:val="16"/>
                  <w:szCs w:val="16"/>
                </w:rPr>
                <w:t>(Παράρτημα: Πίνακας 3)</w:t>
              </w:r>
            </w:hyperlink>
          </w:p>
        </w:tc>
        <w:tc>
          <w:tcPr>
            <w:tcW w:w="855" w:type="pct"/>
            <w:vMerge/>
            <w:tcBorders>
              <w:top w:val="single" w:sz="8" w:space="0" w:color="auto"/>
              <w:bottom w:val="single" w:sz="12" w:space="0" w:color="000000"/>
            </w:tcBorders>
            <w:shd w:val="clear" w:color="auto" w:fill="auto"/>
          </w:tcPr>
          <w:p w14:paraId="27143562" w14:textId="77777777" w:rsidR="008A5D23" w:rsidRPr="00A831E7" w:rsidRDefault="008A5D23" w:rsidP="00BF2D0F">
            <w:pPr>
              <w:jc w:val="center"/>
              <w:rPr>
                <w:i/>
                <w:iCs/>
                <w:sz w:val="16"/>
                <w:szCs w:val="16"/>
              </w:rPr>
            </w:pPr>
          </w:p>
        </w:tc>
        <w:tc>
          <w:tcPr>
            <w:tcW w:w="598" w:type="pct"/>
            <w:vMerge/>
            <w:tcBorders>
              <w:top w:val="single" w:sz="8" w:space="0" w:color="auto"/>
              <w:bottom w:val="single" w:sz="12" w:space="0" w:color="000000"/>
            </w:tcBorders>
            <w:shd w:val="clear" w:color="auto" w:fill="auto"/>
          </w:tcPr>
          <w:p w14:paraId="4D50BCF4" w14:textId="77777777" w:rsidR="008A5D23" w:rsidRPr="00A831E7" w:rsidRDefault="008A5D23" w:rsidP="00BF2D0F">
            <w:pPr>
              <w:jc w:val="center"/>
              <w:rPr>
                <w:i/>
                <w:iCs/>
                <w:sz w:val="16"/>
                <w:szCs w:val="16"/>
              </w:rPr>
            </w:pPr>
          </w:p>
        </w:tc>
        <w:tc>
          <w:tcPr>
            <w:tcW w:w="685" w:type="pct"/>
            <w:vMerge/>
            <w:tcBorders>
              <w:top w:val="single" w:sz="8" w:space="0" w:color="auto"/>
              <w:bottom w:val="single" w:sz="12" w:space="0" w:color="000000"/>
            </w:tcBorders>
            <w:shd w:val="clear" w:color="auto" w:fill="auto"/>
          </w:tcPr>
          <w:p w14:paraId="2D6DBA01" w14:textId="77777777" w:rsidR="008A5D23" w:rsidRPr="00A831E7" w:rsidRDefault="008A5D23" w:rsidP="00BF2D0F">
            <w:pPr>
              <w:jc w:val="center"/>
              <w:rPr>
                <w:i/>
                <w:iCs/>
                <w:sz w:val="16"/>
                <w:szCs w:val="16"/>
              </w:rPr>
            </w:pPr>
          </w:p>
        </w:tc>
        <w:tc>
          <w:tcPr>
            <w:tcW w:w="514" w:type="pct"/>
            <w:tcBorders>
              <w:top w:val="single" w:sz="8" w:space="0" w:color="auto"/>
              <w:bottom w:val="single" w:sz="12" w:space="0" w:color="000000"/>
            </w:tcBorders>
            <w:shd w:val="clear" w:color="auto" w:fill="auto"/>
          </w:tcPr>
          <w:p w14:paraId="65857846" w14:textId="77777777" w:rsidR="008A5D23" w:rsidRPr="00A831E7" w:rsidRDefault="008A5D23" w:rsidP="00BF2D0F">
            <w:pPr>
              <w:jc w:val="center"/>
              <w:rPr>
                <w:sz w:val="18"/>
                <w:szCs w:val="18"/>
              </w:rPr>
            </w:pPr>
            <w:r w:rsidRPr="00A831E7">
              <w:rPr>
                <w:sz w:val="18"/>
                <w:szCs w:val="18"/>
              </w:rPr>
              <w:t>»</w:t>
            </w:r>
          </w:p>
        </w:tc>
        <w:tc>
          <w:tcPr>
            <w:tcW w:w="427" w:type="pct"/>
            <w:tcBorders>
              <w:top w:val="single" w:sz="8" w:space="0" w:color="auto"/>
              <w:bottom w:val="single" w:sz="12" w:space="0" w:color="000000"/>
            </w:tcBorders>
            <w:shd w:val="clear" w:color="auto" w:fill="auto"/>
          </w:tcPr>
          <w:p w14:paraId="4C64134F" w14:textId="77777777" w:rsidR="008A5D23" w:rsidRPr="00A831E7" w:rsidRDefault="008A5D23" w:rsidP="00BF2D0F">
            <w:pPr>
              <w:jc w:val="center"/>
              <w:rPr>
                <w:sz w:val="18"/>
                <w:szCs w:val="18"/>
              </w:rPr>
            </w:pPr>
            <w:r w:rsidRPr="00A831E7">
              <w:rPr>
                <w:sz w:val="18"/>
                <w:szCs w:val="18"/>
              </w:rPr>
              <w:t>0.84</w:t>
            </w:r>
          </w:p>
        </w:tc>
        <w:tc>
          <w:tcPr>
            <w:tcW w:w="429" w:type="pct"/>
            <w:tcBorders>
              <w:top w:val="single" w:sz="8" w:space="0" w:color="auto"/>
              <w:bottom w:val="single" w:sz="12" w:space="0" w:color="000000"/>
            </w:tcBorders>
            <w:shd w:val="clear" w:color="auto" w:fill="auto"/>
          </w:tcPr>
          <w:p w14:paraId="36459D89" w14:textId="77777777" w:rsidR="008A5D23" w:rsidRPr="00A831E7" w:rsidRDefault="008A5D23" w:rsidP="00BF2D0F">
            <w:pPr>
              <w:jc w:val="center"/>
              <w:rPr>
                <w:sz w:val="18"/>
                <w:szCs w:val="18"/>
              </w:rPr>
            </w:pPr>
            <w:r w:rsidRPr="00A831E7">
              <w:rPr>
                <w:sz w:val="18"/>
                <w:szCs w:val="18"/>
              </w:rPr>
              <w:t>0.87</w:t>
            </w:r>
          </w:p>
        </w:tc>
        <w:tc>
          <w:tcPr>
            <w:tcW w:w="427" w:type="pct"/>
            <w:tcBorders>
              <w:top w:val="single" w:sz="8" w:space="0" w:color="auto"/>
              <w:bottom w:val="single" w:sz="12" w:space="0" w:color="auto"/>
            </w:tcBorders>
            <w:shd w:val="clear" w:color="auto" w:fill="auto"/>
          </w:tcPr>
          <w:p w14:paraId="27B95076" w14:textId="77777777" w:rsidR="008A5D23" w:rsidRPr="00A831E7" w:rsidRDefault="008A5D23" w:rsidP="00BF2D0F">
            <w:pPr>
              <w:jc w:val="center"/>
              <w:rPr>
                <w:sz w:val="18"/>
                <w:szCs w:val="18"/>
              </w:rPr>
            </w:pPr>
            <w:r w:rsidRPr="00A831E7">
              <w:rPr>
                <w:sz w:val="18"/>
                <w:szCs w:val="18"/>
              </w:rPr>
              <w:t>0.83</w:t>
            </w:r>
          </w:p>
        </w:tc>
        <w:tc>
          <w:tcPr>
            <w:tcW w:w="388" w:type="pct"/>
            <w:vMerge/>
            <w:tcBorders>
              <w:bottom w:val="single" w:sz="12" w:space="0" w:color="auto"/>
              <w:right w:val="single" w:sz="12" w:space="0" w:color="000000"/>
            </w:tcBorders>
            <w:shd w:val="clear" w:color="auto" w:fill="auto"/>
          </w:tcPr>
          <w:p w14:paraId="0B50817B" w14:textId="77777777" w:rsidR="008A5D23" w:rsidRPr="00A831E7" w:rsidRDefault="008A5D23" w:rsidP="00BF2D0F">
            <w:pPr>
              <w:jc w:val="center"/>
              <w:rPr>
                <w:sz w:val="18"/>
                <w:szCs w:val="18"/>
              </w:rPr>
            </w:pPr>
          </w:p>
        </w:tc>
      </w:tr>
      <w:tr w:rsidR="008A5D23" w:rsidRPr="00D17951" w14:paraId="511A4202" w14:textId="77777777" w:rsidTr="00DC2467">
        <w:trPr>
          <w:trHeight w:val="663"/>
        </w:trPr>
        <w:tc>
          <w:tcPr>
            <w:tcW w:w="677" w:type="pct"/>
            <w:vMerge w:val="restart"/>
            <w:tcBorders>
              <w:top w:val="single" w:sz="12" w:space="0" w:color="auto"/>
              <w:left w:val="single" w:sz="12" w:space="0" w:color="auto"/>
            </w:tcBorders>
            <w:shd w:val="clear" w:color="auto" w:fill="auto"/>
          </w:tcPr>
          <w:p w14:paraId="212A2F52" w14:textId="77777777" w:rsidR="008A5D23" w:rsidRPr="00730D74" w:rsidRDefault="00F01A2D" w:rsidP="00BF2D0F">
            <w:pPr>
              <w:jc w:val="center"/>
              <w:rPr>
                <w:color w:val="FF0000"/>
                <w:sz w:val="18"/>
                <w:szCs w:val="18"/>
                <w:lang w:val="en-US"/>
              </w:rPr>
            </w:pPr>
            <w:r w:rsidRPr="00730D74">
              <w:rPr>
                <w:sz w:val="16"/>
                <w:szCs w:val="16"/>
                <w:lang w:val="en-US"/>
              </w:rPr>
              <w:t xml:space="preserve">10 differentially expressed </w:t>
            </w:r>
            <w:r w:rsidR="008A5D23" w:rsidRPr="00730D74">
              <w:rPr>
                <w:sz w:val="16"/>
                <w:szCs w:val="16"/>
                <w:lang w:val="en-US"/>
              </w:rPr>
              <w:t>EV</w:t>
            </w:r>
            <w:r w:rsidRPr="00730D74">
              <w:rPr>
                <w:sz w:val="16"/>
                <w:szCs w:val="16"/>
                <w:lang w:val="en-US"/>
              </w:rPr>
              <w:t xml:space="preserve">s </w:t>
            </w:r>
            <w:r w:rsidR="008A5D23" w:rsidRPr="00730D74">
              <w:rPr>
                <w:sz w:val="18"/>
                <w:szCs w:val="18"/>
                <w:lang w:val="en-US"/>
              </w:rPr>
              <w:br/>
            </w:r>
          </w:p>
          <w:p w14:paraId="27A0D9E2" w14:textId="378AE071" w:rsidR="00972CD3" w:rsidRPr="00730D74" w:rsidRDefault="00972CD3" w:rsidP="00BF2D0F">
            <w:pPr>
              <w:jc w:val="center"/>
              <w:rPr>
                <w:sz w:val="18"/>
                <w:szCs w:val="18"/>
                <w:lang w:val="en-US"/>
              </w:rPr>
            </w:pPr>
            <w:hyperlink w:anchor="_Παράρτημα" w:history="1">
              <w:r w:rsidRPr="00730D74">
                <w:rPr>
                  <w:rStyle w:val="-"/>
                  <w:sz w:val="16"/>
                  <w:szCs w:val="16"/>
                  <w:lang w:val="en-US"/>
                </w:rPr>
                <w:t>(</w:t>
              </w:r>
              <w:r w:rsidRPr="00A831E7">
                <w:rPr>
                  <w:rStyle w:val="-"/>
                  <w:sz w:val="16"/>
                  <w:szCs w:val="16"/>
                </w:rPr>
                <w:t>Παράρτημα</w:t>
              </w:r>
              <w:r w:rsidRPr="00730D74">
                <w:rPr>
                  <w:rStyle w:val="-"/>
                  <w:sz w:val="16"/>
                  <w:szCs w:val="16"/>
                  <w:lang w:val="en-US"/>
                </w:rPr>
                <w:t xml:space="preserve">: </w:t>
              </w:r>
              <w:r w:rsidRPr="00A831E7">
                <w:rPr>
                  <w:rStyle w:val="-"/>
                  <w:sz w:val="16"/>
                  <w:szCs w:val="16"/>
                </w:rPr>
                <w:t>Πίνακας</w:t>
              </w:r>
              <w:r w:rsidRPr="00730D74">
                <w:rPr>
                  <w:rStyle w:val="-"/>
                  <w:sz w:val="16"/>
                  <w:szCs w:val="16"/>
                  <w:lang w:val="en-US"/>
                </w:rPr>
                <w:t xml:space="preserve"> 4)</w:t>
              </w:r>
            </w:hyperlink>
          </w:p>
        </w:tc>
        <w:tc>
          <w:tcPr>
            <w:tcW w:w="855" w:type="pct"/>
            <w:vMerge w:val="restart"/>
            <w:tcBorders>
              <w:top w:val="single" w:sz="12" w:space="0" w:color="auto"/>
            </w:tcBorders>
            <w:shd w:val="clear" w:color="auto" w:fill="auto"/>
          </w:tcPr>
          <w:p w14:paraId="6D8F0010" w14:textId="77777777" w:rsidR="00387775" w:rsidRDefault="00F01A2D" w:rsidP="00BF2D0F">
            <w:pPr>
              <w:jc w:val="center"/>
              <w:rPr>
                <w:i/>
                <w:iCs/>
                <w:sz w:val="16"/>
                <w:szCs w:val="16"/>
              </w:rPr>
            </w:pPr>
            <w:r w:rsidRPr="00730D74">
              <w:rPr>
                <w:i/>
                <w:iCs/>
                <w:sz w:val="16"/>
                <w:szCs w:val="16"/>
                <w:lang w:val="en-US"/>
              </w:rPr>
              <w:t xml:space="preserve">Serum-derived </w:t>
            </w:r>
            <w:r w:rsidR="008A5D23" w:rsidRPr="00730D74">
              <w:rPr>
                <w:i/>
                <w:iCs/>
                <w:sz w:val="16"/>
                <w:szCs w:val="16"/>
                <w:lang w:val="en-US"/>
              </w:rPr>
              <w:t>EV</w:t>
            </w:r>
            <w:r w:rsidRPr="00730D74">
              <w:rPr>
                <w:i/>
                <w:iCs/>
                <w:sz w:val="16"/>
                <w:szCs w:val="16"/>
                <w:lang w:val="en-US"/>
              </w:rPr>
              <w:t>s (surface antigens profile)</w:t>
            </w:r>
            <w:r w:rsidR="008A5D23" w:rsidRPr="00730D74">
              <w:rPr>
                <w:i/>
                <w:iCs/>
                <w:sz w:val="16"/>
                <w:szCs w:val="16"/>
                <w:lang w:val="en-US"/>
              </w:rPr>
              <w:t>: increased concentration is a sign of  an ischemic lesion and TIA.</w:t>
            </w:r>
            <w:r w:rsidR="00387775">
              <w:rPr>
                <w:i/>
                <w:iCs/>
                <w:sz w:val="16"/>
                <w:szCs w:val="16"/>
              </w:rPr>
              <w:br/>
            </w:r>
          </w:p>
          <w:p w14:paraId="60D38047" w14:textId="22026139" w:rsidR="008A5D23" w:rsidRPr="00A831E7" w:rsidRDefault="00387775" w:rsidP="00BF2D0F">
            <w:pPr>
              <w:jc w:val="center"/>
              <w:rPr>
                <w:i/>
                <w:iCs/>
                <w:sz w:val="16"/>
                <w:szCs w:val="16"/>
              </w:rPr>
            </w:pPr>
            <w:r w:rsidRPr="00A831E7">
              <w:rPr>
                <w:i/>
                <w:iCs/>
                <w:sz w:val="16"/>
                <w:szCs w:val="16"/>
              </w:rPr>
              <w:t>[validation: leave-one out algorithm &amp; external validation cohort]</w:t>
            </w:r>
            <w:r w:rsidR="008A5D23" w:rsidRPr="00730D74">
              <w:rPr>
                <w:i/>
                <w:iCs/>
                <w:sz w:val="16"/>
                <w:szCs w:val="16"/>
                <w:lang w:val="en-US"/>
              </w:rPr>
              <w:br/>
            </w:r>
            <w:r w:rsidR="00A910C3" w:rsidRPr="00387775">
              <w:rPr>
                <w:i/>
                <w:iCs/>
                <w:sz w:val="14"/>
                <w:szCs w:val="14"/>
                <w:lang w:val="en-US"/>
              </w:rPr>
              <w:t>suspected</w:t>
            </w:r>
            <w:r w:rsidRPr="00387775">
              <w:rPr>
                <w:i/>
                <w:iCs/>
                <w:sz w:val="14"/>
                <w:szCs w:val="14"/>
              </w:rPr>
              <w:t>-</w:t>
            </w:r>
            <w:r>
              <w:rPr>
                <w:i/>
                <w:iCs/>
                <w:sz w:val="16"/>
                <w:szCs w:val="16"/>
                <w:lang w:val="en-US"/>
              </w:rPr>
              <w:t>TIA=40, NC=20</w:t>
            </w:r>
            <w:r w:rsidR="00A910C3">
              <w:rPr>
                <w:i/>
                <w:iCs/>
                <w:sz w:val="16"/>
                <w:szCs w:val="16"/>
                <w:lang w:val="en-US"/>
              </w:rPr>
              <w:t xml:space="preserve"> </w:t>
            </w:r>
          </w:p>
        </w:tc>
        <w:tc>
          <w:tcPr>
            <w:tcW w:w="598" w:type="pct"/>
            <w:vMerge w:val="restart"/>
            <w:tcBorders>
              <w:top w:val="single" w:sz="12" w:space="0" w:color="auto"/>
              <w:bottom w:val="single" w:sz="8" w:space="0" w:color="auto"/>
            </w:tcBorders>
            <w:shd w:val="clear" w:color="auto" w:fill="auto"/>
          </w:tcPr>
          <w:p w14:paraId="2C92E353" w14:textId="77777777" w:rsidR="00115381" w:rsidRDefault="008A5D23" w:rsidP="00BF2D0F">
            <w:pPr>
              <w:jc w:val="center"/>
              <w:rPr>
                <w:i/>
                <w:iCs/>
                <w:sz w:val="16"/>
                <w:szCs w:val="16"/>
                <w:lang w:val="en-US"/>
              </w:rPr>
            </w:pPr>
            <w:r w:rsidRPr="00730D74">
              <w:rPr>
                <w:i/>
                <w:iCs/>
                <w:sz w:val="16"/>
                <w:szCs w:val="16"/>
                <w:lang w:val="en-US"/>
              </w:rPr>
              <w:t>&lt;48h</w:t>
            </w:r>
            <w:r w:rsidRPr="00730D74">
              <w:rPr>
                <w:i/>
                <w:iCs/>
                <w:sz w:val="16"/>
                <w:szCs w:val="16"/>
                <w:lang w:val="en-US"/>
              </w:rPr>
              <w:br/>
              <w:t>Serum</w:t>
            </w:r>
          </w:p>
          <w:p w14:paraId="2CED0115" w14:textId="69563DEF" w:rsidR="008A5D23" w:rsidRPr="00730D74" w:rsidRDefault="008A5D23" w:rsidP="00BF2D0F">
            <w:pPr>
              <w:jc w:val="center"/>
              <w:rPr>
                <w:i/>
                <w:iCs/>
                <w:sz w:val="16"/>
                <w:szCs w:val="16"/>
                <w:lang w:val="en-US"/>
              </w:rPr>
            </w:pPr>
            <w:r w:rsidRPr="00730D74">
              <w:rPr>
                <w:i/>
                <w:iCs/>
                <w:sz w:val="16"/>
                <w:szCs w:val="16"/>
                <w:lang w:val="en-US"/>
              </w:rPr>
              <w:t>.</w:t>
            </w:r>
            <w:r w:rsidRPr="00730D74">
              <w:rPr>
                <w:i/>
                <w:iCs/>
                <w:sz w:val="16"/>
                <w:szCs w:val="16"/>
                <w:lang w:val="en-US"/>
              </w:rPr>
              <w:br/>
              <w:t>Surface antigen profile/</w:t>
            </w:r>
          </w:p>
          <w:p w14:paraId="1B4F3B94" w14:textId="77777777" w:rsidR="008A5D23" w:rsidRPr="00A831E7" w:rsidRDefault="008A5D23" w:rsidP="00BF2D0F">
            <w:pPr>
              <w:jc w:val="center"/>
              <w:rPr>
                <w:i/>
                <w:iCs/>
                <w:sz w:val="16"/>
                <w:szCs w:val="16"/>
              </w:rPr>
            </w:pPr>
            <w:r w:rsidRPr="00A831E7">
              <w:rPr>
                <w:i/>
                <w:iCs/>
                <w:sz w:val="16"/>
                <w:szCs w:val="16"/>
              </w:rPr>
              <w:t>NTA/ flow cytometry</w:t>
            </w:r>
          </w:p>
        </w:tc>
        <w:tc>
          <w:tcPr>
            <w:tcW w:w="685" w:type="pct"/>
            <w:vMerge w:val="restart"/>
            <w:tcBorders>
              <w:top w:val="single" w:sz="12" w:space="0" w:color="auto"/>
              <w:bottom w:val="single" w:sz="8" w:space="0" w:color="auto"/>
            </w:tcBorders>
            <w:shd w:val="clear" w:color="auto" w:fill="auto"/>
          </w:tcPr>
          <w:p w14:paraId="49AD520A" w14:textId="77777777" w:rsidR="008A5D23" w:rsidRPr="00A831E7" w:rsidRDefault="008A5D23" w:rsidP="00BF2D0F">
            <w:pPr>
              <w:jc w:val="center"/>
              <w:rPr>
                <w:i/>
                <w:iCs/>
                <w:sz w:val="16"/>
                <w:szCs w:val="16"/>
              </w:rPr>
            </w:pPr>
            <w:r w:rsidRPr="00A831E7">
              <w:rPr>
                <w:i/>
                <w:iCs/>
                <w:sz w:val="16"/>
                <w:szCs w:val="16"/>
              </w:rPr>
              <w:t>RF</w:t>
            </w:r>
          </w:p>
        </w:tc>
        <w:tc>
          <w:tcPr>
            <w:tcW w:w="514" w:type="pct"/>
            <w:tcBorders>
              <w:top w:val="single" w:sz="12" w:space="0" w:color="auto"/>
              <w:bottom w:val="single" w:sz="8" w:space="0" w:color="auto"/>
            </w:tcBorders>
            <w:shd w:val="clear" w:color="auto" w:fill="auto"/>
          </w:tcPr>
          <w:p w14:paraId="19312918" w14:textId="77777777" w:rsidR="008A5D23" w:rsidRPr="00A831E7" w:rsidRDefault="008A5D23" w:rsidP="00BF2D0F">
            <w:pPr>
              <w:jc w:val="center"/>
              <w:rPr>
                <w:sz w:val="18"/>
                <w:szCs w:val="18"/>
              </w:rPr>
            </w:pPr>
            <w:r w:rsidRPr="00A831E7">
              <w:rPr>
                <w:sz w:val="18"/>
                <w:szCs w:val="18"/>
              </w:rPr>
              <w:t>NonTIA-TIA</w:t>
            </w:r>
            <w:r w:rsidRPr="00A831E7">
              <w:rPr>
                <w:sz w:val="18"/>
                <w:szCs w:val="18"/>
              </w:rPr>
              <w:br/>
              <w:t>(likely)</w:t>
            </w:r>
          </w:p>
        </w:tc>
        <w:tc>
          <w:tcPr>
            <w:tcW w:w="427" w:type="pct"/>
            <w:tcBorders>
              <w:top w:val="single" w:sz="12" w:space="0" w:color="auto"/>
              <w:bottom w:val="single" w:sz="8" w:space="0" w:color="auto"/>
            </w:tcBorders>
            <w:shd w:val="clear" w:color="auto" w:fill="auto"/>
          </w:tcPr>
          <w:p w14:paraId="183E055F" w14:textId="28547294" w:rsidR="00421282" w:rsidRDefault="00421282" w:rsidP="00BF2D0F">
            <w:pPr>
              <w:jc w:val="center"/>
              <w:rPr>
                <w:sz w:val="18"/>
                <w:szCs w:val="18"/>
                <w:lang w:val="en-US"/>
              </w:rPr>
            </w:pPr>
            <w:r w:rsidRPr="00421282">
              <w:rPr>
                <w:sz w:val="20"/>
                <w:szCs w:val="20"/>
                <w:lang w:val="en-US"/>
              </w:rPr>
              <w:t>Ac</w:t>
            </w:r>
            <w:r>
              <w:rPr>
                <w:sz w:val="20"/>
                <w:szCs w:val="20"/>
                <w:lang w:val="en-US"/>
              </w:rPr>
              <w:t>c.</w:t>
            </w:r>
          </w:p>
          <w:p w14:paraId="0E0240EF" w14:textId="7A47315F" w:rsidR="008A5D23" w:rsidRPr="00A831E7" w:rsidRDefault="008A5D23" w:rsidP="00BF2D0F">
            <w:pPr>
              <w:jc w:val="center"/>
              <w:rPr>
                <w:sz w:val="18"/>
                <w:szCs w:val="18"/>
              </w:rPr>
            </w:pPr>
            <w:r w:rsidRPr="00A831E7">
              <w:rPr>
                <w:sz w:val="18"/>
                <w:szCs w:val="18"/>
              </w:rPr>
              <w:t>0.75</w:t>
            </w:r>
          </w:p>
        </w:tc>
        <w:tc>
          <w:tcPr>
            <w:tcW w:w="429" w:type="pct"/>
            <w:tcBorders>
              <w:top w:val="single" w:sz="12" w:space="0" w:color="auto"/>
              <w:bottom w:val="single" w:sz="8" w:space="0" w:color="auto"/>
            </w:tcBorders>
            <w:shd w:val="clear" w:color="auto" w:fill="auto"/>
          </w:tcPr>
          <w:p w14:paraId="0781C1AE" w14:textId="77777777" w:rsidR="008A5D23" w:rsidRPr="00A831E7" w:rsidRDefault="008A5D23" w:rsidP="00BF2D0F">
            <w:pPr>
              <w:jc w:val="center"/>
              <w:rPr>
                <w:sz w:val="18"/>
                <w:szCs w:val="18"/>
              </w:rPr>
            </w:pPr>
            <w:r w:rsidRPr="00A831E7">
              <w:rPr>
                <w:sz w:val="18"/>
                <w:szCs w:val="18"/>
              </w:rPr>
              <w:t>1.00</w:t>
            </w:r>
          </w:p>
        </w:tc>
        <w:tc>
          <w:tcPr>
            <w:tcW w:w="427" w:type="pct"/>
            <w:tcBorders>
              <w:top w:val="single" w:sz="12" w:space="0" w:color="auto"/>
              <w:bottom w:val="single" w:sz="8" w:space="0" w:color="auto"/>
            </w:tcBorders>
            <w:shd w:val="clear" w:color="auto" w:fill="auto"/>
          </w:tcPr>
          <w:p w14:paraId="17EFF42C" w14:textId="77777777" w:rsidR="008A5D23" w:rsidRPr="00A831E7" w:rsidRDefault="008A5D23" w:rsidP="00BF2D0F">
            <w:pPr>
              <w:jc w:val="center"/>
              <w:rPr>
                <w:sz w:val="18"/>
                <w:szCs w:val="18"/>
              </w:rPr>
            </w:pPr>
            <w:r w:rsidRPr="00A831E7">
              <w:rPr>
                <w:sz w:val="18"/>
                <w:szCs w:val="18"/>
              </w:rPr>
              <w:t>0.43</w:t>
            </w:r>
          </w:p>
        </w:tc>
        <w:tc>
          <w:tcPr>
            <w:tcW w:w="388" w:type="pct"/>
            <w:vMerge w:val="restart"/>
            <w:tcBorders>
              <w:top w:val="single" w:sz="8" w:space="0" w:color="auto"/>
              <w:bottom w:val="single" w:sz="8" w:space="0" w:color="auto"/>
              <w:right w:val="single" w:sz="12" w:space="0" w:color="000000"/>
            </w:tcBorders>
            <w:shd w:val="clear" w:color="auto" w:fill="auto"/>
          </w:tcPr>
          <w:p w14:paraId="5B482BA2" w14:textId="075326DC" w:rsidR="003D1E82" w:rsidRPr="00A831E7" w:rsidRDefault="003D1E82" w:rsidP="00BF2D0F">
            <w:pPr>
              <w:jc w:val="center"/>
              <w:rPr>
                <w:sz w:val="18"/>
                <w:szCs w:val="18"/>
              </w:rPr>
            </w:pPr>
            <w:r w:rsidRPr="00A831E7">
              <w:rPr>
                <w:sz w:val="18"/>
                <w:szCs w:val="18"/>
              </w:rPr>
              <w:t xml:space="preserve">Burr-ello </w:t>
            </w:r>
          </w:p>
          <w:p w14:paraId="0502421C" w14:textId="36AE643C" w:rsidR="003D1E82" w:rsidRPr="00A831E7" w:rsidRDefault="003D1E82" w:rsidP="00BF2D0F">
            <w:pPr>
              <w:jc w:val="center"/>
              <w:rPr>
                <w:sz w:val="18"/>
                <w:szCs w:val="18"/>
              </w:rPr>
            </w:pPr>
            <w:r w:rsidRPr="00A831E7">
              <w:rPr>
                <w:sz w:val="18"/>
                <w:szCs w:val="18"/>
              </w:rPr>
              <w:t>et al.</w:t>
            </w:r>
          </w:p>
          <w:p w14:paraId="6B770C28" w14:textId="778CB5D4" w:rsidR="008A5D23" w:rsidRPr="00730D74" w:rsidRDefault="003D1E82" w:rsidP="00BF2D0F">
            <w:pPr>
              <w:jc w:val="center"/>
              <w:rPr>
                <w:sz w:val="18"/>
                <w:szCs w:val="18"/>
                <w:lang w:val="en-US"/>
              </w:rPr>
            </w:pPr>
            <w:r w:rsidRPr="00A831E7">
              <w:rPr>
                <w:sz w:val="18"/>
                <w:szCs w:val="18"/>
              </w:rPr>
              <w:fldChar w:fldCharType="begin"/>
            </w:r>
            <w:r w:rsidR="00B61252">
              <w:rPr>
                <w:sz w:val="18"/>
                <w:szCs w:val="18"/>
              </w:rPr>
              <w:instrText xml:space="preserve"> ADDIN ZOTERO_ITEM CSL_CITATION {"citationID":"u6JxqXON","properties":{"formattedCitation":"[115]","plainCitation":"[115]","noteIndex":0},"citationItems":[{"id":1049,"uris":["http://zotero.org/users/local/mfHf28QG/items/79BQDRY6"],"itemData":{"id":1049,"type":"article-journal","abstract":"Background and Purpose:Extracellular vesicles (EVs) are promising biomarkers for cerebral ischemic diseases, but not systematically tested in patients with transient ischemic attacks (TIAs). We aimed at (1) investigating the profile of EV-surface antigens in patients with symptoms suspicious for TIA; (2) developing and validating a predictive model for TIA diagnosis based on a specific EV-surface antigen profile.Methods:We analyzed 40 subjects with symptoms suspicious for TIA and 20 healthy controls from a training cohort. An independent cohort of 28 subjects served as external validation. Patients were stratified according to likelihood of having a real ischemic event using the Precise Diagnostic Score, defined as: unlikely (score 0–1), possible-probable (score 2–3), or very likely (score 4–8). Serum vesicles were quantified by nanoparticle tracking analysis and EV-surface antigen profile characterized by multiplex flow cytometry.Results:EV concentration increased in patients with very likely or possible-probable TIA (P&lt;0.05) compared with controls. Nanoparticle concentration was directly correlated with the Precise Diagnostic score (R=0.712; P&lt;0.001). After EV immuno-capturing, CD8, CD2, CD62P, melanoma-associated chondroitin sulfate proteoglycan, CD42a, CD44, CD326, CD142, CD31, and CD14 were identified as discriminants between groups. Receiver operating characteristic curve analysis confirmed a reliable diagnostic performance for each of these markers taken individually and for a compound marker derived from their linear combinations (area under the curve, 0.851). Finally, a random forest model combining the expression levels of selected markers achieved an accuracy of 96% and 78.9% for discriminating patients with a very likely TIA, in the training and external validation cohort, respectively.Conclusions:The EV-surface antigen profile appears to be different in patients with transient symptoms adjudicated to be very likely caused by brain ischemia compared with patients whose symptoms were less likely to due to brain ischemia. We propose an algorithm based on an EV-surface-antigen specific signature that might aid in the recognition of TIA.","container-title":"Stroke","DOI":"10.1161/STROKEAHA.120.033170","issue":"10","note":"publisher: American Heart Association","page":"3335-3347","source":"ahajournals.org (Atypon)","title":"Extracellular Vesicle Surface Markers as a Diagnostic Tool in Transient Ischemic Attacks","volume":"52","author":[{"family":"Burrello","given":"Jacopo"},{"family":"Bianco","given":"Giovanni"},{"family":"Burrello","given":"Alessio"},{"family":"Manno","given":"Concetta"},{"family":"Maulucci","given":"Francesco"},{"family":"Pileggi","given":"Marco"},{"family":"Nannoni","given":"Stefania"},{"family":"Michel","given":"Patrik"},{"family":"Bolis","given":"Sara"},{"family":"Melli","given":"Giorgia"},{"family":"Vassalli","given":"Giuseppe"},{"family":"Albers","given":"Gregory W."},{"family":"Cianfoni","given":"Alessandro"},{"family":"Barile","given":"Lucio"},{"family":"Cereda","given":"Carlo W."}],"issued":{"date-parts":[["2021",10]]}}}],"schema":"https://github.com/citation-style-language/schema/raw/master/csl-citation.json"} </w:instrText>
            </w:r>
            <w:r w:rsidRPr="00A831E7">
              <w:rPr>
                <w:sz w:val="18"/>
                <w:szCs w:val="18"/>
              </w:rPr>
              <w:fldChar w:fldCharType="separate"/>
            </w:r>
            <w:r w:rsidR="00B61252" w:rsidRPr="00B61252">
              <w:rPr>
                <w:sz w:val="18"/>
              </w:rPr>
              <w:t>[115]</w:t>
            </w:r>
            <w:r w:rsidRPr="00A831E7">
              <w:rPr>
                <w:sz w:val="18"/>
                <w:szCs w:val="18"/>
              </w:rPr>
              <w:fldChar w:fldCharType="end"/>
            </w:r>
          </w:p>
        </w:tc>
      </w:tr>
      <w:tr w:rsidR="008A5D23" w:rsidRPr="00D17951" w14:paraId="03DE0666" w14:textId="77777777" w:rsidTr="00DC2467">
        <w:trPr>
          <w:trHeight w:val="267"/>
        </w:trPr>
        <w:tc>
          <w:tcPr>
            <w:tcW w:w="677" w:type="pct"/>
            <w:vMerge/>
            <w:tcBorders>
              <w:left w:val="single" w:sz="12" w:space="0" w:color="auto"/>
              <w:bottom w:val="single" w:sz="12" w:space="0" w:color="000000"/>
            </w:tcBorders>
            <w:shd w:val="clear" w:color="auto" w:fill="auto"/>
          </w:tcPr>
          <w:p w14:paraId="77631AB8" w14:textId="77777777" w:rsidR="008A5D23" w:rsidRPr="00730D74" w:rsidRDefault="008A5D23" w:rsidP="00BF2D0F">
            <w:pPr>
              <w:jc w:val="center"/>
              <w:rPr>
                <w:sz w:val="18"/>
                <w:szCs w:val="18"/>
                <w:lang w:val="en-US"/>
              </w:rPr>
            </w:pPr>
          </w:p>
        </w:tc>
        <w:tc>
          <w:tcPr>
            <w:tcW w:w="855" w:type="pct"/>
            <w:vMerge/>
            <w:tcBorders>
              <w:bottom w:val="single" w:sz="12" w:space="0" w:color="000000"/>
            </w:tcBorders>
            <w:shd w:val="clear" w:color="auto" w:fill="auto"/>
          </w:tcPr>
          <w:p w14:paraId="3004F670" w14:textId="77777777" w:rsidR="008A5D23" w:rsidRPr="00730D74" w:rsidRDefault="008A5D23" w:rsidP="00BF2D0F">
            <w:pPr>
              <w:jc w:val="center"/>
              <w:rPr>
                <w:sz w:val="16"/>
                <w:szCs w:val="16"/>
                <w:lang w:val="en-US"/>
              </w:rPr>
            </w:pPr>
          </w:p>
        </w:tc>
        <w:tc>
          <w:tcPr>
            <w:tcW w:w="598" w:type="pct"/>
            <w:vMerge/>
            <w:tcBorders>
              <w:top w:val="single" w:sz="8" w:space="0" w:color="auto"/>
              <w:bottom w:val="single" w:sz="12" w:space="0" w:color="000000"/>
            </w:tcBorders>
            <w:shd w:val="clear" w:color="auto" w:fill="auto"/>
          </w:tcPr>
          <w:p w14:paraId="496EE840" w14:textId="77777777" w:rsidR="008A5D23" w:rsidRPr="00730D74" w:rsidRDefault="008A5D23" w:rsidP="00BF2D0F">
            <w:pPr>
              <w:jc w:val="center"/>
              <w:rPr>
                <w:sz w:val="18"/>
                <w:szCs w:val="18"/>
                <w:lang w:val="en-US"/>
              </w:rPr>
            </w:pPr>
          </w:p>
        </w:tc>
        <w:tc>
          <w:tcPr>
            <w:tcW w:w="685" w:type="pct"/>
            <w:vMerge/>
            <w:tcBorders>
              <w:top w:val="single" w:sz="8" w:space="0" w:color="auto"/>
              <w:bottom w:val="single" w:sz="12" w:space="0" w:color="000000"/>
            </w:tcBorders>
            <w:shd w:val="clear" w:color="auto" w:fill="auto"/>
          </w:tcPr>
          <w:p w14:paraId="3ED0B69E" w14:textId="77777777" w:rsidR="008A5D23" w:rsidRPr="00730D74" w:rsidRDefault="008A5D23" w:rsidP="00BF2D0F">
            <w:pPr>
              <w:jc w:val="center"/>
              <w:rPr>
                <w:sz w:val="18"/>
                <w:szCs w:val="18"/>
                <w:lang w:val="en-US"/>
              </w:rPr>
            </w:pPr>
          </w:p>
        </w:tc>
        <w:tc>
          <w:tcPr>
            <w:tcW w:w="514" w:type="pct"/>
            <w:tcBorders>
              <w:top w:val="single" w:sz="8" w:space="0" w:color="auto"/>
              <w:bottom w:val="single" w:sz="12" w:space="0" w:color="000000"/>
            </w:tcBorders>
            <w:shd w:val="clear" w:color="auto" w:fill="auto"/>
          </w:tcPr>
          <w:p w14:paraId="67FA9D4B" w14:textId="77777777" w:rsidR="008A5D23" w:rsidRPr="00730D74" w:rsidRDefault="008A5D23" w:rsidP="00BF2D0F">
            <w:pPr>
              <w:jc w:val="center"/>
              <w:rPr>
                <w:sz w:val="18"/>
                <w:szCs w:val="18"/>
                <w:lang w:val="en-US"/>
              </w:rPr>
            </w:pPr>
            <w:r w:rsidRPr="00730D74">
              <w:rPr>
                <w:sz w:val="18"/>
                <w:szCs w:val="18"/>
                <w:lang w:val="en-US"/>
              </w:rPr>
              <w:t>NonTIA-TIA</w:t>
            </w:r>
            <w:r w:rsidRPr="00730D74">
              <w:rPr>
                <w:sz w:val="18"/>
                <w:szCs w:val="18"/>
                <w:lang w:val="en-US"/>
              </w:rPr>
              <w:br/>
              <w:t>(very likely)</w:t>
            </w:r>
          </w:p>
        </w:tc>
        <w:tc>
          <w:tcPr>
            <w:tcW w:w="427" w:type="pct"/>
            <w:tcBorders>
              <w:top w:val="single" w:sz="8" w:space="0" w:color="auto"/>
              <w:bottom w:val="single" w:sz="12" w:space="0" w:color="000000"/>
            </w:tcBorders>
            <w:shd w:val="clear" w:color="auto" w:fill="auto"/>
          </w:tcPr>
          <w:p w14:paraId="38009445" w14:textId="574FD03E" w:rsidR="00421282" w:rsidRDefault="00421282" w:rsidP="00BF2D0F">
            <w:pPr>
              <w:jc w:val="center"/>
              <w:rPr>
                <w:sz w:val="18"/>
                <w:szCs w:val="18"/>
                <w:lang w:val="en-US"/>
              </w:rPr>
            </w:pPr>
            <w:r>
              <w:rPr>
                <w:sz w:val="18"/>
                <w:szCs w:val="18"/>
                <w:lang w:val="en-US"/>
              </w:rPr>
              <w:t>Acc.</w:t>
            </w:r>
          </w:p>
          <w:p w14:paraId="1471348B" w14:textId="4ABC61CB" w:rsidR="008A5D23" w:rsidRPr="00730D74" w:rsidRDefault="008A5D23" w:rsidP="00BF2D0F">
            <w:pPr>
              <w:jc w:val="center"/>
              <w:rPr>
                <w:sz w:val="18"/>
                <w:szCs w:val="18"/>
                <w:lang w:val="en-US"/>
              </w:rPr>
            </w:pPr>
            <w:r w:rsidRPr="00730D74">
              <w:rPr>
                <w:sz w:val="18"/>
                <w:szCs w:val="18"/>
                <w:lang w:val="en-US"/>
              </w:rPr>
              <w:t>0.79</w:t>
            </w:r>
          </w:p>
        </w:tc>
        <w:tc>
          <w:tcPr>
            <w:tcW w:w="429" w:type="pct"/>
            <w:tcBorders>
              <w:top w:val="single" w:sz="8" w:space="0" w:color="auto"/>
              <w:bottom w:val="single" w:sz="12" w:space="0" w:color="000000"/>
            </w:tcBorders>
            <w:shd w:val="clear" w:color="auto" w:fill="auto"/>
          </w:tcPr>
          <w:p w14:paraId="55F97A5B" w14:textId="77777777" w:rsidR="008A5D23" w:rsidRPr="00730D74" w:rsidRDefault="008A5D23" w:rsidP="00BF2D0F">
            <w:pPr>
              <w:jc w:val="center"/>
              <w:rPr>
                <w:sz w:val="18"/>
                <w:szCs w:val="18"/>
                <w:lang w:val="en-US"/>
              </w:rPr>
            </w:pPr>
            <w:r w:rsidRPr="00730D74">
              <w:rPr>
                <w:sz w:val="18"/>
                <w:szCs w:val="18"/>
                <w:lang w:val="en-US"/>
              </w:rPr>
              <w:t>0.92</w:t>
            </w:r>
          </w:p>
        </w:tc>
        <w:tc>
          <w:tcPr>
            <w:tcW w:w="427" w:type="pct"/>
            <w:tcBorders>
              <w:top w:val="single" w:sz="8" w:space="0" w:color="auto"/>
              <w:bottom w:val="single" w:sz="12" w:space="0" w:color="000000"/>
            </w:tcBorders>
            <w:shd w:val="clear" w:color="auto" w:fill="auto"/>
          </w:tcPr>
          <w:p w14:paraId="5ED7E84C" w14:textId="77777777" w:rsidR="008A5D23" w:rsidRPr="00730D74" w:rsidRDefault="008A5D23" w:rsidP="00BF2D0F">
            <w:pPr>
              <w:jc w:val="center"/>
              <w:rPr>
                <w:sz w:val="18"/>
                <w:szCs w:val="18"/>
                <w:lang w:val="en-US"/>
              </w:rPr>
            </w:pPr>
            <w:r w:rsidRPr="00730D74">
              <w:rPr>
                <w:sz w:val="18"/>
                <w:szCs w:val="18"/>
                <w:lang w:val="en-US"/>
              </w:rPr>
              <w:t>0.57</w:t>
            </w:r>
          </w:p>
        </w:tc>
        <w:tc>
          <w:tcPr>
            <w:tcW w:w="388" w:type="pct"/>
            <w:vMerge/>
            <w:tcBorders>
              <w:top w:val="single" w:sz="8" w:space="0" w:color="auto"/>
              <w:bottom w:val="single" w:sz="12" w:space="0" w:color="000000"/>
              <w:right w:val="single" w:sz="12" w:space="0" w:color="000000"/>
            </w:tcBorders>
            <w:shd w:val="clear" w:color="auto" w:fill="auto"/>
          </w:tcPr>
          <w:p w14:paraId="1BF79363" w14:textId="77777777" w:rsidR="008A5D23" w:rsidRPr="00730D74" w:rsidRDefault="008A5D23" w:rsidP="00BF2D0F">
            <w:pPr>
              <w:jc w:val="center"/>
              <w:rPr>
                <w:sz w:val="18"/>
                <w:szCs w:val="18"/>
                <w:lang w:val="en-US"/>
              </w:rPr>
            </w:pPr>
          </w:p>
        </w:tc>
      </w:tr>
    </w:tbl>
    <w:p w14:paraId="6733C96C" w14:textId="7D539B47" w:rsidR="00DC2467" w:rsidRPr="008F5904" w:rsidRDefault="00DC2467" w:rsidP="00DC2467">
      <w:pPr>
        <w:jc w:val="both"/>
        <w:rPr>
          <w:i/>
          <w:sz w:val="18"/>
        </w:rPr>
      </w:pPr>
      <w:r w:rsidRPr="00730D74">
        <w:rPr>
          <w:i/>
          <w:iCs/>
          <w:sz w:val="18"/>
          <w:szCs w:val="18"/>
          <w:lang w:val="en-US"/>
        </w:rPr>
        <w:t>Normal Control group (NC), large artery atherosclerosis (LAA), cardioembolic stroke (CES), and small artery occlusion (SAO),</w:t>
      </w:r>
      <w:r w:rsidRPr="00730D74">
        <w:rPr>
          <w:sz w:val="20"/>
          <w:szCs w:val="20"/>
          <w:lang w:val="en-US"/>
        </w:rPr>
        <w:t xml:space="preserve"> </w:t>
      </w:r>
      <w:r w:rsidRPr="00730D74">
        <w:rPr>
          <w:i/>
          <w:iCs/>
          <w:sz w:val="18"/>
          <w:szCs w:val="18"/>
          <w:lang w:val="en-US"/>
        </w:rPr>
        <w:t>next-generation sequencing (NGS),</w:t>
      </w:r>
      <w:r w:rsidRPr="00730D74">
        <w:rPr>
          <w:sz w:val="20"/>
          <w:szCs w:val="20"/>
          <w:lang w:val="en-US"/>
        </w:rPr>
        <w:t xml:space="preserve"> </w:t>
      </w:r>
      <w:r w:rsidRPr="00730D74">
        <w:rPr>
          <w:i/>
          <w:iCs/>
          <w:sz w:val="18"/>
          <w:szCs w:val="18"/>
          <w:lang w:val="en-US"/>
        </w:rPr>
        <w:t>differentially expressed miRNAs (DEMs) ,</w:t>
      </w:r>
      <w:r w:rsidRPr="00730D74">
        <w:rPr>
          <w:sz w:val="20"/>
          <w:szCs w:val="20"/>
          <w:lang w:val="en-US"/>
        </w:rPr>
        <w:t xml:space="preserve"> </w:t>
      </w:r>
      <w:r w:rsidRPr="00730D74">
        <w:rPr>
          <w:i/>
          <w:iCs/>
          <w:sz w:val="18"/>
          <w:szCs w:val="18"/>
          <w:lang w:val="en-US"/>
        </w:rPr>
        <w:t xml:space="preserve">spontaneous intraparenchymal </w:t>
      </w:r>
      <w:r w:rsidR="00772FFA" w:rsidRPr="00730D74">
        <w:rPr>
          <w:i/>
          <w:iCs/>
          <w:sz w:val="18"/>
          <w:szCs w:val="18"/>
          <w:lang w:val="en-US"/>
        </w:rPr>
        <w:t>hemorrhage</w:t>
      </w:r>
      <w:r w:rsidRPr="00730D74">
        <w:rPr>
          <w:i/>
          <w:iCs/>
          <w:sz w:val="18"/>
          <w:szCs w:val="18"/>
          <w:lang w:val="en-US"/>
        </w:rPr>
        <w:t xml:space="preserve"> (IPH), aneurysmal subarachnoid </w:t>
      </w:r>
      <w:r w:rsidR="00DB30F9" w:rsidRPr="00730D74">
        <w:rPr>
          <w:i/>
          <w:iCs/>
          <w:sz w:val="18"/>
          <w:szCs w:val="18"/>
          <w:lang w:val="en-US"/>
        </w:rPr>
        <w:t>hemorrhage</w:t>
      </w:r>
      <w:r w:rsidRPr="00730D74">
        <w:rPr>
          <w:i/>
          <w:iCs/>
          <w:sz w:val="18"/>
          <w:szCs w:val="18"/>
          <w:lang w:val="en-US"/>
        </w:rPr>
        <w:t xml:space="preserve"> (SAH) , filtered phosphate buffered saline (PBS),</w:t>
      </w:r>
      <w:r w:rsidRPr="00730D74">
        <w:rPr>
          <w:sz w:val="12"/>
          <w:szCs w:val="12"/>
          <w:lang w:val="en-US"/>
        </w:rPr>
        <w:t xml:space="preserve"> </w:t>
      </w:r>
      <w:r w:rsidRPr="00730D74">
        <w:rPr>
          <w:i/>
          <w:iCs/>
          <w:sz w:val="18"/>
          <w:szCs w:val="18"/>
          <w:lang w:val="en-US"/>
        </w:rPr>
        <w:t>Nanoparticle Tracking Analysis(NTA), quantitative real-time polymerase chain reaction(qRT-PCR)</w:t>
      </w:r>
      <w:r w:rsidR="00421282">
        <w:rPr>
          <w:i/>
          <w:iCs/>
          <w:sz w:val="18"/>
          <w:szCs w:val="18"/>
          <w:lang w:val="en-US"/>
        </w:rPr>
        <w:t>,Acc.: accuracy (when AUC metric is absent)</w:t>
      </w:r>
      <w:r w:rsidR="00EE1AF8" w:rsidRPr="00730D74">
        <w:rPr>
          <w:i/>
          <w:iCs/>
          <w:sz w:val="18"/>
          <w:szCs w:val="18"/>
          <w:lang w:val="en-US"/>
        </w:rPr>
        <w:t>.</w:t>
      </w:r>
    </w:p>
    <w:p w14:paraId="3C39A394" w14:textId="77777777" w:rsidR="00BC3BD1" w:rsidRDefault="00BC3BD1" w:rsidP="00DC5FE5">
      <w:pPr>
        <w:spacing w:line="360" w:lineRule="auto"/>
        <w:jc w:val="both"/>
        <w:rPr>
          <w:rFonts w:eastAsia="Calibri"/>
          <w:lang w:val="en-US"/>
        </w:rPr>
      </w:pPr>
    </w:p>
    <w:p w14:paraId="600B3CE9" w14:textId="77777777" w:rsidR="002F0951" w:rsidRDefault="002F0951" w:rsidP="00DC5FE5">
      <w:pPr>
        <w:spacing w:line="360" w:lineRule="auto"/>
        <w:jc w:val="both"/>
        <w:rPr>
          <w:rFonts w:eastAsia="Calibri"/>
          <w:lang w:val="en-US"/>
        </w:rPr>
      </w:pPr>
    </w:p>
    <w:p w14:paraId="79DE4EB9" w14:textId="77777777" w:rsidR="005565BC" w:rsidRDefault="005565BC" w:rsidP="00DC5FE5">
      <w:pPr>
        <w:spacing w:line="360" w:lineRule="auto"/>
        <w:jc w:val="both"/>
        <w:rPr>
          <w:rFonts w:eastAsia="Calibri"/>
          <w:lang w:val="en-US"/>
        </w:rPr>
      </w:pPr>
    </w:p>
    <w:p w14:paraId="05F1FBB9" w14:textId="77777777" w:rsidR="005565BC" w:rsidRDefault="005565BC" w:rsidP="00DC5FE5">
      <w:pPr>
        <w:spacing w:line="360" w:lineRule="auto"/>
        <w:jc w:val="both"/>
        <w:rPr>
          <w:rFonts w:eastAsia="Calibri"/>
          <w:lang w:val="en-US"/>
        </w:rPr>
      </w:pPr>
    </w:p>
    <w:p w14:paraId="65AC2E9F" w14:textId="77777777" w:rsidR="005565BC" w:rsidRDefault="005565BC" w:rsidP="00DC5FE5">
      <w:pPr>
        <w:spacing w:line="360" w:lineRule="auto"/>
        <w:jc w:val="both"/>
        <w:rPr>
          <w:rFonts w:eastAsia="Calibri"/>
          <w:lang w:val="en-US"/>
        </w:rPr>
      </w:pPr>
    </w:p>
    <w:p w14:paraId="00B3B281" w14:textId="77777777" w:rsidR="00115381" w:rsidRDefault="00115381" w:rsidP="00DC5FE5">
      <w:pPr>
        <w:spacing w:line="360" w:lineRule="auto"/>
        <w:jc w:val="both"/>
        <w:rPr>
          <w:rFonts w:eastAsia="Calibri"/>
          <w:lang w:val="en-US"/>
        </w:rPr>
      </w:pPr>
    </w:p>
    <w:p w14:paraId="4376BC00" w14:textId="77777777" w:rsidR="005B1815" w:rsidRPr="00A831E7" w:rsidRDefault="005B1815" w:rsidP="005B1815">
      <w:pPr>
        <w:pStyle w:val="af5"/>
        <w:spacing w:line="360" w:lineRule="auto"/>
        <w:jc w:val="center"/>
        <w:rPr>
          <w:rFonts w:eastAsia="Calibri"/>
          <w:b/>
          <w:bCs/>
          <w:color w:val="auto"/>
          <w:sz w:val="20"/>
          <w:szCs w:val="20"/>
        </w:rPr>
      </w:pPr>
      <w:bookmarkStart w:id="153" w:name="_Toc199787756"/>
      <w:r w:rsidRPr="00A831E7">
        <w:rPr>
          <w:b/>
          <w:bCs/>
          <w:color w:val="auto"/>
          <w:sz w:val="20"/>
          <w:szCs w:val="20"/>
        </w:rPr>
        <w:t xml:space="preserve">Πίνακας </w:t>
      </w:r>
      <w:r w:rsidRPr="00A831E7">
        <w:rPr>
          <w:b/>
          <w:bCs/>
          <w:color w:val="auto"/>
          <w:sz w:val="20"/>
          <w:szCs w:val="20"/>
        </w:rPr>
        <w:fldChar w:fldCharType="begin"/>
      </w:r>
      <w:r w:rsidRPr="00A831E7">
        <w:rPr>
          <w:b/>
          <w:bCs/>
          <w:color w:val="auto"/>
          <w:sz w:val="20"/>
          <w:szCs w:val="20"/>
        </w:rPr>
        <w:instrText xml:space="preserve"> SEQ Πίνακας \* ARABIC </w:instrText>
      </w:r>
      <w:r w:rsidRPr="00A831E7">
        <w:rPr>
          <w:b/>
          <w:bCs/>
          <w:color w:val="auto"/>
          <w:sz w:val="20"/>
          <w:szCs w:val="20"/>
        </w:rPr>
        <w:fldChar w:fldCharType="separate"/>
      </w:r>
      <w:r w:rsidRPr="00A831E7">
        <w:rPr>
          <w:b/>
          <w:bCs/>
          <w:color w:val="auto"/>
          <w:sz w:val="20"/>
          <w:szCs w:val="20"/>
        </w:rPr>
        <w:t>21</w:t>
      </w:r>
      <w:r w:rsidRPr="00A831E7">
        <w:rPr>
          <w:b/>
          <w:bCs/>
          <w:color w:val="auto"/>
          <w:sz w:val="20"/>
          <w:szCs w:val="20"/>
        </w:rPr>
        <w:fldChar w:fldCharType="end"/>
      </w:r>
      <w:r w:rsidRPr="00A831E7">
        <w:rPr>
          <w:b/>
          <w:bCs/>
          <w:color w:val="auto"/>
          <w:sz w:val="20"/>
          <w:szCs w:val="20"/>
        </w:rPr>
        <w:t>: Έρευνες με miRNA διπλής προέλευσης (αίμα και EVs)</w:t>
      </w:r>
      <w:bookmarkEnd w:id="153"/>
    </w:p>
    <w:tbl>
      <w:tblPr>
        <w:tblStyle w:val="af0"/>
        <w:tblW w:w="5000" w:type="pct"/>
        <w:tblLayout w:type="fixed"/>
        <w:tblLook w:val="04A0" w:firstRow="1" w:lastRow="0" w:firstColumn="1" w:lastColumn="0" w:noHBand="0" w:noVBand="1"/>
      </w:tblPr>
      <w:tblGrid>
        <w:gridCol w:w="1263"/>
        <w:gridCol w:w="1275"/>
        <w:gridCol w:w="992"/>
        <w:gridCol w:w="992"/>
        <w:gridCol w:w="992"/>
        <w:gridCol w:w="707"/>
        <w:gridCol w:w="711"/>
        <w:gridCol w:w="707"/>
        <w:gridCol w:w="643"/>
      </w:tblGrid>
      <w:tr w:rsidR="005B1815" w:rsidRPr="00A831E7" w14:paraId="47C87DB5" w14:textId="77777777" w:rsidTr="00A910C3">
        <w:trPr>
          <w:trHeight w:val="663"/>
          <w:tblHeader/>
        </w:trPr>
        <w:tc>
          <w:tcPr>
            <w:tcW w:w="762" w:type="pct"/>
            <w:tcBorders>
              <w:top w:val="single" w:sz="12" w:space="0" w:color="auto"/>
              <w:left w:val="single" w:sz="12" w:space="0" w:color="auto"/>
              <w:bottom w:val="single" w:sz="12" w:space="0" w:color="auto"/>
            </w:tcBorders>
            <w:shd w:val="clear" w:color="auto" w:fill="D9D9D9" w:themeFill="background1" w:themeFillShade="D9"/>
          </w:tcPr>
          <w:p w14:paraId="3D1715CE" w14:textId="77777777" w:rsidR="005B1815" w:rsidRPr="00A831E7" w:rsidRDefault="005B1815" w:rsidP="00D276E6">
            <w:pPr>
              <w:jc w:val="center"/>
              <w:rPr>
                <w:b/>
                <w:bCs/>
                <w:i/>
                <w:iCs/>
                <w:sz w:val="20"/>
                <w:szCs w:val="20"/>
              </w:rPr>
            </w:pPr>
            <w:bookmarkStart w:id="154" w:name="_Hlk199093637"/>
            <w:r w:rsidRPr="00A831E7">
              <w:rPr>
                <w:b/>
                <w:bCs/>
                <w:i/>
                <w:iCs/>
                <w:sz w:val="20"/>
                <w:szCs w:val="20"/>
              </w:rPr>
              <w:t>Biomarkers</w:t>
            </w:r>
          </w:p>
          <w:p w14:paraId="39AC5674" w14:textId="77777777" w:rsidR="005B1815" w:rsidRPr="00A831E7" w:rsidRDefault="005B1815" w:rsidP="00D276E6">
            <w:pPr>
              <w:jc w:val="center"/>
              <w:rPr>
                <w:b/>
                <w:bCs/>
                <w:i/>
                <w:iCs/>
                <w:sz w:val="20"/>
                <w:szCs w:val="20"/>
              </w:rPr>
            </w:pPr>
            <w:r w:rsidRPr="00A831E7">
              <w:rPr>
                <w:b/>
                <w:bCs/>
                <w:i/>
                <w:iCs/>
                <w:sz w:val="20"/>
                <w:szCs w:val="20"/>
              </w:rPr>
              <w:t>&amp; EVs</w:t>
            </w:r>
          </w:p>
        </w:tc>
        <w:tc>
          <w:tcPr>
            <w:tcW w:w="769" w:type="pct"/>
            <w:tcBorders>
              <w:top w:val="single" w:sz="12" w:space="0" w:color="auto"/>
              <w:bottom w:val="single" w:sz="12" w:space="0" w:color="auto"/>
            </w:tcBorders>
            <w:shd w:val="clear" w:color="auto" w:fill="D9D9D9" w:themeFill="background1" w:themeFillShade="D9"/>
          </w:tcPr>
          <w:p w14:paraId="237D7915" w14:textId="77777777" w:rsidR="005B1815" w:rsidRPr="00A831E7" w:rsidRDefault="005B1815" w:rsidP="00D276E6">
            <w:pPr>
              <w:jc w:val="center"/>
              <w:rPr>
                <w:b/>
                <w:bCs/>
                <w:i/>
                <w:iCs/>
                <w:sz w:val="20"/>
                <w:szCs w:val="20"/>
              </w:rPr>
            </w:pPr>
            <w:r w:rsidRPr="00A831E7">
              <w:rPr>
                <w:b/>
                <w:bCs/>
                <w:i/>
                <w:iCs/>
                <w:sz w:val="20"/>
                <w:szCs w:val="20"/>
              </w:rPr>
              <w:t>Biomarker &amp; EV function</w:t>
            </w:r>
          </w:p>
        </w:tc>
        <w:tc>
          <w:tcPr>
            <w:tcW w:w="599" w:type="pct"/>
            <w:tcBorders>
              <w:top w:val="single" w:sz="12" w:space="0" w:color="auto"/>
              <w:bottom w:val="single" w:sz="12" w:space="0" w:color="auto"/>
            </w:tcBorders>
            <w:shd w:val="clear" w:color="auto" w:fill="D9D9D9" w:themeFill="background1" w:themeFillShade="D9"/>
          </w:tcPr>
          <w:p w14:paraId="1F9AE569" w14:textId="77777777" w:rsidR="005B1815" w:rsidRPr="00A831E7" w:rsidRDefault="005B1815" w:rsidP="00D276E6">
            <w:pPr>
              <w:jc w:val="center"/>
              <w:rPr>
                <w:b/>
                <w:bCs/>
                <w:i/>
                <w:iCs/>
                <w:sz w:val="20"/>
                <w:szCs w:val="20"/>
              </w:rPr>
            </w:pPr>
            <w:r w:rsidRPr="00A831E7">
              <w:rPr>
                <w:b/>
                <w:bCs/>
                <w:i/>
                <w:iCs/>
                <w:sz w:val="20"/>
                <w:szCs w:val="20"/>
              </w:rPr>
              <w:t>Ts,</w:t>
            </w:r>
            <w:r w:rsidRPr="00A831E7">
              <w:rPr>
                <w:b/>
                <w:bCs/>
                <w:i/>
                <w:iCs/>
                <w:sz w:val="20"/>
                <w:szCs w:val="20"/>
              </w:rPr>
              <w:br/>
            </w:r>
            <w:r w:rsidRPr="00A831E7">
              <w:rPr>
                <w:b/>
                <w:bCs/>
                <w:i/>
                <w:iCs/>
                <w:sz w:val="18"/>
                <w:szCs w:val="18"/>
              </w:rPr>
              <w:t>Source</w:t>
            </w:r>
          </w:p>
        </w:tc>
        <w:tc>
          <w:tcPr>
            <w:tcW w:w="599" w:type="pct"/>
            <w:tcBorders>
              <w:top w:val="single" w:sz="12" w:space="0" w:color="auto"/>
              <w:bottom w:val="single" w:sz="12" w:space="0" w:color="auto"/>
            </w:tcBorders>
            <w:shd w:val="clear" w:color="auto" w:fill="D9D9D9" w:themeFill="background1" w:themeFillShade="D9"/>
          </w:tcPr>
          <w:p w14:paraId="145FAB43" w14:textId="77777777" w:rsidR="005B1815" w:rsidRPr="00A831E7" w:rsidRDefault="005B1815" w:rsidP="00D276E6">
            <w:pPr>
              <w:jc w:val="center"/>
              <w:rPr>
                <w:b/>
                <w:bCs/>
                <w:i/>
                <w:iCs/>
                <w:sz w:val="20"/>
                <w:szCs w:val="20"/>
              </w:rPr>
            </w:pPr>
            <w:r w:rsidRPr="00A831E7">
              <w:rPr>
                <w:b/>
                <w:bCs/>
                <w:i/>
                <w:iCs/>
                <w:sz w:val="20"/>
                <w:szCs w:val="20"/>
              </w:rPr>
              <w:t>Method &amp;</w:t>
            </w:r>
            <w:r w:rsidRPr="00A831E7">
              <w:rPr>
                <w:b/>
                <w:bCs/>
                <w:i/>
                <w:iCs/>
                <w:sz w:val="20"/>
                <w:szCs w:val="20"/>
              </w:rPr>
              <w:br/>
              <w:t>ML</w:t>
            </w:r>
          </w:p>
        </w:tc>
        <w:tc>
          <w:tcPr>
            <w:tcW w:w="599" w:type="pct"/>
            <w:tcBorders>
              <w:top w:val="single" w:sz="12" w:space="0" w:color="auto"/>
              <w:bottom w:val="single" w:sz="12" w:space="0" w:color="auto"/>
            </w:tcBorders>
            <w:shd w:val="clear" w:color="auto" w:fill="D9D9D9" w:themeFill="background1" w:themeFillShade="D9"/>
          </w:tcPr>
          <w:p w14:paraId="3539F312" w14:textId="77777777" w:rsidR="005B1815" w:rsidRPr="00A831E7" w:rsidRDefault="005B1815" w:rsidP="00D276E6">
            <w:pPr>
              <w:jc w:val="center"/>
              <w:rPr>
                <w:b/>
                <w:bCs/>
                <w:i/>
                <w:iCs/>
                <w:sz w:val="20"/>
                <w:szCs w:val="20"/>
              </w:rPr>
            </w:pPr>
            <w:r w:rsidRPr="00A831E7">
              <w:rPr>
                <w:b/>
                <w:bCs/>
                <w:i/>
                <w:iCs/>
                <w:sz w:val="20"/>
                <w:szCs w:val="20"/>
              </w:rPr>
              <w:t>Stroke type</w:t>
            </w:r>
          </w:p>
        </w:tc>
        <w:tc>
          <w:tcPr>
            <w:tcW w:w="427" w:type="pct"/>
            <w:tcBorders>
              <w:top w:val="single" w:sz="12" w:space="0" w:color="auto"/>
              <w:bottom w:val="single" w:sz="12" w:space="0" w:color="auto"/>
            </w:tcBorders>
            <w:shd w:val="clear" w:color="auto" w:fill="D9D9D9" w:themeFill="background1" w:themeFillShade="D9"/>
          </w:tcPr>
          <w:p w14:paraId="0B2EC931" w14:textId="77777777" w:rsidR="005B1815" w:rsidRPr="00A831E7" w:rsidRDefault="005B1815" w:rsidP="00D276E6">
            <w:pPr>
              <w:jc w:val="center"/>
              <w:rPr>
                <w:b/>
                <w:bCs/>
                <w:i/>
                <w:iCs/>
                <w:sz w:val="20"/>
                <w:szCs w:val="20"/>
              </w:rPr>
            </w:pPr>
            <w:r w:rsidRPr="00A831E7">
              <w:rPr>
                <w:b/>
                <w:bCs/>
                <w:i/>
                <w:iCs/>
                <w:sz w:val="20"/>
                <w:szCs w:val="20"/>
              </w:rPr>
              <w:t>AUC</w:t>
            </w:r>
          </w:p>
        </w:tc>
        <w:tc>
          <w:tcPr>
            <w:tcW w:w="429" w:type="pct"/>
            <w:tcBorders>
              <w:top w:val="single" w:sz="12" w:space="0" w:color="auto"/>
              <w:bottom w:val="single" w:sz="12" w:space="0" w:color="auto"/>
            </w:tcBorders>
            <w:shd w:val="clear" w:color="auto" w:fill="D9D9D9" w:themeFill="background1" w:themeFillShade="D9"/>
          </w:tcPr>
          <w:p w14:paraId="1CE91380" w14:textId="77777777" w:rsidR="005B1815" w:rsidRPr="00A831E7" w:rsidRDefault="005B1815" w:rsidP="00D276E6">
            <w:pPr>
              <w:jc w:val="center"/>
              <w:rPr>
                <w:b/>
                <w:bCs/>
                <w:i/>
                <w:iCs/>
                <w:sz w:val="20"/>
                <w:szCs w:val="20"/>
              </w:rPr>
            </w:pPr>
            <w:r w:rsidRPr="00A831E7">
              <w:rPr>
                <w:b/>
                <w:bCs/>
                <w:i/>
                <w:iCs/>
                <w:sz w:val="20"/>
                <w:szCs w:val="20"/>
              </w:rPr>
              <w:t>Sensitivity</w:t>
            </w:r>
          </w:p>
        </w:tc>
        <w:tc>
          <w:tcPr>
            <w:tcW w:w="427" w:type="pct"/>
            <w:tcBorders>
              <w:top w:val="single" w:sz="12" w:space="0" w:color="auto"/>
              <w:bottom w:val="single" w:sz="12" w:space="0" w:color="auto"/>
            </w:tcBorders>
            <w:shd w:val="clear" w:color="auto" w:fill="D9D9D9" w:themeFill="background1" w:themeFillShade="D9"/>
          </w:tcPr>
          <w:p w14:paraId="349DDFE8" w14:textId="77777777" w:rsidR="005B1815" w:rsidRPr="00A831E7" w:rsidRDefault="005B1815" w:rsidP="00D276E6">
            <w:pPr>
              <w:jc w:val="center"/>
              <w:rPr>
                <w:b/>
                <w:bCs/>
                <w:i/>
                <w:iCs/>
                <w:sz w:val="20"/>
                <w:szCs w:val="20"/>
              </w:rPr>
            </w:pPr>
            <w:r w:rsidRPr="00A831E7">
              <w:rPr>
                <w:b/>
                <w:bCs/>
                <w:i/>
                <w:iCs/>
                <w:sz w:val="20"/>
                <w:szCs w:val="20"/>
              </w:rPr>
              <w:t>Specificity</w:t>
            </w:r>
          </w:p>
        </w:tc>
        <w:tc>
          <w:tcPr>
            <w:tcW w:w="388" w:type="pct"/>
            <w:tcBorders>
              <w:top w:val="single" w:sz="12" w:space="0" w:color="auto"/>
              <w:bottom w:val="single" w:sz="12" w:space="0" w:color="auto"/>
              <w:right w:val="single" w:sz="12" w:space="0" w:color="000000"/>
            </w:tcBorders>
            <w:shd w:val="clear" w:color="auto" w:fill="D9D9D9" w:themeFill="background1" w:themeFillShade="D9"/>
          </w:tcPr>
          <w:p w14:paraId="27A388EC" w14:textId="77777777" w:rsidR="005B1815" w:rsidRPr="00A831E7" w:rsidRDefault="005B1815" w:rsidP="00D276E6">
            <w:pPr>
              <w:jc w:val="center"/>
              <w:rPr>
                <w:b/>
                <w:bCs/>
                <w:i/>
                <w:iCs/>
                <w:sz w:val="20"/>
                <w:szCs w:val="20"/>
              </w:rPr>
            </w:pPr>
            <w:r w:rsidRPr="00A831E7">
              <w:rPr>
                <w:b/>
                <w:bCs/>
                <w:i/>
                <w:iCs/>
                <w:sz w:val="20"/>
                <w:szCs w:val="20"/>
              </w:rPr>
              <w:t>Ref.</w:t>
            </w:r>
          </w:p>
        </w:tc>
      </w:tr>
      <w:tr w:rsidR="005B1815" w:rsidRPr="00A831E7" w14:paraId="5249A915" w14:textId="77777777" w:rsidTr="00A910C3">
        <w:trPr>
          <w:trHeight w:val="60"/>
        </w:trPr>
        <w:tc>
          <w:tcPr>
            <w:tcW w:w="762" w:type="pct"/>
            <w:tcBorders>
              <w:top w:val="single" w:sz="12" w:space="0" w:color="auto"/>
              <w:left w:val="single" w:sz="12" w:space="0" w:color="auto"/>
              <w:bottom w:val="single" w:sz="8" w:space="0" w:color="auto"/>
            </w:tcBorders>
            <w:shd w:val="clear" w:color="auto" w:fill="auto"/>
          </w:tcPr>
          <w:p w14:paraId="718B5687" w14:textId="77777777" w:rsidR="005B1815" w:rsidRPr="00025BB7" w:rsidRDefault="005B1815" w:rsidP="00D276E6">
            <w:pPr>
              <w:jc w:val="center"/>
              <w:rPr>
                <w:sz w:val="18"/>
                <w:szCs w:val="18"/>
                <w:lang w:val="en-US"/>
              </w:rPr>
            </w:pPr>
            <w:r w:rsidRPr="00025BB7">
              <w:rPr>
                <w:sz w:val="18"/>
                <w:szCs w:val="18"/>
                <w:lang w:val="en-US"/>
              </w:rPr>
              <w:t>miR-125a-5p, miR-125b-5p, and miR-143-3p</w:t>
            </w:r>
          </w:p>
        </w:tc>
        <w:tc>
          <w:tcPr>
            <w:tcW w:w="769" w:type="pct"/>
            <w:vMerge w:val="restart"/>
            <w:tcBorders>
              <w:top w:val="single" w:sz="12" w:space="0" w:color="auto"/>
            </w:tcBorders>
            <w:shd w:val="clear" w:color="auto" w:fill="auto"/>
          </w:tcPr>
          <w:p w14:paraId="6E6C00E1" w14:textId="56EF3AB6" w:rsidR="00387775" w:rsidRPr="00387775" w:rsidRDefault="005B1815" w:rsidP="00A910C3">
            <w:pPr>
              <w:jc w:val="center"/>
              <w:rPr>
                <w:i/>
                <w:iCs/>
                <w:sz w:val="18"/>
                <w:szCs w:val="18"/>
              </w:rPr>
            </w:pPr>
            <w:r w:rsidRPr="00730D74">
              <w:rPr>
                <w:i/>
                <w:iCs/>
                <w:sz w:val="18"/>
                <w:szCs w:val="18"/>
                <w:lang w:val="en-US"/>
              </w:rPr>
              <w:t>DE miRNAs (higher concentration in EVs than plasma) and 2 biomarkers</w:t>
            </w:r>
            <w:r w:rsidR="00387775">
              <w:rPr>
                <w:i/>
                <w:iCs/>
                <w:sz w:val="18"/>
                <w:szCs w:val="18"/>
              </w:rPr>
              <w:t>.</w:t>
            </w:r>
            <w:r w:rsidR="00387775" w:rsidRPr="00A831E7">
              <w:rPr>
                <w:i/>
                <w:iCs/>
                <w:sz w:val="18"/>
                <w:szCs w:val="18"/>
              </w:rPr>
              <w:t xml:space="preserve"> Upregulated during AIS.</w:t>
            </w:r>
          </w:p>
          <w:p w14:paraId="098367B7" w14:textId="42139D03" w:rsidR="005B1815" w:rsidRPr="00A831E7" w:rsidRDefault="005B1815" w:rsidP="00A910C3">
            <w:pPr>
              <w:jc w:val="center"/>
              <w:rPr>
                <w:i/>
                <w:iCs/>
                <w:sz w:val="18"/>
                <w:szCs w:val="18"/>
              </w:rPr>
            </w:pPr>
            <w:r w:rsidRPr="00730D74">
              <w:rPr>
                <w:i/>
                <w:iCs/>
                <w:sz w:val="18"/>
                <w:szCs w:val="18"/>
                <w:lang w:val="en-US"/>
              </w:rPr>
              <w:t>.</w:t>
            </w:r>
            <w:r w:rsidRPr="00730D74">
              <w:rPr>
                <w:i/>
                <w:iCs/>
                <w:sz w:val="18"/>
                <w:szCs w:val="18"/>
                <w:lang w:val="en-US"/>
              </w:rPr>
              <w:br/>
            </w:r>
            <w:r w:rsidR="00A910C3" w:rsidRPr="00A910C3">
              <w:rPr>
                <w:i/>
                <w:iCs/>
                <w:sz w:val="16"/>
                <w:szCs w:val="16"/>
                <w:lang w:val="en-US"/>
              </w:rPr>
              <w:t>IS=200, NC=100</w:t>
            </w:r>
          </w:p>
        </w:tc>
        <w:tc>
          <w:tcPr>
            <w:tcW w:w="599" w:type="pct"/>
            <w:vMerge w:val="restart"/>
            <w:tcBorders>
              <w:top w:val="single" w:sz="12" w:space="0" w:color="auto"/>
            </w:tcBorders>
            <w:shd w:val="clear" w:color="auto" w:fill="auto"/>
          </w:tcPr>
          <w:p w14:paraId="112E95E6" w14:textId="77777777" w:rsidR="005B1815" w:rsidRPr="00A831E7" w:rsidRDefault="005B1815" w:rsidP="00D276E6">
            <w:pPr>
              <w:jc w:val="center"/>
              <w:rPr>
                <w:sz w:val="20"/>
                <w:szCs w:val="20"/>
              </w:rPr>
            </w:pPr>
            <w:r w:rsidRPr="00A831E7">
              <w:rPr>
                <w:sz w:val="20"/>
                <w:szCs w:val="20"/>
              </w:rPr>
              <w:t>&lt;24h</w:t>
            </w:r>
          </w:p>
          <w:p w14:paraId="433957CB" w14:textId="77777777" w:rsidR="005B1815" w:rsidRPr="00A831E7" w:rsidRDefault="005B1815" w:rsidP="00D276E6">
            <w:pPr>
              <w:jc w:val="center"/>
              <w:rPr>
                <w:sz w:val="20"/>
                <w:szCs w:val="20"/>
              </w:rPr>
            </w:pPr>
            <w:r w:rsidRPr="00A831E7">
              <w:rPr>
                <w:sz w:val="20"/>
                <w:szCs w:val="20"/>
              </w:rPr>
              <w:t>plasma,</w:t>
            </w:r>
            <w:r w:rsidRPr="00A831E7">
              <w:rPr>
                <w:sz w:val="20"/>
                <w:szCs w:val="20"/>
              </w:rPr>
              <w:br/>
              <w:t>serum</w:t>
            </w:r>
          </w:p>
        </w:tc>
        <w:tc>
          <w:tcPr>
            <w:tcW w:w="599" w:type="pct"/>
            <w:vMerge w:val="restart"/>
            <w:tcBorders>
              <w:top w:val="single" w:sz="12" w:space="0" w:color="auto"/>
            </w:tcBorders>
            <w:shd w:val="clear" w:color="auto" w:fill="auto"/>
          </w:tcPr>
          <w:p w14:paraId="09E9EC47" w14:textId="77777777" w:rsidR="005B1815" w:rsidRPr="00A831E7" w:rsidRDefault="005B1815" w:rsidP="00D276E6">
            <w:pPr>
              <w:jc w:val="center"/>
              <w:rPr>
                <w:sz w:val="20"/>
                <w:szCs w:val="20"/>
              </w:rPr>
            </w:pPr>
            <w:r w:rsidRPr="00A831E7">
              <w:rPr>
                <w:sz w:val="20"/>
                <w:szCs w:val="20"/>
              </w:rPr>
              <w:t>RF</w:t>
            </w:r>
            <w:r w:rsidRPr="00A831E7">
              <w:rPr>
                <w:sz w:val="20"/>
                <w:szCs w:val="20"/>
              </w:rPr>
              <w:br/>
            </w:r>
            <w:r w:rsidRPr="00A831E7">
              <w:rPr>
                <w:sz w:val="20"/>
                <w:szCs w:val="20"/>
              </w:rPr>
              <w:br/>
            </w:r>
            <w:r w:rsidRPr="00A831E7">
              <w:rPr>
                <w:sz w:val="18"/>
                <w:szCs w:val="18"/>
              </w:rPr>
              <w:t xml:space="preserve">qR-PCR </w:t>
            </w:r>
            <w:r w:rsidRPr="00A910C3">
              <w:rPr>
                <w:sz w:val="16"/>
                <w:szCs w:val="16"/>
              </w:rPr>
              <w:t>validation</w:t>
            </w:r>
          </w:p>
        </w:tc>
        <w:tc>
          <w:tcPr>
            <w:tcW w:w="599" w:type="pct"/>
            <w:tcBorders>
              <w:top w:val="single" w:sz="12" w:space="0" w:color="auto"/>
              <w:bottom w:val="single" w:sz="8" w:space="0" w:color="auto"/>
            </w:tcBorders>
            <w:shd w:val="clear" w:color="auto" w:fill="auto"/>
          </w:tcPr>
          <w:p w14:paraId="6E1A17FD" w14:textId="77777777" w:rsidR="005B1815" w:rsidRPr="00A831E7" w:rsidRDefault="005B1815" w:rsidP="00D276E6">
            <w:pPr>
              <w:jc w:val="center"/>
              <w:rPr>
                <w:sz w:val="20"/>
                <w:szCs w:val="20"/>
              </w:rPr>
            </w:pPr>
            <w:r w:rsidRPr="00A831E7">
              <w:rPr>
                <w:sz w:val="20"/>
                <w:szCs w:val="20"/>
              </w:rPr>
              <w:t>IS-NC</w:t>
            </w:r>
          </w:p>
        </w:tc>
        <w:tc>
          <w:tcPr>
            <w:tcW w:w="427" w:type="pct"/>
            <w:tcBorders>
              <w:top w:val="single" w:sz="12" w:space="0" w:color="auto"/>
              <w:bottom w:val="single" w:sz="8" w:space="0" w:color="auto"/>
            </w:tcBorders>
            <w:shd w:val="clear" w:color="auto" w:fill="auto"/>
          </w:tcPr>
          <w:p w14:paraId="7A172796" w14:textId="77777777" w:rsidR="005B1815" w:rsidRPr="00A831E7" w:rsidRDefault="005B1815" w:rsidP="00D276E6">
            <w:pPr>
              <w:jc w:val="center"/>
              <w:rPr>
                <w:sz w:val="20"/>
                <w:szCs w:val="20"/>
              </w:rPr>
            </w:pPr>
            <w:r w:rsidRPr="00A831E7">
              <w:rPr>
                <w:sz w:val="20"/>
                <w:szCs w:val="20"/>
              </w:rPr>
              <w:t>0.90</w:t>
            </w:r>
          </w:p>
        </w:tc>
        <w:tc>
          <w:tcPr>
            <w:tcW w:w="429" w:type="pct"/>
            <w:tcBorders>
              <w:top w:val="single" w:sz="12" w:space="0" w:color="auto"/>
              <w:bottom w:val="single" w:sz="8" w:space="0" w:color="auto"/>
            </w:tcBorders>
            <w:shd w:val="clear" w:color="auto" w:fill="auto"/>
          </w:tcPr>
          <w:p w14:paraId="6556AE3C" w14:textId="77777777" w:rsidR="005B1815" w:rsidRPr="00A831E7" w:rsidRDefault="005B1815" w:rsidP="00D276E6">
            <w:pPr>
              <w:jc w:val="center"/>
              <w:rPr>
                <w:sz w:val="20"/>
                <w:szCs w:val="20"/>
              </w:rPr>
            </w:pPr>
            <w:r w:rsidRPr="00A831E7">
              <w:rPr>
                <w:sz w:val="20"/>
                <w:szCs w:val="20"/>
              </w:rPr>
              <w:t>0.85</w:t>
            </w:r>
          </w:p>
        </w:tc>
        <w:tc>
          <w:tcPr>
            <w:tcW w:w="427" w:type="pct"/>
            <w:tcBorders>
              <w:top w:val="single" w:sz="12" w:space="0" w:color="auto"/>
              <w:bottom w:val="single" w:sz="8" w:space="0" w:color="auto"/>
            </w:tcBorders>
            <w:shd w:val="clear" w:color="auto" w:fill="auto"/>
          </w:tcPr>
          <w:p w14:paraId="496720AB" w14:textId="77777777" w:rsidR="005B1815" w:rsidRPr="00A831E7" w:rsidRDefault="005B1815" w:rsidP="00D276E6">
            <w:pPr>
              <w:jc w:val="center"/>
              <w:rPr>
                <w:sz w:val="20"/>
                <w:szCs w:val="20"/>
              </w:rPr>
            </w:pPr>
            <w:r w:rsidRPr="00A831E7">
              <w:rPr>
                <w:sz w:val="20"/>
                <w:szCs w:val="20"/>
              </w:rPr>
              <w:t>0.76</w:t>
            </w:r>
          </w:p>
        </w:tc>
        <w:tc>
          <w:tcPr>
            <w:tcW w:w="388" w:type="pct"/>
            <w:vMerge w:val="restart"/>
            <w:tcBorders>
              <w:top w:val="single" w:sz="12" w:space="0" w:color="auto"/>
              <w:right w:val="single" w:sz="12" w:space="0" w:color="000000"/>
            </w:tcBorders>
            <w:shd w:val="clear" w:color="auto" w:fill="auto"/>
          </w:tcPr>
          <w:p w14:paraId="145D170A" w14:textId="3E428BBD" w:rsidR="005B1815" w:rsidRPr="00A831E7" w:rsidRDefault="005B1815" w:rsidP="00D276E6">
            <w:pPr>
              <w:jc w:val="center"/>
              <w:rPr>
                <w:sz w:val="18"/>
                <w:szCs w:val="18"/>
              </w:rPr>
            </w:pPr>
            <w:r w:rsidRPr="00A831E7">
              <w:rPr>
                <w:rFonts w:eastAsia="Calibri"/>
                <w:sz w:val="18"/>
                <w:szCs w:val="18"/>
              </w:rPr>
              <w:fldChar w:fldCharType="begin"/>
            </w:r>
            <w:r w:rsidR="00B61252">
              <w:rPr>
                <w:rFonts w:eastAsia="Calibri"/>
                <w:sz w:val="18"/>
                <w:szCs w:val="18"/>
              </w:rPr>
              <w:instrText xml:space="preserve"> ADDIN ZOTERO_ITEM CSL_CITATION {"citationID":"uxwYufBY","properties":{"formattedCitation":"[116]","plainCitation":"[116]","noteIndex":0},"citationItems":[{"id":1017,"uris":["http://zotero.org/users/local/mfHf28QG/items/QZ4DP2K4"],"itemData":{"id":1017,"type":"webpage","title":"RNA-Seq Identifies Circulating miR-125a-5p, miR-125b-5p, and miR-143-3p as Potential Biomarkers for Acute Ischemic Stroke | Circulation Research","URL":"https://www.ahajournals.org/doi/full/10.1161/CIRCRESAHA.117.311572","accessed":{"date-parts":[["2024",11,20]]}}}],"schema":"https://github.com/citation-style-language/schema/raw/master/csl-citation.json"} </w:instrText>
            </w:r>
            <w:r w:rsidRPr="00A831E7">
              <w:rPr>
                <w:rFonts w:eastAsia="Calibri"/>
                <w:sz w:val="18"/>
                <w:szCs w:val="18"/>
              </w:rPr>
              <w:fldChar w:fldCharType="separate"/>
            </w:r>
            <w:r w:rsidR="00B61252" w:rsidRPr="00B61252">
              <w:rPr>
                <w:rFonts w:eastAsia="Calibri"/>
                <w:sz w:val="18"/>
              </w:rPr>
              <w:t>[116]</w:t>
            </w:r>
            <w:r w:rsidRPr="00A831E7">
              <w:rPr>
                <w:rFonts w:eastAsia="Calibri"/>
                <w:sz w:val="18"/>
                <w:szCs w:val="18"/>
              </w:rPr>
              <w:fldChar w:fldCharType="end"/>
            </w:r>
          </w:p>
        </w:tc>
      </w:tr>
      <w:tr w:rsidR="005B1815" w:rsidRPr="00421282" w14:paraId="26B02899" w14:textId="77777777" w:rsidTr="00A910C3">
        <w:trPr>
          <w:trHeight w:val="60"/>
        </w:trPr>
        <w:tc>
          <w:tcPr>
            <w:tcW w:w="762" w:type="pct"/>
            <w:tcBorders>
              <w:top w:val="single" w:sz="8" w:space="0" w:color="auto"/>
              <w:left w:val="single" w:sz="12" w:space="0" w:color="auto"/>
              <w:bottom w:val="single" w:sz="12" w:space="0" w:color="auto"/>
            </w:tcBorders>
            <w:shd w:val="clear" w:color="auto" w:fill="auto"/>
          </w:tcPr>
          <w:p w14:paraId="6EE86B49" w14:textId="77777777" w:rsidR="005B1815" w:rsidRPr="00730D74" w:rsidRDefault="005B1815" w:rsidP="00D276E6">
            <w:pPr>
              <w:jc w:val="center"/>
              <w:rPr>
                <w:sz w:val="18"/>
                <w:szCs w:val="18"/>
                <w:lang w:val="en-US"/>
              </w:rPr>
            </w:pPr>
            <w:r w:rsidRPr="00730D74">
              <w:rPr>
                <w:sz w:val="18"/>
                <w:szCs w:val="18"/>
                <w:lang w:val="en-US"/>
              </w:rPr>
              <w:t>miR-125a-5p, miR-125b-5p, miR-143-3p,</w:t>
            </w:r>
            <w:r w:rsidRPr="00730D74">
              <w:rPr>
                <w:sz w:val="18"/>
                <w:szCs w:val="18"/>
                <w:lang w:val="en-US"/>
              </w:rPr>
              <w:br/>
              <w:t>and NSE</w:t>
            </w:r>
            <w:r w:rsidRPr="005B1815">
              <w:rPr>
                <w:sz w:val="16"/>
                <w:szCs w:val="16"/>
                <w:lang w:val="en-US"/>
              </w:rPr>
              <w:t>, IL-6</w:t>
            </w:r>
          </w:p>
        </w:tc>
        <w:tc>
          <w:tcPr>
            <w:tcW w:w="769" w:type="pct"/>
            <w:vMerge/>
            <w:tcBorders>
              <w:bottom w:val="single" w:sz="12" w:space="0" w:color="auto"/>
            </w:tcBorders>
            <w:shd w:val="clear" w:color="auto" w:fill="auto"/>
          </w:tcPr>
          <w:p w14:paraId="6568B57F" w14:textId="77777777" w:rsidR="005B1815" w:rsidRPr="00730D74" w:rsidRDefault="005B1815" w:rsidP="00D276E6">
            <w:pPr>
              <w:jc w:val="center"/>
              <w:rPr>
                <w:i/>
                <w:iCs/>
                <w:sz w:val="18"/>
                <w:szCs w:val="18"/>
                <w:lang w:val="en-US"/>
              </w:rPr>
            </w:pPr>
          </w:p>
        </w:tc>
        <w:tc>
          <w:tcPr>
            <w:tcW w:w="599" w:type="pct"/>
            <w:vMerge/>
            <w:tcBorders>
              <w:bottom w:val="single" w:sz="12" w:space="0" w:color="auto"/>
            </w:tcBorders>
            <w:shd w:val="clear" w:color="auto" w:fill="auto"/>
          </w:tcPr>
          <w:p w14:paraId="7D07AB37" w14:textId="77777777" w:rsidR="005B1815" w:rsidRPr="00730D74" w:rsidRDefault="005B1815" w:rsidP="00D276E6">
            <w:pPr>
              <w:jc w:val="center"/>
              <w:rPr>
                <w:sz w:val="20"/>
                <w:szCs w:val="20"/>
                <w:lang w:val="en-US"/>
              </w:rPr>
            </w:pPr>
          </w:p>
        </w:tc>
        <w:tc>
          <w:tcPr>
            <w:tcW w:w="599" w:type="pct"/>
            <w:vMerge/>
            <w:tcBorders>
              <w:bottom w:val="single" w:sz="12" w:space="0" w:color="auto"/>
            </w:tcBorders>
            <w:shd w:val="clear" w:color="auto" w:fill="auto"/>
          </w:tcPr>
          <w:p w14:paraId="2A405445" w14:textId="77777777" w:rsidR="005B1815" w:rsidRPr="00730D74" w:rsidRDefault="005B1815" w:rsidP="00D276E6">
            <w:pPr>
              <w:jc w:val="center"/>
              <w:rPr>
                <w:sz w:val="20"/>
                <w:szCs w:val="20"/>
                <w:lang w:val="en-US"/>
              </w:rPr>
            </w:pPr>
          </w:p>
        </w:tc>
        <w:tc>
          <w:tcPr>
            <w:tcW w:w="599" w:type="pct"/>
            <w:tcBorders>
              <w:top w:val="single" w:sz="8" w:space="0" w:color="auto"/>
              <w:bottom w:val="single" w:sz="12" w:space="0" w:color="auto"/>
            </w:tcBorders>
            <w:shd w:val="clear" w:color="auto" w:fill="auto"/>
          </w:tcPr>
          <w:p w14:paraId="00ED9524" w14:textId="77777777" w:rsidR="005B1815" w:rsidRPr="00A831E7" w:rsidRDefault="005B1815" w:rsidP="00D276E6">
            <w:pPr>
              <w:jc w:val="center"/>
              <w:rPr>
                <w:sz w:val="20"/>
                <w:szCs w:val="20"/>
              </w:rPr>
            </w:pPr>
            <w:r w:rsidRPr="00A831E7">
              <w:rPr>
                <w:sz w:val="20"/>
                <w:szCs w:val="20"/>
              </w:rPr>
              <w:t>»</w:t>
            </w:r>
          </w:p>
        </w:tc>
        <w:tc>
          <w:tcPr>
            <w:tcW w:w="427" w:type="pct"/>
            <w:tcBorders>
              <w:top w:val="single" w:sz="8" w:space="0" w:color="auto"/>
              <w:bottom w:val="single" w:sz="4" w:space="0" w:color="auto"/>
            </w:tcBorders>
            <w:shd w:val="clear" w:color="auto" w:fill="auto"/>
          </w:tcPr>
          <w:p w14:paraId="357F30CA" w14:textId="77777777" w:rsidR="005B1815" w:rsidRPr="00A831E7" w:rsidRDefault="005B1815" w:rsidP="00D276E6">
            <w:pPr>
              <w:jc w:val="center"/>
              <w:rPr>
                <w:sz w:val="20"/>
                <w:szCs w:val="20"/>
              </w:rPr>
            </w:pPr>
            <w:r w:rsidRPr="00A831E7">
              <w:rPr>
                <w:sz w:val="20"/>
                <w:szCs w:val="20"/>
              </w:rPr>
              <w:t>0.92</w:t>
            </w:r>
          </w:p>
        </w:tc>
        <w:tc>
          <w:tcPr>
            <w:tcW w:w="429" w:type="pct"/>
            <w:tcBorders>
              <w:top w:val="single" w:sz="8" w:space="0" w:color="auto"/>
              <w:bottom w:val="single" w:sz="4" w:space="0" w:color="auto"/>
            </w:tcBorders>
            <w:shd w:val="clear" w:color="auto" w:fill="auto"/>
          </w:tcPr>
          <w:p w14:paraId="6B7F7D63" w14:textId="77777777" w:rsidR="005B1815" w:rsidRPr="00A831E7" w:rsidRDefault="005B1815" w:rsidP="00D276E6">
            <w:pPr>
              <w:jc w:val="center"/>
              <w:rPr>
                <w:sz w:val="20"/>
                <w:szCs w:val="20"/>
              </w:rPr>
            </w:pPr>
            <w:r w:rsidRPr="00A831E7">
              <w:rPr>
                <w:sz w:val="20"/>
                <w:szCs w:val="20"/>
              </w:rPr>
              <w:t>0.88</w:t>
            </w:r>
          </w:p>
        </w:tc>
        <w:tc>
          <w:tcPr>
            <w:tcW w:w="427" w:type="pct"/>
            <w:tcBorders>
              <w:top w:val="single" w:sz="8" w:space="0" w:color="auto"/>
              <w:bottom w:val="single" w:sz="4" w:space="0" w:color="auto"/>
            </w:tcBorders>
            <w:shd w:val="clear" w:color="auto" w:fill="auto"/>
          </w:tcPr>
          <w:p w14:paraId="14FA39A0" w14:textId="77777777" w:rsidR="005B1815" w:rsidRPr="00A831E7" w:rsidRDefault="005B1815" w:rsidP="00D276E6">
            <w:pPr>
              <w:jc w:val="center"/>
              <w:rPr>
                <w:sz w:val="20"/>
                <w:szCs w:val="20"/>
              </w:rPr>
            </w:pPr>
            <w:r w:rsidRPr="00A831E7">
              <w:rPr>
                <w:sz w:val="20"/>
                <w:szCs w:val="20"/>
              </w:rPr>
              <w:t>0.75</w:t>
            </w:r>
          </w:p>
        </w:tc>
        <w:tc>
          <w:tcPr>
            <w:tcW w:w="388" w:type="pct"/>
            <w:vMerge/>
            <w:tcBorders>
              <w:bottom w:val="single" w:sz="12" w:space="0" w:color="auto"/>
              <w:right w:val="single" w:sz="12" w:space="0" w:color="000000"/>
            </w:tcBorders>
            <w:shd w:val="clear" w:color="auto" w:fill="auto"/>
          </w:tcPr>
          <w:p w14:paraId="5E816FF0" w14:textId="77777777" w:rsidR="005B1815" w:rsidRPr="00A831E7" w:rsidRDefault="005B1815" w:rsidP="00D276E6">
            <w:pPr>
              <w:jc w:val="center"/>
              <w:rPr>
                <w:sz w:val="18"/>
                <w:szCs w:val="18"/>
              </w:rPr>
            </w:pPr>
          </w:p>
        </w:tc>
      </w:tr>
      <w:tr w:rsidR="005B1815" w:rsidRPr="00D17951" w14:paraId="63258094" w14:textId="77777777" w:rsidTr="00A910C3">
        <w:trPr>
          <w:trHeight w:val="150"/>
        </w:trPr>
        <w:tc>
          <w:tcPr>
            <w:tcW w:w="762" w:type="pct"/>
            <w:vMerge w:val="restart"/>
            <w:tcBorders>
              <w:top w:val="single" w:sz="12" w:space="0" w:color="auto"/>
              <w:left w:val="single" w:sz="12" w:space="0" w:color="auto"/>
            </w:tcBorders>
            <w:shd w:val="clear" w:color="auto" w:fill="auto"/>
          </w:tcPr>
          <w:p w14:paraId="4F124A53" w14:textId="77777777" w:rsidR="005B1815" w:rsidRPr="00A831E7" w:rsidRDefault="005B1815" w:rsidP="00D276E6">
            <w:pPr>
              <w:jc w:val="center"/>
              <w:rPr>
                <w:sz w:val="18"/>
                <w:szCs w:val="18"/>
              </w:rPr>
            </w:pPr>
            <w:r w:rsidRPr="00A831E7">
              <w:rPr>
                <w:sz w:val="18"/>
                <w:szCs w:val="18"/>
              </w:rPr>
              <w:t>miR-124-3p</w:t>
            </w:r>
          </w:p>
        </w:tc>
        <w:tc>
          <w:tcPr>
            <w:tcW w:w="769" w:type="pct"/>
            <w:vMerge w:val="restart"/>
            <w:tcBorders>
              <w:top w:val="single" w:sz="12" w:space="0" w:color="auto"/>
            </w:tcBorders>
            <w:shd w:val="clear" w:color="auto" w:fill="auto"/>
          </w:tcPr>
          <w:p w14:paraId="0C637818" w14:textId="77777777" w:rsidR="00A910C3" w:rsidRDefault="005B1815" w:rsidP="00D276E6">
            <w:pPr>
              <w:jc w:val="center"/>
              <w:rPr>
                <w:i/>
                <w:iCs/>
                <w:sz w:val="18"/>
                <w:szCs w:val="18"/>
                <w:lang w:val="en-US"/>
              </w:rPr>
            </w:pPr>
            <w:r w:rsidRPr="00730D74">
              <w:rPr>
                <w:i/>
                <w:iCs/>
                <w:sz w:val="16"/>
                <w:szCs w:val="16"/>
                <w:lang w:val="en-US"/>
              </w:rPr>
              <w:t xml:space="preserve">Downregulated </w:t>
            </w:r>
            <w:r w:rsidRPr="00730D74">
              <w:rPr>
                <w:i/>
                <w:iCs/>
                <w:sz w:val="18"/>
                <w:szCs w:val="18"/>
                <w:lang w:val="en-US"/>
              </w:rPr>
              <w:t>serum and EV cargo miRNA during IS.</w:t>
            </w:r>
            <w:r w:rsidRPr="00730D74">
              <w:rPr>
                <w:i/>
                <w:iCs/>
                <w:sz w:val="18"/>
                <w:szCs w:val="18"/>
                <w:lang w:val="en-US"/>
              </w:rPr>
              <w:br/>
            </w:r>
            <w:r w:rsidRPr="00A831E7">
              <w:rPr>
                <w:i/>
                <w:iCs/>
                <w:sz w:val="18"/>
                <w:szCs w:val="18"/>
              </w:rPr>
              <w:t>(</w:t>
            </w:r>
            <w:hyperlink r:id="rId33" w:history="1">
              <w:r w:rsidRPr="00A831E7">
                <w:rPr>
                  <w:rStyle w:val="-"/>
                  <w:i/>
                  <w:iCs/>
                  <w:sz w:val="18"/>
                  <w:szCs w:val="18"/>
                </w:rPr>
                <w:t>GSE95204</w:t>
              </w:r>
            </w:hyperlink>
            <w:r w:rsidRPr="00A831E7">
              <w:rPr>
                <w:i/>
                <w:iCs/>
                <w:sz w:val="18"/>
                <w:szCs w:val="18"/>
              </w:rPr>
              <w:t>)</w:t>
            </w:r>
          </w:p>
          <w:p w14:paraId="3FD1ACD0" w14:textId="5D0A239F" w:rsidR="00A910C3" w:rsidRPr="00A910C3" w:rsidRDefault="00A910C3" w:rsidP="00A910C3">
            <w:pPr>
              <w:jc w:val="center"/>
              <w:rPr>
                <w:i/>
                <w:iCs/>
                <w:sz w:val="18"/>
                <w:szCs w:val="18"/>
                <w:lang w:val="en-US"/>
              </w:rPr>
            </w:pPr>
            <w:r>
              <w:rPr>
                <w:i/>
                <w:iCs/>
                <w:sz w:val="18"/>
                <w:szCs w:val="18"/>
                <w:lang w:val="en-US"/>
              </w:rPr>
              <w:br/>
              <w:t>AIS=10, NC=10</w:t>
            </w:r>
          </w:p>
          <w:p w14:paraId="02B7841C" w14:textId="77777777" w:rsidR="005B1815" w:rsidRPr="00A831E7" w:rsidRDefault="005B1815" w:rsidP="00D276E6">
            <w:pPr>
              <w:jc w:val="center"/>
              <w:rPr>
                <w:i/>
                <w:iCs/>
                <w:sz w:val="18"/>
                <w:szCs w:val="18"/>
              </w:rPr>
            </w:pPr>
          </w:p>
        </w:tc>
        <w:tc>
          <w:tcPr>
            <w:tcW w:w="599" w:type="pct"/>
            <w:vMerge w:val="restart"/>
            <w:tcBorders>
              <w:top w:val="single" w:sz="12" w:space="0" w:color="auto"/>
            </w:tcBorders>
            <w:shd w:val="clear" w:color="auto" w:fill="auto"/>
          </w:tcPr>
          <w:p w14:paraId="5553DAEC" w14:textId="77777777" w:rsidR="005B1815" w:rsidRPr="00A831E7" w:rsidRDefault="005B1815" w:rsidP="00D276E6">
            <w:pPr>
              <w:jc w:val="center"/>
              <w:rPr>
                <w:sz w:val="20"/>
                <w:szCs w:val="20"/>
              </w:rPr>
            </w:pPr>
            <w:r w:rsidRPr="00A831E7">
              <w:rPr>
                <w:sz w:val="20"/>
                <w:szCs w:val="20"/>
              </w:rPr>
              <w:t>&lt;2h,&lt;4h,&lt;6h</w:t>
            </w:r>
          </w:p>
          <w:p w14:paraId="0D0264C9" w14:textId="77777777" w:rsidR="005B1815" w:rsidRPr="00A831E7" w:rsidRDefault="005B1815" w:rsidP="00D276E6">
            <w:pPr>
              <w:jc w:val="center"/>
              <w:rPr>
                <w:sz w:val="20"/>
                <w:szCs w:val="20"/>
              </w:rPr>
            </w:pPr>
            <w:r w:rsidRPr="00A831E7">
              <w:rPr>
                <w:sz w:val="20"/>
                <w:szCs w:val="20"/>
              </w:rPr>
              <w:t>serum</w:t>
            </w:r>
            <w:r w:rsidRPr="00A831E7">
              <w:rPr>
                <w:sz w:val="20"/>
                <w:szCs w:val="20"/>
              </w:rPr>
              <w:br/>
            </w:r>
          </w:p>
        </w:tc>
        <w:tc>
          <w:tcPr>
            <w:tcW w:w="599" w:type="pct"/>
            <w:vMerge w:val="restart"/>
            <w:tcBorders>
              <w:top w:val="single" w:sz="12" w:space="0" w:color="auto"/>
            </w:tcBorders>
            <w:shd w:val="clear" w:color="auto" w:fill="auto"/>
          </w:tcPr>
          <w:p w14:paraId="2FE11D5B" w14:textId="77777777" w:rsidR="005B1815" w:rsidRPr="00730D74" w:rsidRDefault="005B1815" w:rsidP="00D276E6">
            <w:pPr>
              <w:jc w:val="center"/>
              <w:rPr>
                <w:sz w:val="16"/>
                <w:szCs w:val="16"/>
                <w:lang w:val="en-US"/>
              </w:rPr>
            </w:pPr>
            <w:r w:rsidRPr="00A831E7">
              <w:rPr>
                <w:sz w:val="20"/>
                <w:szCs w:val="20"/>
              </w:rPr>
              <w:t>Όχι</w:t>
            </w:r>
            <w:r w:rsidRPr="00730D74">
              <w:rPr>
                <w:sz w:val="20"/>
                <w:szCs w:val="20"/>
                <w:lang w:val="en-US"/>
              </w:rPr>
              <w:t xml:space="preserve"> ML</w:t>
            </w:r>
            <w:r w:rsidRPr="00730D74">
              <w:rPr>
                <w:sz w:val="20"/>
                <w:szCs w:val="20"/>
                <w:lang w:val="en-US"/>
              </w:rPr>
              <w:br/>
            </w:r>
            <w:r w:rsidRPr="00730D74">
              <w:rPr>
                <w:sz w:val="20"/>
                <w:szCs w:val="20"/>
                <w:lang w:val="en-US"/>
              </w:rPr>
              <w:br/>
            </w:r>
            <w:r w:rsidRPr="00730D74">
              <w:rPr>
                <w:sz w:val="16"/>
                <w:szCs w:val="16"/>
                <w:lang w:val="en-US"/>
              </w:rPr>
              <w:t>total exosome isolation kit/</w:t>
            </w:r>
          </w:p>
          <w:p w14:paraId="6A2FF796" w14:textId="77777777" w:rsidR="005B1815" w:rsidRPr="00730D74" w:rsidRDefault="005B1815" w:rsidP="00D276E6">
            <w:pPr>
              <w:jc w:val="center"/>
              <w:rPr>
                <w:sz w:val="16"/>
                <w:szCs w:val="16"/>
                <w:lang w:val="en-US"/>
              </w:rPr>
            </w:pPr>
            <w:r w:rsidRPr="00730D74">
              <w:rPr>
                <w:sz w:val="16"/>
                <w:szCs w:val="16"/>
                <w:lang w:val="en-US"/>
              </w:rPr>
              <w:t>R&amp;Limma/</w:t>
            </w:r>
          </w:p>
          <w:p w14:paraId="4D3A12ED" w14:textId="77777777" w:rsidR="005B1815" w:rsidRPr="00730D74" w:rsidRDefault="005B1815" w:rsidP="00D276E6">
            <w:pPr>
              <w:jc w:val="center"/>
              <w:rPr>
                <w:sz w:val="16"/>
                <w:szCs w:val="16"/>
                <w:lang w:val="en-US"/>
              </w:rPr>
            </w:pPr>
            <w:r w:rsidRPr="00730D74">
              <w:rPr>
                <w:sz w:val="16"/>
                <w:szCs w:val="16"/>
                <w:lang w:val="en-US"/>
              </w:rPr>
              <w:t>Western blot/</w:t>
            </w:r>
          </w:p>
          <w:p w14:paraId="47F4FB58" w14:textId="77777777" w:rsidR="005B1815" w:rsidRPr="00730D74" w:rsidRDefault="005B1815" w:rsidP="00D276E6">
            <w:pPr>
              <w:jc w:val="center"/>
              <w:rPr>
                <w:sz w:val="20"/>
                <w:szCs w:val="20"/>
                <w:lang w:val="en-US"/>
              </w:rPr>
            </w:pPr>
            <w:r w:rsidRPr="00730D74">
              <w:rPr>
                <w:sz w:val="16"/>
                <w:szCs w:val="16"/>
                <w:lang w:val="en-US"/>
              </w:rPr>
              <w:t>qRT-PCR</w:t>
            </w:r>
          </w:p>
        </w:tc>
        <w:tc>
          <w:tcPr>
            <w:tcW w:w="599" w:type="pct"/>
            <w:tcBorders>
              <w:top w:val="single" w:sz="12" w:space="0" w:color="auto"/>
              <w:bottom w:val="single" w:sz="4" w:space="0" w:color="auto"/>
            </w:tcBorders>
            <w:shd w:val="clear" w:color="auto" w:fill="auto"/>
          </w:tcPr>
          <w:p w14:paraId="1C5B325E" w14:textId="77777777" w:rsidR="005B1815" w:rsidRPr="00A831E7" w:rsidRDefault="005B1815" w:rsidP="00D276E6">
            <w:pPr>
              <w:jc w:val="center"/>
              <w:rPr>
                <w:sz w:val="20"/>
                <w:szCs w:val="20"/>
              </w:rPr>
            </w:pPr>
            <w:r w:rsidRPr="00A831E7">
              <w:rPr>
                <w:sz w:val="20"/>
                <w:szCs w:val="20"/>
              </w:rPr>
              <w:t>AIS-2H-Serum</w:t>
            </w:r>
          </w:p>
        </w:tc>
        <w:tc>
          <w:tcPr>
            <w:tcW w:w="427" w:type="pct"/>
            <w:tcBorders>
              <w:top w:val="single" w:sz="12" w:space="0" w:color="auto"/>
              <w:bottom w:val="single" w:sz="4" w:space="0" w:color="auto"/>
            </w:tcBorders>
            <w:shd w:val="clear" w:color="auto" w:fill="auto"/>
          </w:tcPr>
          <w:p w14:paraId="71A7F9FE" w14:textId="77777777" w:rsidR="005B1815" w:rsidRPr="00A831E7" w:rsidRDefault="005B1815" w:rsidP="00D276E6">
            <w:pPr>
              <w:jc w:val="center"/>
              <w:rPr>
                <w:sz w:val="20"/>
                <w:szCs w:val="20"/>
              </w:rPr>
            </w:pPr>
            <w:r w:rsidRPr="00A831E7">
              <w:rPr>
                <w:sz w:val="20"/>
                <w:szCs w:val="20"/>
              </w:rPr>
              <w:t>0.49</w:t>
            </w:r>
          </w:p>
        </w:tc>
        <w:tc>
          <w:tcPr>
            <w:tcW w:w="429" w:type="pct"/>
            <w:tcBorders>
              <w:top w:val="single" w:sz="12" w:space="0" w:color="auto"/>
            </w:tcBorders>
            <w:shd w:val="clear" w:color="auto" w:fill="auto"/>
          </w:tcPr>
          <w:p w14:paraId="542E67CE" w14:textId="77777777" w:rsidR="005B1815" w:rsidRPr="00A831E7" w:rsidRDefault="005B1815" w:rsidP="00D276E6">
            <w:pPr>
              <w:jc w:val="center"/>
              <w:rPr>
                <w:sz w:val="20"/>
                <w:szCs w:val="20"/>
              </w:rPr>
            </w:pPr>
            <w:r w:rsidRPr="00A831E7">
              <w:rPr>
                <w:sz w:val="20"/>
                <w:szCs w:val="20"/>
              </w:rPr>
              <w:t>-</w:t>
            </w:r>
          </w:p>
        </w:tc>
        <w:tc>
          <w:tcPr>
            <w:tcW w:w="427" w:type="pct"/>
            <w:tcBorders>
              <w:top w:val="single" w:sz="12" w:space="0" w:color="auto"/>
            </w:tcBorders>
            <w:shd w:val="clear" w:color="auto" w:fill="auto"/>
          </w:tcPr>
          <w:p w14:paraId="13511E48" w14:textId="77777777" w:rsidR="005B1815" w:rsidRPr="00A831E7" w:rsidRDefault="005B1815" w:rsidP="00D276E6">
            <w:pPr>
              <w:jc w:val="center"/>
              <w:rPr>
                <w:sz w:val="20"/>
                <w:szCs w:val="20"/>
              </w:rPr>
            </w:pPr>
            <w:r w:rsidRPr="00A831E7">
              <w:rPr>
                <w:sz w:val="20"/>
                <w:szCs w:val="20"/>
              </w:rPr>
              <w:t>-</w:t>
            </w:r>
          </w:p>
        </w:tc>
        <w:tc>
          <w:tcPr>
            <w:tcW w:w="388" w:type="pct"/>
            <w:vMerge w:val="restart"/>
            <w:tcBorders>
              <w:top w:val="single" w:sz="12" w:space="0" w:color="auto"/>
              <w:right w:val="single" w:sz="12" w:space="0" w:color="000000"/>
            </w:tcBorders>
            <w:shd w:val="clear" w:color="auto" w:fill="auto"/>
          </w:tcPr>
          <w:p w14:paraId="2A037ED5" w14:textId="423381EC" w:rsidR="005B1815" w:rsidRPr="006502FB" w:rsidRDefault="005B1815" w:rsidP="00D276E6">
            <w:pPr>
              <w:jc w:val="center"/>
              <w:rPr>
                <w:sz w:val="18"/>
                <w:szCs w:val="18"/>
                <w:lang w:val="en-US"/>
              </w:rPr>
            </w:pPr>
            <w:r w:rsidRPr="00A831E7">
              <w:rPr>
                <w:rFonts w:eastAsia="Calibri"/>
                <w:sz w:val="18"/>
                <w:szCs w:val="18"/>
              </w:rPr>
              <w:fldChar w:fldCharType="begin"/>
            </w:r>
            <w:r w:rsidR="00B61252">
              <w:rPr>
                <w:rFonts w:eastAsia="Calibri"/>
                <w:sz w:val="18"/>
                <w:szCs w:val="18"/>
              </w:rPr>
              <w:instrText xml:space="preserve"> ADDIN ZOTERO_ITEM CSL_CITATION {"citationID":"8KXzugB6","properties":{"formattedCitation":"[117]","plainCitation":"[117]","noteIndex":0},"citationItems":[{"id":918,"uris":["http://zotero.org/users/local/mfHf28QG/items/ZSV5HRPA"],"itemData":{"id":918,"type":"article-journal","abstract":"&lt;p&gt;&lt;bold&gt;Background:&lt;/bold&gt; A delay in the diagnosis of acute ischemic stroke (AIS) reduces the eligibility and outcome of patients for thrombolytic therapy. Therefore, early diagnosis and treatment of AIS are crucial. The present study evaluated the sensitivity and accuracy of serum extracellular vesicle (EV)-derived &lt;italic&gt;miR-124-3p&lt;/italic&gt; in the diagnosis and prediction of AIS.&lt;/p&gt;&lt;p&gt;&lt;bold&gt;Methods:&lt;/bold&gt; An miRNA expression profile was downloaded from Gene Expression Omnibus (GEO) database and analyzed by R software. EVs were harvested from the serum of AIS patients using a total exosome isolation kit and characterized by Western blotting, a transmission electron microscope, and the nanoparticle tracking analysis. BV2 microglia were pre-stimulated with lipopolysaccharide (LPS), followed by &lt;italic&gt;miR-124-3p&lt;/italic&gt; treatment for 24 h and subsequent analysis of viability, apoptosis, and migration (scratch assay), and Western blotting. The relative expression of the selected genes was assessed by qRT-PCR. The phosphorylation of Erk1/2, PI3K/Akt, and p38MAPK in BV2 microglia cells was evaluated by Western blotting, while the luciferase reporter gene assay detected the correlation between key genes involved in the pro-inflammatory signaling pathways and &lt;italic&gt;miR-124-3p&lt;/italic&gt;.&lt;/p&gt;&lt;p&gt;&lt;bold&gt;Results:&lt;/bold&gt;&lt;italic&gt;hsa-miR-124-3p&lt;/italic&gt; was downregulated in AIS serum compared to the non-AIS serum (&lt;italic&gt;p&lt;/italic&gt; &amp;lt; 0.05), and the gene expression of &lt;italic&gt;has-miR-124-3p&lt;/italic&gt; in EVs was negatively correlated with serum pro-inflammatory cytokines and the NIHSS (&lt;italic&gt;p&lt;/italic&gt; &amp;lt; 0.05). In addition, &lt;italic&gt;miR-124-3p&lt;/italic&gt; promoted the viability and inhibited the apoptosis of LPS-induced BV2 microglia. Furthermore, &lt;italic&gt;miR-124-3p&lt;/italic&gt; reduced the phosphorylation of Erk1/2, PI3K/Akt, and p38MAPK, and promoted the migration in LPS-induced BV2 microglia (&lt;italic&gt;p&lt;/italic&gt; &amp;lt; 0.05).&lt;/p&gt;&lt;p&gt;&lt;bold&gt;Conclusion:&lt;/bold&gt; Serum EV-derived &lt;italic&gt;miR-124-3p&lt;/italic&gt; serves as a diagnostic and predictive marker for early-stage AIS.&lt;/p&gt;","container-title":"Frontiers in Molecular Biosciences","DOI":"10.3389/fmolb.2021.685088","ISSN":"2296-889X","journalAbbreviation":"Front. Mol. Biosci.","language":"English","note":"publisher: Frontiers","source":"Frontiers","title":"Serum Extracellular Vesicle–Derived miR-124-3p as a Diagnostic and Predictive Marker for Early-Stage Acute Ischemic Stroke","URL":"https://www.frontiersin.org/journals/molecular-biosciences/articles/10.3389/fmolb.2021.685088/full","volume":"8","author":[{"family":"Qi","given":"Zheng"},{"family":"Zhao","given":"Yingying"},{"family":"Su","given":"Yu"},{"family":"Cao","given":"Bin"},{"family":"Yang","given":"Jian-Jun"},{"family":"Xing","given":"Qinghe"}],"accessed":{"date-parts":[["2024",11,20]]},"issued":{"date-parts":[["2021",7,1]]}}}],"schema":"https://github.com/citation-style-language/schema/raw/master/csl-citation.json"} </w:instrText>
            </w:r>
            <w:r w:rsidRPr="00A831E7">
              <w:rPr>
                <w:rFonts w:eastAsia="Calibri"/>
                <w:sz w:val="18"/>
                <w:szCs w:val="18"/>
              </w:rPr>
              <w:fldChar w:fldCharType="separate"/>
            </w:r>
            <w:r w:rsidR="00B61252" w:rsidRPr="00B61252">
              <w:rPr>
                <w:rFonts w:eastAsia="Calibri"/>
                <w:sz w:val="18"/>
              </w:rPr>
              <w:t>[117]</w:t>
            </w:r>
            <w:r w:rsidRPr="00A831E7">
              <w:rPr>
                <w:rFonts w:eastAsia="Calibri"/>
                <w:sz w:val="18"/>
                <w:szCs w:val="18"/>
              </w:rPr>
              <w:fldChar w:fldCharType="end"/>
            </w:r>
          </w:p>
        </w:tc>
      </w:tr>
      <w:tr w:rsidR="005B1815" w:rsidRPr="00D17951" w14:paraId="1CF444F0" w14:textId="77777777" w:rsidTr="00A910C3">
        <w:trPr>
          <w:trHeight w:val="240"/>
        </w:trPr>
        <w:tc>
          <w:tcPr>
            <w:tcW w:w="762" w:type="pct"/>
            <w:vMerge/>
            <w:tcBorders>
              <w:left w:val="single" w:sz="12" w:space="0" w:color="auto"/>
            </w:tcBorders>
            <w:shd w:val="clear" w:color="auto" w:fill="auto"/>
          </w:tcPr>
          <w:p w14:paraId="30C28762" w14:textId="77777777" w:rsidR="005B1815" w:rsidRPr="006502FB" w:rsidRDefault="005B1815" w:rsidP="00D276E6">
            <w:pPr>
              <w:jc w:val="center"/>
              <w:rPr>
                <w:sz w:val="20"/>
                <w:szCs w:val="20"/>
                <w:lang w:val="en-US"/>
              </w:rPr>
            </w:pPr>
          </w:p>
        </w:tc>
        <w:tc>
          <w:tcPr>
            <w:tcW w:w="769" w:type="pct"/>
            <w:vMerge/>
            <w:shd w:val="clear" w:color="auto" w:fill="auto"/>
          </w:tcPr>
          <w:p w14:paraId="31D0775F" w14:textId="77777777" w:rsidR="005B1815" w:rsidRPr="006502FB" w:rsidRDefault="005B1815" w:rsidP="00D276E6">
            <w:pPr>
              <w:jc w:val="center"/>
              <w:rPr>
                <w:sz w:val="20"/>
                <w:szCs w:val="20"/>
                <w:lang w:val="en-US"/>
              </w:rPr>
            </w:pPr>
          </w:p>
        </w:tc>
        <w:tc>
          <w:tcPr>
            <w:tcW w:w="599" w:type="pct"/>
            <w:vMerge/>
            <w:shd w:val="clear" w:color="auto" w:fill="auto"/>
          </w:tcPr>
          <w:p w14:paraId="258036E7" w14:textId="77777777" w:rsidR="005B1815" w:rsidRPr="006502FB" w:rsidRDefault="005B1815" w:rsidP="00D276E6">
            <w:pPr>
              <w:jc w:val="center"/>
              <w:rPr>
                <w:sz w:val="20"/>
                <w:szCs w:val="20"/>
                <w:lang w:val="en-US"/>
              </w:rPr>
            </w:pPr>
          </w:p>
        </w:tc>
        <w:tc>
          <w:tcPr>
            <w:tcW w:w="599" w:type="pct"/>
            <w:vMerge/>
            <w:shd w:val="clear" w:color="auto" w:fill="auto"/>
          </w:tcPr>
          <w:p w14:paraId="42C70905" w14:textId="77777777" w:rsidR="005B1815" w:rsidRPr="006502FB" w:rsidRDefault="005B1815" w:rsidP="00D276E6">
            <w:pPr>
              <w:jc w:val="center"/>
              <w:rPr>
                <w:sz w:val="20"/>
                <w:szCs w:val="20"/>
                <w:lang w:val="en-US"/>
              </w:rPr>
            </w:pPr>
          </w:p>
        </w:tc>
        <w:tc>
          <w:tcPr>
            <w:tcW w:w="599" w:type="pct"/>
            <w:tcBorders>
              <w:top w:val="single" w:sz="4" w:space="0" w:color="auto"/>
              <w:bottom w:val="single" w:sz="8" w:space="0" w:color="auto"/>
            </w:tcBorders>
            <w:shd w:val="clear" w:color="auto" w:fill="auto"/>
          </w:tcPr>
          <w:p w14:paraId="68B1DB22" w14:textId="77777777" w:rsidR="005B1815" w:rsidRPr="006502FB" w:rsidRDefault="005B1815" w:rsidP="00D276E6">
            <w:pPr>
              <w:jc w:val="center"/>
              <w:rPr>
                <w:sz w:val="20"/>
                <w:szCs w:val="20"/>
                <w:lang w:val="en-US"/>
              </w:rPr>
            </w:pPr>
            <w:r w:rsidRPr="006502FB">
              <w:rPr>
                <w:sz w:val="20"/>
                <w:szCs w:val="20"/>
                <w:lang w:val="en-US"/>
              </w:rPr>
              <w:t>AIS-2H-EVs</w:t>
            </w:r>
          </w:p>
        </w:tc>
        <w:tc>
          <w:tcPr>
            <w:tcW w:w="427" w:type="pct"/>
            <w:tcBorders>
              <w:top w:val="single" w:sz="4" w:space="0" w:color="auto"/>
              <w:bottom w:val="single" w:sz="8" w:space="0" w:color="auto"/>
            </w:tcBorders>
            <w:shd w:val="clear" w:color="auto" w:fill="auto"/>
          </w:tcPr>
          <w:p w14:paraId="0A308AC9" w14:textId="77777777" w:rsidR="005B1815" w:rsidRPr="006502FB" w:rsidRDefault="005B1815" w:rsidP="00D276E6">
            <w:pPr>
              <w:jc w:val="center"/>
              <w:rPr>
                <w:sz w:val="20"/>
                <w:szCs w:val="20"/>
                <w:lang w:val="en-US"/>
              </w:rPr>
            </w:pPr>
            <w:r w:rsidRPr="006502FB">
              <w:rPr>
                <w:sz w:val="20"/>
                <w:szCs w:val="20"/>
                <w:lang w:val="en-US"/>
              </w:rPr>
              <w:t>0.80</w:t>
            </w:r>
          </w:p>
        </w:tc>
        <w:tc>
          <w:tcPr>
            <w:tcW w:w="429" w:type="pct"/>
            <w:tcBorders>
              <w:bottom w:val="single" w:sz="8" w:space="0" w:color="auto"/>
            </w:tcBorders>
            <w:shd w:val="clear" w:color="auto" w:fill="auto"/>
          </w:tcPr>
          <w:p w14:paraId="0348F5EC" w14:textId="77777777" w:rsidR="005B1815" w:rsidRPr="006502FB" w:rsidRDefault="005B1815" w:rsidP="00D276E6">
            <w:pPr>
              <w:jc w:val="center"/>
              <w:rPr>
                <w:sz w:val="20"/>
                <w:szCs w:val="20"/>
                <w:lang w:val="en-US"/>
              </w:rPr>
            </w:pPr>
            <w:r w:rsidRPr="006502FB">
              <w:rPr>
                <w:sz w:val="20"/>
                <w:szCs w:val="20"/>
                <w:lang w:val="en-US"/>
              </w:rPr>
              <w:t>-</w:t>
            </w:r>
          </w:p>
        </w:tc>
        <w:tc>
          <w:tcPr>
            <w:tcW w:w="427" w:type="pct"/>
            <w:tcBorders>
              <w:bottom w:val="single" w:sz="8" w:space="0" w:color="auto"/>
            </w:tcBorders>
            <w:shd w:val="clear" w:color="auto" w:fill="auto"/>
          </w:tcPr>
          <w:p w14:paraId="210F1B5B" w14:textId="77777777" w:rsidR="005B1815" w:rsidRPr="006502FB" w:rsidRDefault="005B1815" w:rsidP="00D276E6">
            <w:pPr>
              <w:jc w:val="center"/>
              <w:rPr>
                <w:sz w:val="20"/>
                <w:szCs w:val="20"/>
                <w:lang w:val="en-US"/>
              </w:rPr>
            </w:pPr>
            <w:r w:rsidRPr="006502FB">
              <w:rPr>
                <w:sz w:val="20"/>
                <w:szCs w:val="20"/>
                <w:lang w:val="en-US"/>
              </w:rPr>
              <w:t>-</w:t>
            </w:r>
          </w:p>
        </w:tc>
        <w:tc>
          <w:tcPr>
            <w:tcW w:w="388" w:type="pct"/>
            <w:vMerge/>
            <w:tcBorders>
              <w:right w:val="single" w:sz="12" w:space="0" w:color="000000"/>
            </w:tcBorders>
            <w:shd w:val="clear" w:color="auto" w:fill="auto"/>
          </w:tcPr>
          <w:p w14:paraId="5B992383" w14:textId="77777777" w:rsidR="005B1815" w:rsidRPr="006502FB" w:rsidRDefault="005B1815" w:rsidP="00D276E6">
            <w:pPr>
              <w:jc w:val="center"/>
              <w:rPr>
                <w:sz w:val="20"/>
                <w:szCs w:val="20"/>
                <w:lang w:val="en-US"/>
              </w:rPr>
            </w:pPr>
          </w:p>
        </w:tc>
      </w:tr>
      <w:tr w:rsidR="005B1815" w:rsidRPr="00D17951" w14:paraId="6E854478" w14:textId="77777777" w:rsidTr="00A910C3">
        <w:trPr>
          <w:trHeight w:val="165"/>
        </w:trPr>
        <w:tc>
          <w:tcPr>
            <w:tcW w:w="762" w:type="pct"/>
            <w:vMerge/>
            <w:tcBorders>
              <w:left w:val="single" w:sz="12" w:space="0" w:color="auto"/>
            </w:tcBorders>
            <w:shd w:val="clear" w:color="auto" w:fill="auto"/>
          </w:tcPr>
          <w:p w14:paraId="620577B0" w14:textId="77777777" w:rsidR="005B1815" w:rsidRPr="006502FB" w:rsidRDefault="005B1815" w:rsidP="00D276E6">
            <w:pPr>
              <w:jc w:val="center"/>
              <w:rPr>
                <w:sz w:val="20"/>
                <w:szCs w:val="20"/>
                <w:lang w:val="en-US"/>
              </w:rPr>
            </w:pPr>
          </w:p>
        </w:tc>
        <w:tc>
          <w:tcPr>
            <w:tcW w:w="769" w:type="pct"/>
            <w:vMerge/>
            <w:shd w:val="clear" w:color="auto" w:fill="auto"/>
          </w:tcPr>
          <w:p w14:paraId="06CD863D" w14:textId="77777777" w:rsidR="005B1815" w:rsidRPr="006502FB" w:rsidRDefault="005B1815" w:rsidP="00D276E6">
            <w:pPr>
              <w:jc w:val="center"/>
              <w:rPr>
                <w:sz w:val="20"/>
                <w:szCs w:val="20"/>
                <w:lang w:val="en-US"/>
              </w:rPr>
            </w:pPr>
          </w:p>
        </w:tc>
        <w:tc>
          <w:tcPr>
            <w:tcW w:w="599" w:type="pct"/>
            <w:vMerge/>
            <w:shd w:val="clear" w:color="auto" w:fill="auto"/>
          </w:tcPr>
          <w:p w14:paraId="15A389D6" w14:textId="77777777" w:rsidR="005B1815" w:rsidRPr="006502FB" w:rsidRDefault="005B1815" w:rsidP="00D276E6">
            <w:pPr>
              <w:jc w:val="center"/>
              <w:rPr>
                <w:sz w:val="20"/>
                <w:szCs w:val="20"/>
                <w:lang w:val="en-US"/>
              </w:rPr>
            </w:pPr>
          </w:p>
        </w:tc>
        <w:tc>
          <w:tcPr>
            <w:tcW w:w="599" w:type="pct"/>
            <w:vMerge/>
            <w:shd w:val="clear" w:color="auto" w:fill="auto"/>
          </w:tcPr>
          <w:p w14:paraId="3DEB88A5" w14:textId="77777777" w:rsidR="005B1815" w:rsidRPr="006502FB" w:rsidRDefault="005B1815" w:rsidP="00D276E6">
            <w:pPr>
              <w:jc w:val="center"/>
              <w:rPr>
                <w:sz w:val="20"/>
                <w:szCs w:val="20"/>
                <w:lang w:val="en-US"/>
              </w:rPr>
            </w:pPr>
          </w:p>
        </w:tc>
        <w:tc>
          <w:tcPr>
            <w:tcW w:w="599" w:type="pct"/>
            <w:tcBorders>
              <w:top w:val="single" w:sz="8" w:space="0" w:color="auto"/>
              <w:bottom w:val="single" w:sz="4" w:space="0" w:color="auto"/>
            </w:tcBorders>
            <w:shd w:val="clear" w:color="auto" w:fill="auto"/>
          </w:tcPr>
          <w:p w14:paraId="0FE5FABC" w14:textId="77777777" w:rsidR="005B1815" w:rsidRPr="006502FB" w:rsidRDefault="005B1815" w:rsidP="00D276E6">
            <w:pPr>
              <w:jc w:val="center"/>
              <w:rPr>
                <w:sz w:val="20"/>
                <w:szCs w:val="20"/>
                <w:lang w:val="en-US"/>
              </w:rPr>
            </w:pPr>
            <w:r w:rsidRPr="006502FB">
              <w:rPr>
                <w:sz w:val="20"/>
                <w:szCs w:val="20"/>
                <w:lang w:val="en-US"/>
              </w:rPr>
              <w:t>AIS-4H-Serum</w:t>
            </w:r>
          </w:p>
        </w:tc>
        <w:tc>
          <w:tcPr>
            <w:tcW w:w="427" w:type="pct"/>
            <w:tcBorders>
              <w:top w:val="single" w:sz="8" w:space="0" w:color="auto"/>
              <w:bottom w:val="single" w:sz="4" w:space="0" w:color="auto"/>
            </w:tcBorders>
            <w:shd w:val="clear" w:color="auto" w:fill="auto"/>
          </w:tcPr>
          <w:p w14:paraId="04D0BB25" w14:textId="77777777" w:rsidR="005B1815" w:rsidRPr="006502FB" w:rsidRDefault="005B1815" w:rsidP="00D276E6">
            <w:pPr>
              <w:jc w:val="center"/>
              <w:rPr>
                <w:sz w:val="20"/>
                <w:szCs w:val="20"/>
                <w:lang w:val="en-US"/>
              </w:rPr>
            </w:pPr>
            <w:r w:rsidRPr="006502FB">
              <w:rPr>
                <w:sz w:val="20"/>
                <w:szCs w:val="20"/>
                <w:lang w:val="en-US"/>
              </w:rPr>
              <w:t>0.59</w:t>
            </w:r>
          </w:p>
        </w:tc>
        <w:tc>
          <w:tcPr>
            <w:tcW w:w="429" w:type="pct"/>
            <w:tcBorders>
              <w:top w:val="single" w:sz="8" w:space="0" w:color="auto"/>
            </w:tcBorders>
            <w:shd w:val="clear" w:color="auto" w:fill="auto"/>
          </w:tcPr>
          <w:p w14:paraId="56A81A6F" w14:textId="77777777" w:rsidR="005B1815" w:rsidRPr="006502FB" w:rsidRDefault="005B1815" w:rsidP="00D276E6">
            <w:pPr>
              <w:jc w:val="center"/>
              <w:rPr>
                <w:sz w:val="20"/>
                <w:szCs w:val="20"/>
                <w:lang w:val="en-US"/>
              </w:rPr>
            </w:pPr>
            <w:r w:rsidRPr="006502FB">
              <w:rPr>
                <w:sz w:val="20"/>
                <w:szCs w:val="20"/>
                <w:lang w:val="en-US"/>
              </w:rPr>
              <w:t>-</w:t>
            </w:r>
          </w:p>
        </w:tc>
        <w:tc>
          <w:tcPr>
            <w:tcW w:w="427" w:type="pct"/>
            <w:tcBorders>
              <w:top w:val="single" w:sz="8" w:space="0" w:color="auto"/>
            </w:tcBorders>
            <w:shd w:val="clear" w:color="auto" w:fill="auto"/>
          </w:tcPr>
          <w:p w14:paraId="0A0B03AC" w14:textId="77777777" w:rsidR="005B1815" w:rsidRPr="006502FB" w:rsidRDefault="005B1815" w:rsidP="00D276E6">
            <w:pPr>
              <w:jc w:val="center"/>
              <w:rPr>
                <w:sz w:val="20"/>
                <w:szCs w:val="20"/>
                <w:lang w:val="en-US"/>
              </w:rPr>
            </w:pPr>
            <w:r w:rsidRPr="006502FB">
              <w:rPr>
                <w:sz w:val="20"/>
                <w:szCs w:val="20"/>
                <w:lang w:val="en-US"/>
              </w:rPr>
              <w:t>-</w:t>
            </w:r>
          </w:p>
        </w:tc>
        <w:tc>
          <w:tcPr>
            <w:tcW w:w="388" w:type="pct"/>
            <w:vMerge/>
            <w:tcBorders>
              <w:right w:val="single" w:sz="12" w:space="0" w:color="000000"/>
            </w:tcBorders>
            <w:shd w:val="clear" w:color="auto" w:fill="auto"/>
          </w:tcPr>
          <w:p w14:paraId="63988DD0" w14:textId="77777777" w:rsidR="005B1815" w:rsidRPr="006502FB" w:rsidRDefault="005B1815" w:rsidP="00D276E6">
            <w:pPr>
              <w:jc w:val="center"/>
              <w:rPr>
                <w:sz w:val="20"/>
                <w:szCs w:val="20"/>
                <w:lang w:val="en-US"/>
              </w:rPr>
            </w:pPr>
          </w:p>
        </w:tc>
      </w:tr>
      <w:tr w:rsidR="005B1815" w:rsidRPr="00D17951" w14:paraId="4F7337B0" w14:textId="77777777" w:rsidTr="00A910C3">
        <w:trPr>
          <w:trHeight w:val="105"/>
        </w:trPr>
        <w:tc>
          <w:tcPr>
            <w:tcW w:w="762" w:type="pct"/>
            <w:vMerge/>
            <w:tcBorders>
              <w:left w:val="single" w:sz="12" w:space="0" w:color="auto"/>
            </w:tcBorders>
            <w:shd w:val="clear" w:color="auto" w:fill="auto"/>
          </w:tcPr>
          <w:p w14:paraId="09A09C9E" w14:textId="77777777" w:rsidR="005B1815" w:rsidRPr="006502FB" w:rsidRDefault="005B1815" w:rsidP="00D276E6">
            <w:pPr>
              <w:jc w:val="center"/>
              <w:rPr>
                <w:sz w:val="20"/>
                <w:szCs w:val="20"/>
                <w:lang w:val="en-US"/>
              </w:rPr>
            </w:pPr>
          </w:p>
        </w:tc>
        <w:tc>
          <w:tcPr>
            <w:tcW w:w="769" w:type="pct"/>
            <w:vMerge/>
            <w:shd w:val="clear" w:color="auto" w:fill="auto"/>
          </w:tcPr>
          <w:p w14:paraId="71A517F6" w14:textId="77777777" w:rsidR="005B1815" w:rsidRPr="006502FB" w:rsidRDefault="005B1815" w:rsidP="00D276E6">
            <w:pPr>
              <w:jc w:val="center"/>
              <w:rPr>
                <w:sz w:val="20"/>
                <w:szCs w:val="20"/>
                <w:lang w:val="en-US"/>
              </w:rPr>
            </w:pPr>
          </w:p>
        </w:tc>
        <w:tc>
          <w:tcPr>
            <w:tcW w:w="599" w:type="pct"/>
            <w:vMerge/>
            <w:shd w:val="clear" w:color="auto" w:fill="auto"/>
          </w:tcPr>
          <w:p w14:paraId="65952BE8" w14:textId="77777777" w:rsidR="005B1815" w:rsidRPr="006502FB" w:rsidRDefault="005B1815" w:rsidP="00D276E6">
            <w:pPr>
              <w:jc w:val="center"/>
              <w:rPr>
                <w:sz w:val="20"/>
                <w:szCs w:val="20"/>
                <w:lang w:val="en-US"/>
              </w:rPr>
            </w:pPr>
          </w:p>
        </w:tc>
        <w:tc>
          <w:tcPr>
            <w:tcW w:w="599" w:type="pct"/>
            <w:vMerge/>
            <w:shd w:val="clear" w:color="auto" w:fill="auto"/>
          </w:tcPr>
          <w:p w14:paraId="26C240B8" w14:textId="77777777" w:rsidR="005B1815" w:rsidRPr="006502FB" w:rsidRDefault="005B1815" w:rsidP="00D276E6">
            <w:pPr>
              <w:jc w:val="center"/>
              <w:rPr>
                <w:sz w:val="20"/>
                <w:szCs w:val="20"/>
                <w:lang w:val="en-US"/>
              </w:rPr>
            </w:pPr>
          </w:p>
        </w:tc>
        <w:tc>
          <w:tcPr>
            <w:tcW w:w="599" w:type="pct"/>
            <w:tcBorders>
              <w:top w:val="single" w:sz="4" w:space="0" w:color="auto"/>
              <w:bottom w:val="single" w:sz="8" w:space="0" w:color="auto"/>
            </w:tcBorders>
            <w:shd w:val="clear" w:color="auto" w:fill="auto"/>
          </w:tcPr>
          <w:p w14:paraId="053999BB" w14:textId="77777777" w:rsidR="005B1815" w:rsidRPr="006502FB" w:rsidRDefault="005B1815" w:rsidP="00D276E6">
            <w:pPr>
              <w:jc w:val="center"/>
              <w:rPr>
                <w:sz w:val="20"/>
                <w:szCs w:val="20"/>
                <w:lang w:val="en-US"/>
              </w:rPr>
            </w:pPr>
            <w:r w:rsidRPr="006502FB">
              <w:rPr>
                <w:sz w:val="20"/>
                <w:szCs w:val="20"/>
                <w:lang w:val="en-US"/>
              </w:rPr>
              <w:t>AIS-4H-EVs</w:t>
            </w:r>
          </w:p>
        </w:tc>
        <w:tc>
          <w:tcPr>
            <w:tcW w:w="427" w:type="pct"/>
            <w:tcBorders>
              <w:top w:val="single" w:sz="4" w:space="0" w:color="auto"/>
              <w:bottom w:val="single" w:sz="8" w:space="0" w:color="auto"/>
            </w:tcBorders>
            <w:shd w:val="clear" w:color="auto" w:fill="auto"/>
          </w:tcPr>
          <w:p w14:paraId="0DCB47F8" w14:textId="77777777" w:rsidR="005B1815" w:rsidRPr="006502FB" w:rsidRDefault="005B1815" w:rsidP="00D276E6">
            <w:pPr>
              <w:jc w:val="center"/>
              <w:rPr>
                <w:sz w:val="20"/>
                <w:szCs w:val="20"/>
                <w:lang w:val="en-US"/>
              </w:rPr>
            </w:pPr>
            <w:r w:rsidRPr="006502FB">
              <w:rPr>
                <w:sz w:val="20"/>
                <w:szCs w:val="20"/>
                <w:lang w:val="en-US"/>
              </w:rPr>
              <w:t>0.90</w:t>
            </w:r>
          </w:p>
        </w:tc>
        <w:tc>
          <w:tcPr>
            <w:tcW w:w="429" w:type="pct"/>
            <w:tcBorders>
              <w:bottom w:val="single" w:sz="8" w:space="0" w:color="auto"/>
            </w:tcBorders>
            <w:shd w:val="clear" w:color="auto" w:fill="auto"/>
          </w:tcPr>
          <w:p w14:paraId="4A94AEF0" w14:textId="77777777" w:rsidR="005B1815" w:rsidRPr="006502FB" w:rsidRDefault="005B1815" w:rsidP="00D276E6">
            <w:pPr>
              <w:jc w:val="center"/>
              <w:rPr>
                <w:sz w:val="20"/>
                <w:szCs w:val="20"/>
                <w:lang w:val="en-US"/>
              </w:rPr>
            </w:pPr>
            <w:r w:rsidRPr="006502FB">
              <w:rPr>
                <w:sz w:val="20"/>
                <w:szCs w:val="20"/>
                <w:lang w:val="en-US"/>
              </w:rPr>
              <w:t>-</w:t>
            </w:r>
          </w:p>
        </w:tc>
        <w:tc>
          <w:tcPr>
            <w:tcW w:w="427" w:type="pct"/>
            <w:tcBorders>
              <w:bottom w:val="single" w:sz="8" w:space="0" w:color="auto"/>
            </w:tcBorders>
            <w:shd w:val="clear" w:color="auto" w:fill="auto"/>
          </w:tcPr>
          <w:p w14:paraId="45080FB8" w14:textId="77777777" w:rsidR="005B1815" w:rsidRPr="006502FB" w:rsidRDefault="005B1815" w:rsidP="00D276E6">
            <w:pPr>
              <w:jc w:val="center"/>
              <w:rPr>
                <w:sz w:val="20"/>
                <w:szCs w:val="20"/>
                <w:lang w:val="en-US"/>
              </w:rPr>
            </w:pPr>
            <w:r w:rsidRPr="006502FB">
              <w:rPr>
                <w:sz w:val="20"/>
                <w:szCs w:val="20"/>
                <w:lang w:val="en-US"/>
              </w:rPr>
              <w:t>-</w:t>
            </w:r>
          </w:p>
        </w:tc>
        <w:tc>
          <w:tcPr>
            <w:tcW w:w="388" w:type="pct"/>
            <w:vMerge/>
            <w:tcBorders>
              <w:right w:val="single" w:sz="12" w:space="0" w:color="000000"/>
            </w:tcBorders>
            <w:shd w:val="clear" w:color="auto" w:fill="auto"/>
          </w:tcPr>
          <w:p w14:paraId="614FDA36" w14:textId="77777777" w:rsidR="005B1815" w:rsidRPr="006502FB" w:rsidRDefault="005B1815" w:rsidP="00D276E6">
            <w:pPr>
              <w:jc w:val="center"/>
              <w:rPr>
                <w:sz w:val="20"/>
                <w:szCs w:val="20"/>
                <w:lang w:val="en-US"/>
              </w:rPr>
            </w:pPr>
          </w:p>
        </w:tc>
      </w:tr>
      <w:tr w:rsidR="005B1815" w:rsidRPr="00D17951" w14:paraId="22B19844" w14:textId="77777777" w:rsidTr="00A910C3">
        <w:trPr>
          <w:trHeight w:val="90"/>
        </w:trPr>
        <w:tc>
          <w:tcPr>
            <w:tcW w:w="762" w:type="pct"/>
            <w:vMerge/>
            <w:tcBorders>
              <w:left w:val="single" w:sz="12" w:space="0" w:color="auto"/>
            </w:tcBorders>
            <w:shd w:val="clear" w:color="auto" w:fill="auto"/>
          </w:tcPr>
          <w:p w14:paraId="122C2E43" w14:textId="77777777" w:rsidR="005B1815" w:rsidRPr="006502FB" w:rsidRDefault="005B1815" w:rsidP="00D276E6">
            <w:pPr>
              <w:jc w:val="center"/>
              <w:rPr>
                <w:sz w:val="20"/>
                <w:szCs w:val="20"/>
                <w:lang w:val="en-US"/>
              </w:rPr>
            </w:pPr>
          </w:p>
        </w:tc>
        <w:tc>
          <w:tcPr>
            <w:tcW w:w="769" w:type="pct"/>
            <w:vMerge/>
            <w:shd w:val="clear" w:color="auto" w:fill="auto"/>
          </w:tcPr>
          <w:p w14:paraId="43F77337" w14:textId="77777777" w:rsidR="005B1815" w:rsidRPr="006502FB" w:rsidRDefault="005B1815" w:rsidP="00D276E6">
            <w:pPr>
              <w:jc w:val="center"/>
              <w:rPr>
                <w:sz w:val="20"/>
                <w:szCs w:val="20"/>
                <w:lang w:val="en-US"/>
              </w:rPr>
            </w:pPr>
          </w:p>
        </w:tc>
        <w:tc>
          <w:tcPr>
            <w:tcW w:w="599" w:type="pct"/>
            <w:vMerge/>
            <w:shd w:val="clear" w:color="auto" w:fill="auto"/>
          </w:tcPr>
          <w:p w14:paraId="070BEBA3" w14:textId="77777777" w:rsidR="005B1815" w:rsidRPr="006502FB" w:rsidRDefault="005B1815" w:rsidP="00D276E6">
            <w:pPr>
              <w:jc w:val="center"/>
              <w:rPr>
                <w:sz w:val="20"/>
                <w:szCs w:val="20"/>
                <w:lang w:val="en-US"/>
              </w:rPr>
            </w:pPr>
          </w:p>
        </w:tc>
        <w:tc>
          <w:tcPr>
            <w:tcW w:w="599" w:type="pct"/>
            <w:vMerge/>
            <w:shd w:val="clear" w:color="auto" w:fill="auto"/>
          </w:tcPr>
          <w:p w14:paraId="6F5B79D8" w14:textId="77777777" w:rsidR="005B1815" w:rsidRPr="006502FB" w:rsidRDefault="005B1815" w:rsidP="00D276E6">
            <w:pPr>
              <w:jc w:val="center"/>
              <w:rPr>
                <w:sz w:val="20"/>
                <w:szCs w:val="20"/>
                <w:lang w:val="en-US"/>
              </w:rPr>
            </w:pPr>
          </w:p>
        </w:tc>
        <w:tc>
          <w:tcPr>
            <w:tcW w:w="599" w:type="pct"/>
            <w:tcBorders>
              <w:top w:val="single" w:sz="8" w:space="0" w:color="auto"/>
              <w:bottom w:val="single" w:sz="4" w:space="0" w:color="auto"/>
            </w:tcBorders>
            <w:shd w:val="clear" w:color="auto" w:fill="auto"/>
          </w:tcPr>
          <w:p w14:paraId="235E4510" w14:textId="77777777" w:rsidR="005B1815" w:rsidRPr="006502FB" w:rsidRDefault="005B1815" w:rsidP="00D276E6">
            <w:pPr>
              <w:jc w:val="center"/>
              <w:rPr>
                <w:sz w:val="20"/>
                <w:szCs w:val="20"/>
                <w:lang w:val="en-US"/>
              </w:rPr>
            </w:pPr>
            <w:r w:rsidRPr="006502FB">
              <w:rPr>
                <w:sz w:val="20"/>
                <w:szCs w:val="20"/>
                <w:lang w:val="en-US"/>
              </w:rPr>
              <w:t>AIS-6H-Serum</w:t>
            </w:r>
          </w:p>
        </w:tc>
        <w:tc>
          <w:tcPr>
            <w:tcW w:w="427" w:type="pct"/>
            <w:tcBorders>
              <w:top w:val="single" w:sz="8" w:space="0" w:color="auto"/>
              <w:bottom w:val="single" w:sz="4" w:space="0" w:color="auto"/>
            </w:tcBorders>
            <w:shd w:val="clear" w:color="auto" w:fill="auto"/>
          </w:tcPr>
          <w:p w14:paraId="728C385F" w14:textId="77777777" w:rsidR="005B1815" w:rsidRPr="006502FB" w:rsidRDefault="005B1815" w:rsidP="00D276E6">
            <w:pPr>
              <w:jc w:val="center"/>
              <w:rPr>
                <w:sz w:val="20"/>
                <w:szCs w:val="20"/>
                <w:lang w:val="en-US"/>
              </w:rPr>
            </w:pPr>
            <w:r w:rsidRPr="006502FB">
              <w:rPr>
                <w:sz w:val="20"/>
                <w:szCs w:val="20"/>
                <w:lang w:val="en-US"/>
              </w:rPr>
              <w:t>0.71</w:t>
            </w:r>
          </w:p>
        </w:tc>
        <w:tc>
          <w:tcPr>
            <w:tcW w:w="429" w:type="pct"/>
            <w:tcBorders>
              <w:top w:val="single" w:sz="8" w:space="0" w:color="auto"/>
            </w:tcBorders>
            <w:shd w:val="clear" w:color="auto" w:fill="auto"/>
          </w:tcPr>
          <w:p w14:paraId="085B923F" w14:textId="77777777" w:rsidR="005B1815" w:rsidRPr="006502FB" w:rsidRDefault="005B1815" w:rsidP="00D276E6">
            <w:pPr>
              <w:jc w:val="center"/>
              <w:rPr>
                <w:sz w:val="20"/>
                <w:szCs w:val="20"/>
                <w:lang w:val="en-US"/>
              </w:rPr>
            </w:pPr>
            <w:r w:rsidRPr="006502FB">
              <w:rPr>
                <w:sz w:val="20"/>
                <w:szCs w:val="20"/>
                <w:lang w:val="en-US"/>
              </w:rPr>
              <w:t>-</w:t>
            </w:r>
          </w:p>
        </w:tc>
        <w:tc>
          <w:tcPr>
            <w:tcW w:w="427" w:type="pct"/>
            <w:tcBorders>
              <w:top w:val="single" w:sz="8" w:space="0" w:color="auto"/>
            </w:tcBorders>
            <w:shd w:val="clear" w:color="auto" w:fill="auto"/>
          </w:tcPr>
          <w:p w14:paraId="3C062692" w14:textId="77777777" w:rsidR="005B1815" w:rsidRPr="006502FB" w:rsidRDefault="005B1815" w:rsidP="00D276E6">
            <w:pPr>
              <w:jc w:val="center"/>
              <w:rPr>
                <w:sz w:val="20"/>
                <w:szCs w:val="20"/>
                <w:lang w:val="en-US"/>
              </w:rPr>
            </w:pPr>
            <w:r w:rsidRPr="006502FB">
              <w:rPr>
                <w:sz w:val="20"/>
                <w:szCs w:val="20"/>
                <w:lang w:val="en-US"/>
              </w:rPr>
              <w:t>-</w:t>
            </w:r>
          </w:p>
        </w:tc>
        <w:tc>
          <w:tcPr>
            <w:tcW w:w="388" w:type="pct"/>
            <w:vMerge/>
            <w:tcBorders>
              <w:right w:val="single" w:sz="12" w:space="0" w:color="000000"/>
            </w:tcBorders>
            <w:shd w:val="clear" w:color="auto" w:fill="auto"/>
          </w:tcPr>
          <w:p w14:paraId="530284E8" w14:textId="77777777" w:rsidR="005B1815" w:rsidRPr="006502FB" w:rsidRDefault="005B1815" w:rsidP="00D276E6">
            <w:pPr>
              <w:jc w:val="center"/>
              <w:rPr>
                <w:sz w:val="20"/>
                <w:szCs w:val="20"/>
                <w:lang w:val="en-US"/>
              </w:rPr>
            </w:pPr>
          </w:p>
        </w:tc>
      </w:tr>
      <w:tr w:rsidR="005B1815" w:rsidRPr="00D17951" w14:paraId="1F06290F" w14:textId="77777777" w:rsidTr="00A910C3">
        <w:trPr>
          <w:trHeight w:val="150"/>
        </w:trPr>
        <w:tc>
          <w:tcPr>
            <w:tcW w:w="762" w:type="pct"/>
            <w:vMerge/>
            <w:tcBorders>
              <w:left w:val="single" w:sz="12" w:space="0" w:color="auto"/>
              <w:bottom w:val="single" w:sz="12" w:space="0" w:color="auto"/>
            </w:tcBorders>
            <w:shd w:val="clear" w:color="auto" w:fill="auto"/>
          </w:tcPr>
          <w:p w14:paraId="122B3655" w14:textId="77777777" w:rsidR="005B1815" w:rsidRPr="006502FB" w:rsidRDefault="005B1815" w:rsidP="00D276E6">
            <w:pPr>
              <w:jc w:val="center"/>
              <w:rPr>
                <w:sz w:val="20"/>
                <w:szCs w:val="20"/>
                <w:lang w:val="en-US"/>
              </w:rPr>
            </w:pPr>
          </w:p>
        </w:tc>
        <w:tc>
          <w:tcPr>
            <w:tcW w:w="769" w:type="pct"/>
            <w:vMerge/>
            <w:tcBorders>
              <w:bottom w:val="single" w:sz="12" w:space="0" w:color="auto"/>
            </w:tcBorders>
            <w:shd w:val="clear" w:color="auto" w:fill="auto"/>
          </w:tcPr>
          <w:p w14:paraId="1ED01540" w14:textId="77777777" w:rsidR="005B1815" w:rsidRPr="006502FB" w:rsidRDefault="005B1815" w:rsidP="00D276E6">
            <w:pPr>
              <w:jc w:val="center"/>
              <w:rPr>
                <w:sz w:val="20"/>
                <w:szCs w:val="20"/>
                <w:lang w:val="en-US"/>
              </w:rPr>
            </w:pPr>
          </w:p>
        </w:tc>
        <w:tc>
          <w:tcPr>
            <w:tcW w:w="599" w:type="pct"/>
            <w:vMerge/>
            <w:tcBorders>
              <w:bottom w:val="single" w:sz="12" w:space="0" w:color="auto"/>
            </w:tcBorders>
            <w:shd w:val="clear" w:color="auto" w:fill="auto"/>
          </w:tcPr>
          <w:p w14:paraId="2FCBFED5" w14:textId="77777777" w:rsidR="005B1815" w:rsidRPr="006502FB" w:rsidRDefault="005B1815" w:rsidP="00D276E6">
            <w:pPr>
              <w:jc w:val="center"/>
              <w:rPr>
                <w:sz w:val="20"/>
                <w:szCs w:val="20"/>
                <w:lang w:val="en-US"/>
              </w:rPr>
            </w:pPr>
          </w:p>
        </w:tc>
        <w:tc>
          <w:tcPr>
            <w:tcW w:w="599" w:type="pct"/>
            <w:vMerge/>
            <w:tcBorders>
              <w:bottom w:val="single" w:sz="12" w:space="0" w:color="auto"/>
            </w:tcBorders>
            <w:shd w:val="clear" w:color="auto" w:fill="auto"/>
          </w:tcPr>
          <w:p w14:paraId="3FFC0F44" w14:textId="77777777" w:rsidR="005B1815" w:rsidRPr="006502FB" w:rsidRDefault="005B1815" w:rsidP="00D276E6">
            <w:pPr>
              <w:jc w:val="center"/>
              <w:rPr>
                <w:sz w:val="20"/>
                <w:szCs w:val="20"/>
                <w:lang w:val="en-US"/>
              </w:rPr>
            </w:pPr>
          </w:p>
        </w:tc>
        <w:tc>
          <w:tcPr>
            <w:tcW w:w="599" w:type="pct"/>
            <w:tcBorders>
              <w:top w:val="single" w:sz="4" w:space="0" w:color="auto"/>
              <w:bottom w:val="single" w:sz="12" w:space="0" w:color="auto"/>
            </w:tcBorders>
            <w:shd w:val="clear" w:color="auto" w:fill="auto"/>
          </w:tcPr>
          <w:p w14:paraId="43E26E08" w14:textId="77777777" w:rsidR="005B1815" w:rsidRPr="006502FB" w:rsidRDefault="005B1815" w:rsidP="00D276E6">
            <w:pPr>
              <w:jc w:val="center"/>
              <w:rPr>
                <w:sz w:val="20"/>
                <w:szCs w:val="20"/>
                <w:lang w:val="en-US"/>
              </w:rPr>
            </w:pPr>
            <w:r w:rsidRPr="006502FB">
              <w:rPr>
                <w:sz w:val="20"/>
                <w:szCs w:val="20"/>
                <w:lang w:val="en-US"/>
              </w:rPr>
              <w:t>AIS-6H-EVs</w:t>
            </w:r>
          </w:p>
        </w:tc>
        <w:tc>
          <w:tcPr>
            <w:tcW w:w="427" w:type="pct"/>
            <w:tcBorders>
              <w:top w:val="single" w:sz="4" w:space="0" w:color="auto"/>
              <w:bottom w:val="single" w:sz="12" w:space="0" w:color="auto"/>
            </w:tcBorders>
            <w:shd w:val="clear" w:color="auto" w:fill="auto"/>
          </w:tcPr>
          <w:p w14:paraId="60A409F0" w14:textId="77777777" w:rsidR="005B1815" w:rsidRPr="006502FB" w:rsidRDefault="005B1815" w:rsidP="00D276E6">
            <w:pPr>
              <w:jc w:val="center"/>
              <w:rPr>
                <w:sz w:val="20"/>
                <w:szCs w:val="20"/>
                <w:lang w:val="en-US"/>
              </w:rPr>
            </w:pPr>
            <w:r w:rsidRPr="006502FB">
              <w:rPr>
                <w:sz w:val="20"/>
                <w:szCs w:val="20"/>
                <w:lang w:val="en-US"/>
              </w:rPr>
              <w:t>0.94</w:t>
            </w:r>
          </w:p>
        </w:tc>
        <w:tc>
          <w:tcPr>
            <w:tcW w:w="429" w:type="pct"/>
            <w:tcBorders>
              <w:bottom w:val="single" w:sz="12" w:space="0" w:color="auto"/>
            </w:tcBorders>
            <w:shd w:val="clear" w:color="auto" w:fill="auto"/>
          </w:tcPr>
          <w:p w14:paraId="101E1EA6" w14:textId="77777777" w:rsidR="005B1815" w:rsidRPr="006502FB" w:rsidRDefault="005B1815" w:rsidP="00D276E6">
            <w:pPr>
              <w:jc w:val="center"/>
              <w:rPr>
                <w:sz w:val="20"/>
                <w:szCs w:val="20"/>
                <w:lang w:val="en-US"/>
              </w:rPr>
            </w:pPr>
            <w:r w:rsidRPr="006502FB">
              <w:rPr>
                <w:sz w:val="20"/>
                <w:szCs w:val="20"/>
                <w:lang w:val="en-US"/>
              </w:rPr>
              <w:t>-</w:t>
            </w:r>
          </w:p>
        </w:tc>
        <w:tc>
          <w:tcPr>
            <w:tcW w:w="427" w:type="pct"/>
            <w:tcBorders>
              <w:bottom w:val="single" w:sz="12" w:space="0" w:color="auto"/>
            </w:tcBorders>
            <w:shd w:val="clear" w:color="auto" w:fill="auto"/>
          </w:tcPr>
          <w:p w14:paraId="6E8A6D57" w14:textId="77777777" w:rsidR="005B1815" w:rsidRPr="006502FB" w:rsidRDefault="005B1815" w:rsidP="00D276E6">
            <w:pPr>
              <w:jc w:val="center"/>
              <w:rPr>
                <w:sz w:val="20"/>
                <w:szCs w:val="20"/>
                <w:lang w:val="en-US"/>
              </w:rPr>
            </w:pPr>
            <w:r w:rsidRPr="006502FB">
              <w:rPr>
                <w:sz w:val="20"/>
                <w:szCs w:val="20"/>
                <w:lang w:val="en-US"/>
              </w:rPr>
              <w:t>-</w:t>
            </w:r>
          </w:p>
        </w:tc>
        <w:tc>
          <w:tcPr>
            <w:tcW w:w="388" w:type="pct"/>
            <w:vMerge/>
            <w:tcBorders>
              <w:bottom w:val="single" w:sz="12" w:space="0" w:color="auto"/>
              <w:right w:val="single" w:sz="12" w:space="0" w:color="000000"/>
            </w:tcBorders>
            <w:shd w:val="clear" w:color="auto" w:fill="auto"/>
          </w:tcPr>
          <w:p w14:paraId="4F9194CC" w14:textId="77777777" w:rsidR="005B1815" w:rsidRPr="006502FB" w:rsidRDefault="005B1815" w:rsidP="00D276E6">
            <w:pPr>
              <w:jc w:val="center"/>
              <w:rPr>
                <w:sz w:val="20"/>
                <w:szCs w:val="20"/>
                <w:lang w:val="en-US"/>
              </w:rPr>
            </w:pPr>
          </w:p>
        </w:tc>
      </w:tr>
    </w:tbl>
    <w:bookmarkEnd w:id="154"/>
    <w:p w14:paraId="4A61DAD9" w14:textId="77777777" w:rsidR="005B1815" w:rsidRPr="00025BB7" w:rsidRDefault="005B1815" w:rsidP="005B1815">
      <w:pPr>
        <w:jc w:val="both"/>
        <w:rPr>
          <w:i/>
          <w:iCs/>
          <w:sz w:val="18"/>
          <w:szCs w:val="18"/>
          <w:lang w:val="en-US"/>
        </w:rPr>
      </w:pPr>
      <w:r w:rsidRPr="00025BB7">
        <w:rPr>
          <w:i/>
          <w:iCs/>
          <w:sz w:val="18"/>
          <w:szCs w:val="18"/>
          <w:lang w:val="en-US"/>
        </w:rPr>
        <w:t>Ischemic</w:t>
      </w:r>
      <w:r w:rsidRPr="006502FB">
        <w:rPr>
          <w:i/>
          <w:iCs/>
          <w:sz w:val="18"/>
          <w:szCs w:val="18"/>
          <w:lang w:val="en-US"/>
        </w:rPr>
        <w:t xml:space="preserve"> </w:t>
      </w:r>
      <w:r w:rsidRPr="00025BB7">
        <w:rPr>
          <w:i/>
          <w:iCs/>
          <w:sz w:val="18"/>
          <w:szCs w:val="18"/>
          <w:lang w:val="en-US"/>
        </w:rPr>
        <w:t>Stroke</w:t>
      </w:r>
      <w:r w:rsidRPr="006502FB">
        <w:rPr>
          <w:i/>
          <w:iCs/>
          <w:sz w:val="18"/>
          <w:szCs w:val="18"/>
          <w:lang w:val="en-US"/>
        </w:rPr>
        <w:t xml:space="preserve"> (</w:t>
      </w:r>
      <w:r w:rsidRPr="00025BB7">
        <w:rPr>
          <w:i/>
          <w:iCs/>
          <w:sz w:val="18"/>
          <w:szCs w:val="18"/>
          <w:lang w:val="en-US"/>
        </w:rPr>
        <w:t>IS</w:t>
      </w:r>
      <w:r w:rsidRPr="006502FB">
        <w:rPr>
          <w:i/>
          <w:iCs/>
          <w:sz w:val="18"/>
          <w:szCs w:val="18"/>
          <w:lang w:val="en-US"/>
        </w:rPr>
        <w:t xml:space="preserve">), </w:t>
      </w:r>
      <w:r w:rsidRPr="00025BB7">
        <w:rPr>
          <w:i/>
          <w:iCs/>
          <w:sz w:val="18"/>
          <w:szCs w:val="18"/>
          <w:lang w:val="en-US"/>
        </w:rPr>
        <w:t>Acute</w:t>
      </w:r>
      <w:r w:rsidRPr="006502FB">
        <w:rPr>
          <w:i/>
          <w:iCs/>
          <w:sz w:val="18"/>
          <w:szCs w:val="18"/>
          <w:lang w:val="en-US"/>
        </w:rPr>
        <w:t xml:space="preserve"> </w:t>
      </w:r>
      <w:r w:rsidRPr="00025BB7">
        <w:rPr>
          <w:i/>
          <w:iCs/>
          <w:sz w:val="18"/>
          <w:szCs w:val="18"/>
          <w:lang w:val="en-US"/>
        </w:rPr>
        <w:t>IS</w:t>
      </w:r>
      <w:r w:rsidRPr="006502FB">
        <w:rPr>
          <w:i/>
          <w:iCs/>
          <w:sz w:val="18"/>
          <w:szCs w:val="18"/>
          <w:lang w:val="en-US"/>
        </w:rPr>
        <w:t xml:space="preserve"> (</w:t>
      </w:r>
      <w:r w:rsidRPr="00025BB7">
        <w:rPr>
          <w:i/>
          <w:iCs/>
          <w:sz w:val="18"/>
          <w:szCs w:val="18"/>
          <w:lang w:val="en-US"/>
        </w:rPr>
        <w:t>AIS</w:t>
      </w:r>
      <w:r w:rsidRPr="006502FB">
        <w:rPr>
          <w:i/>
          <w:iCs/>
          <w:sz w:val="18"/>
          <w:szCs w:val="18"/>
          <w:lang w:val="en-US"/>
        </w:rPr>
        <w:t xml:space="preserve">), </w:t>
      </w:r>
      <w:r w:rsidRPr="00025BB7">
        <w:rPr>
          <w:i/>
          <w:iCs/>
          <w:sz w:val="18"/>
          <w:szCs w:val="18"/>
          <w:lang w:val="en-US"/>
        </w:rPr>
        <w:t>interleukin</w:t>
      </w:r>
      <w:r w:rsidRPr="006502FB">
        <w:rPr>
          <w:i/>
          <w:iCs/>
          <w:sz w:val="18"/>
          <w:szCs w:val="18"/>
          <w:lang w:val="en-US"/>
        </w:rPr>
        <w:t xml:space="preserve"> 6 (</w:t>
      </w:r>
      <w:r w:rsidRPr="00025BB7">
        <w:rPr>
          <w:i/>
          <w:iCs/>
          <w:sz w:val="18"/>
          <w:szCs w:val="18"/>
          <w:lang w:val="en-US"/>
        </w:rPr>
        <w:t>IL</w:t>
      </w:r>
      <w:r w:rsidRPr="006502FB">
        <w:rPr>
          <w:i/>
          <w:iCs/>
          <w:sz w:val="18"/>
          <w:szCs w:val="18"/>
          <w:lang w:val="en-US"/>
        </w:rPr>
        <w:t xml:space="preserve">-6), </w:t>
      </w:r>
      <w:r w:rsidRPr="00025BB7">
        <w:rPr>
          <w:i/>
          <w:iCs/>
          <w:sz w:val="18"/>
          <w:szCs w:val="18"/>
          <w:lang w:val="en-US"/>
        </w:rPr>
        <w:t>neuron</w:t>
      </w:r>
      <w:r w:rsidRPr="006502FB">
        <w:rPr>
          <w:i/>
          <w:iCs/>
          <w:sz w:val="18"/>
          <w:szCs w:val="18"/>
          <w:lang w:val="en-US"/>
        </w:rPr>
        <w:t>-</w:t>
      </w:r>
      <w:r w:rsidRPr="00025BB7">
        <w:rPr>
          <w:i/>
          <w:iCs/>
          <w:sz w:val="18"/>
          <w:szCs w:val="18"/>
          <w:lang w:val="en-US"/>
        </w:rPr>
        <w:t>specific</w:t>
      </w:r>
      <w:r w:rsidRPr="006502FB">
        <w:rPr>
          <w:i/>
          <w:iCs/>
          <w:sz w:val="18"/>
          <w:szCs w:val="18"/>
          <w:lang w:val="en-US"/>
        </w:rPr>
        <w:t xml:space="preserve"> </w:t>
      </w:r>
      <w:r w:rsidRPr="00025BB7">
        <w:rPr>
          <w:i/>
          <w:iCs/>
          <w:sz w:val="18"/>
          <w:szCs w:val="18"/>
          <w:lang w:val="en-US"/>
        </w:rPr>
        <w:t>enolase</w:t>
      </w:r>
      <w:r w:rsidRPr="006502FB">
        <w:rPr>
          <w:i/>
          <w:iCs/>
          <w:sz w:val="18"/>
          <w:szCs w:val="18"/>
          <w:lang w:val="en-US"/>
        </w:rPr>
        <w:t xml:space="preserve"> (</w:t>
      </w:r>
      <w:r w:rsidRPr="00025BB7">
        <w:rPr>
          <w:i/>
          <w:iCs/>
          <w:sz w:val="18"/>
          <w:szCs w:val="18"/>
          <w:lang w:val="en-US"/>
        </w:rPr>
        <w:t>NSE</w:t>
      </w:r>
      <w:r w:rsidRPr="006502FB">
        <w:rPr>
          <w:i/>
          <w:iCs/>
          <w:sz w:val="18"/>
          <w:szCs w:val="18"/>
          <w:lang w:val="en-US"/>
        </w:rPr>
        <w:t xml:space="preserve">), </w:t>
      </w:r>
      <w:r w:rsidRPr="00025BB7">
        <w:rPr>
          <w:i/>
          <w:iCs/>
          <w:sz w:val="18"/>
          <w:szCs w:val="18"/>
          <w:lang w:val="en-US"/>
        </w:rPr>
        <w:t>Extracellular</w:t>
      </w:r>
      <w:r w:rsidRPr="006502FB">
        <w:rPr>
          <w:i/>
          <w:iCs/>
          <w:sz w:val="18"/>
          <w:szCs w:val="18"/>
          <w:lang w:val="en-US"/>
        </w:rPr>
        <w:t xml:space="preserve"> </w:t>
      </w:r>
      <w:r w:rsidRPr="00025BB7">
        <w:rPr>
          <w:i/>
          <w:iCs/>
          <w:sz w:val="18"/>
          <w:szCs w:val="18"/>
          <w:lang w:val="en-US"/>
        </w:rPr>
        <w:t>Vesicle</w:t>
      </w:r>
      <w:r w:rsidRPr="006502FB">
        <w:rPr>
          <w:i/>
          <w:iCs/>
          <w:sz w:val="18"/>
          <w:szCs w:val="18"/>
          <w:lang w:val="en-US"/>
        </w:rPr>
        <w:t>(</w:t>
      </w:r>
      <w:r w:rsidRPr="00025BB7">
        <w:rPr>
          <w:i/>
          <w:iCs/>
          <w:sz w:val="18"/>
          <w:szCs w:val="18"/>
          <w:lang w:val="en-US"/>
        </w:rPr>
        <w:t>EV</w:t>
      </w:r>
      <w:r w:rsidRPr="006502FB">
        <w:rPr>
          <w:i/>
          <w:iCs/>
          <w:sz w:val="18"/>
          <w:szCs w:val="18"/>
          <w:lang w:val="en-US"/>
        </w:rPr>
        <w:t xml:space="preserve">), </w:t>
      </w:r>
      <w:r w:rsidRPr="00025BB7">
        <w:rPr>
          <w:i/>
          <w:iCs/>
          <w:sz w:val="18"/>
          <w:szCs w:val="18"/>
          <w:lang w:val="en-US"/>
        </w:rPr>
        <w:t>normal/healthy control group (NC), quantitative real-time polymerase chain reaction(qRT-PCR), transmission electron microscopy (TEM).</w:t>
      </w:r>
    </w:p>
    <w:p w14:paraId="688498A3" w14:textId="77777777" w:rsidR="005B1815" w:rsidRPr="00387775" w:rsidRDefault="005B1815" w:rsidP="00DC5FE5">
      <w:pPr>
        <w:spacing w:line="360" w:lineRule="auto"/>
        <w:jc w:val="both"/>
        <w:rPr>
          <w:rFonts w:eastAsia="Calibri"/>
        </w:rPr>
      </w:pPr>
    </w:p>
    <w:p w14:paraId="4EF24C73" w14:textId="52A6BEBD" w:rsidR="002C118A" w:rsidRPr="00EB2D8D" w:rsidRDefault="008641F1" w:rsidP="00A46902">
      <w:pPr>
        <w:pStyle w:val="3"/>
        <w:rPr>
          <w:lang w:val="en-US"/>
        </w:rPr>
      </w:pPr>
      <w:bookmarkStart w:id="155" w:name="_Toc199787419"/>
      <w:bookmarkStart w:id="156" w:name="_Toc199946490"/>
      <w:r w:rsidRPr="00A46902">
        <w:t xml:space="preserve">5.3.1 </w:t>
      </w:r>
      <w:r w:rsidR="002C118A" w:rsidRPr="00A46902">
        <w:t>Εξωσωματικά microRNA και ncRN</w:t>
      </w:r>
      <w:bookmarkEnd w:id="155"/>
      <w:r w:rsidR="00EB2D8D">
        <w:rPr>
          <w:lang w:val="en-US"/>
        </w:rPr>
        <w:t>A</w:t>
      </w:r>
      <w:bookmarkEnd w:id="156"/>
    </w:p>
    <w:p w14:paraId="46A7C9DC" w14:textId="766FD9B0" w:rsidR="007C3197" w:rsidRPr="00A831E7" w:rsidRDefault="007C3197" w:rsidP="0057069D">
      <w:pPr>
        <w:spacing w:line="360" w:lineRule="auto"/>
        <w:ind w:firstLine="720"/>
        <w:jc w:val="both"/>
        <w:rPr>
          <w:rFonts w:eastAsia="Calibri"/>
        </w:rPr>
      </w:pPr>
      <w:bookmarkStart w:id="157" w:name="_Hlk199086893"/>
      <w:r w:rsidRPr="00A831E7">
        <w:rPr>
          <w:rFonts w:eastAsia="Calibri"/>
        </w:rPr>
        <w:t>Η</w:t>
      </w:r>
      <w:r w:rsidRPr="00730D74">
        <w:rPr>
          <w:rFonts w:eastAsia="Calibri"/>
          <w:lang w:val="en-US"/>
        </w:rPr>
        <w:t xml:space="preserve"> </w:t>
      </w:r>
      <w:r w:rsidRPr="00A831E7">
        <w:rPr>
          <w:rFonts w:eastAsia="Calibri"/>
        </w:rPr>
        <w:t>μελέτη</w:t>
      </w:r>
      <w:r w:rsidRPr="00730D74">
        <w:rPr>
          <w:rFonts w:eastAsia="Calibri"/>
          <w:lang w:val="en-US"/>
        </w:rPr>
        <w:t xml:space="preserve"> Bang et al. </w:t>
      </w:r>
      <w:r w:rsidRPr="00A831E7">
        <w:rPr>
          <w:rFonts w:eastAsia="Calibri"/>
        </w:rPr>
        <w:fldChar w:fldCharType="begin"/>
      </w:r>
      <w:r w:rsidR="00B61252">
        <w:rPr>
          <w:rFonts w:eastAsia="Calibri"/>
          <w:lang w:val="en-US"/>
        </w:rPr>
        <w:instrText xml:space="preserve"> ADDIN ZOTERO_ITEM CSL_CITATION {"citationID":"CzVuhTUD","properties":{"formattedCitation":"[100]","plainCitation":"[100]","noteIndex":0},"citationItems":[{"id":1079,"uris":["http://zotero.org/users/local/mfHf28QG/items/RYIDQXHY"],"itemData":{"id":1079,"type":"article-journal","abstract":"Ischemic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Young"}],"issued":{"date-parts":[["2024",6,20]]}}}],"schema":"https://github.com/citation-style-language/schema/raw/master/csl-citation.json"} </w:instrText>
      </w:r>
      <w:r w:rsidRPr="00A831E7">
        <w:rPr>
          <w:rFonts w:eastAsia="Calibri"/>
        </w:rPr>
        <w:fldChar w:fldCharType="separate"/>
      </w:r>
      <w:r w:rsidR="00B61252" w:rsidRPr="00B61252">
        <w:rPr>
          <w:rFonts w:eastAsia="Calibri"/>
        </w:rPr>
        <w:t>[100]</w:t>
      </w:r>
      <w:r w:rsidRPr="00A831E7">
        <w:rPr>
          <w:rFonts w:eastAsia="Calibri"/>
        </w:rPr>
        <w:fldChar w:fldCharType="end"/>
      </w:r>
      <w:r w:rsidRPr="00A831E7">
        <w:rPr>
          <w:rFonts w:eastAsia="Calibri"/>
        </w:rPr>
        <w:t xml:space="preserve"> επικεντρώνεται στην ταξινόμηση υποτύπων ισχαιμικού εγκεφαλικού (AIS) μέσω ML μοντέλων. Τα δείγματα αίματος συλλέχθηκαν εντός επτά ημερών από την έναρξη των συμπτωμάτων, γεγονός που</w:t>
      </w:r>
      <w:r w:rsidR="00025BB7" w:rsidRPr="00025BB7">
        <w:rPr>
          <w:rFonts w:eastAsia="Calibri"/>
        </w:rPr>
        <w:t xml:space="preserve"> –</w:t>
      </w:r>
      <w:r w:rsidRPr="00A831E7">
        <w:rPr>
          <w:rFonts w:eastAsia="Calibri"/>
        </w:rPr>
        <w:t xml:space="preserve"> αν και χρήσιμο για την έρευνα</w:t>
      </w:r>
      <w:r w:rsidR="00025BB7" w:rsidRPr="00025BB7">
        <w:rPr>
          <w:rFonts w:eastAsia="Calibri"/>
        </w:rPr>
        <w:t xml:space="preserve"> –</w:t>
      </w:r>
      <w:r w:rsidRPr="00A831E7">
        <w:rPr>
          <w:rFonts w:eastAsia="Calibri"/>
        </w:rPr>
        <w:t xml:space="preserve"> παραμένει περιοριστικό για εφαρμογές </w:t>
      </w:r>
      <w:r w:rsidR="008F7D11" w:rsidRPr="00A831E7">
        <w:rPr>
          <w:rFonts w:eastAsia="Calibri"/>
        </w:rPr>
        <w:t>point-of-care</w:t>
      </w:r>
      <w:r w:rsidRPr="00A831E7">
        <w:rPr>
          <w:rFonts w:eastAsia="Calibri"/>
        </w:rPr>
        <w:t xml:space="preserve"> (PoC). Τα EVs απομονώθηκαν μέσω υπερφυγοκέντρησης και χαρακτηρίστηκαν με Cryo-TEM και NanoSight tracking </w:t>
      </w:r>
      <w:r w:rsidR="008E382E">
        <w:rPr>
          <w:rFonts w:eastAsia="Calibri"/>
        </w:rPr>
        <w:t>ανάλυση</w:t>
      </w:r>
      <w:r w:rsidRPr="00A831E7">
        <w:rPr>
          <w:rFonts w:eastAsia="Calibri"/>
        </w:rPr>
        <w:t>.</w:t>
      </w:r>
      <w:r w:rsidR="000331B3">
        <w:rPr>
          <w:rFonts w:eastAsia="Calibri"/>
        </w:rPr>
        <w:t xml:space="preserve"> Με ανάλυση και των 1251 χαρακτηριστικών σετ η ακρίβεια έφτασε το 92%.</w:t>
      </w:r>
      <w:r w:rsidRPr="00A831E7">
        <w:rPr>
          <w:rFonts w:eastAsia="Calibri"/>
        </w:rPr>
        <w:t xml:space="preserve"> Για την ταξινόμηση υποτύπων, εφαρμόστηκε λογιστική παλινδρόμηση (Logistic Regression), που απέδωσε AUC ~ 0.93 και ακρίβεια 92.27%</w:t>
      </w:r>
      <w:r w:rsidR="000331B3">
        <w:rPr>
          <w:rFonts w:eastAsia="Calibri"/>
          <w:lang w:val="en-US"/>
        </w:rPr>
        <w:t xml:space="preserve"> </w:t>
      </w:r>
      <w:r w:rsidR="000331B3" w:rsidRPr="00A831E7">
        <w:rPr>
          <w:rFonts w:eastAsia="Calibri"/>
        </w:rPr>
        <w:t xml:space="preserve">(AUC = 0.9274 για </w:t>
      </w:r>
      <w:r w:rsidR="000331B3" w:rsidRPr="00772FFA">
        <w:rPr>
          <w:rFonts w:eastAsia="Calibri"/>
          <w:b/>
          <w:bCs/>
        </w:rPr>
        <w:t>CES</w:t>
      </w:r>
      <w:r w:rsidR="000331B3" w:rsidRPr="00A831E7">
        <w:rPr>
          <w:rFonts w:eastAsia="Calibri"/>
        </w:rPr>
        <w:t xml:space="preserve">, 0.9870 για </w:t>
      </w:r>
      <w:r w:rsidR="000331B3" w:rsidRPr="00772FFA">
        <w:rPr>
          <w:rFonts w:eastAsia="Calibri"/>
          <w:b/>
          <w:bCs/>
        </w:rPr>
        <w:t>LAA</w:t>
      </w:r>
      <w:r w:rsidR="000331B3" w:rsidRPr="00A831E7">
        <w:rPr>
          <w:rFonts w:eastAsia="Calibri"/>
        </w:rPr>
        <w:t xml:space="preserve">, και 0.9298 για </w:t>
      </w:r>
      <w:r w:rsidR="000331B3" w:rsidRPr="00772FFA">
        <w:rPr>
          <w:rFonts w:eastAsia="Calibri"/>
          <w:b/>
          <w:bCs/>
        </w:rPr>
        <w:t>SAO</w:t>
      </w:r>
      <w:r w:rsidR="000331B3" w:rsidRPr="00A831E7">
        <w:rPr>
          <w:rFonts w:eastAsia="Calibri"/>
        </w:rPr>
        <w:t>)</w:t>
      </w:r>
      <w:r w:rsidRPr="00A831E7">
        <w:rPr>
          <w:rFonts w:eastAsia="Calibri"/>
        </w:rPr>
        <w:t xml:space="preserve"> </w:t>
      </w:r>
      <w:r w:rsidR="000331B3">
        <w:rPr>
          <w:rFonts w:eastAsia="Calibri"/>
        </w:rPr>
        <w:t xml:space="preserve">με ανάλυση και των 1251 </w:t>
      </w:r>
      <w:r w:rsidR="000331B3">
        <w:rPr>
          <w:rFonts w:eastAsia="Calibri"/>
          <w:lang w:val="en-US"/>
        </w:rPr>
        <w:t xml:space="preserve">miRNA </w:t>
      </w:r>
      <w:r w:rsidR="000331B3">
        <w:rPr>
          <w:rFonts w:eastAsia="Calibri"/>
        </w:rPr>
        <w:t xml:space="preserve">χαρακτηριστικών σετ </w:t>
      </w:r>
      <w:r w:rsidR="000331B3">
        <w:rPr>
          <w:rFonts w:eastAsia="Calibri"/>
          <w:lang w:val="en-US"/>
        </w:rPr>
        <w:t>(feature sets).</w:t>
      </w:r>
      <w:r w:rsidR="000331B3">
        <w:rPr>
          <w:rFonts w:eastAsia="Calibri"/>
        </w:rPr>
        <w:t xml:space="preserve"> Σε σύγκριση με άλλα μοντέλα , </w:t>
      </w:r>
      <w:r w:rsidR="000331B3" w:rsidRPr="00A831E7">
        <w:rPr>
          <w:rFonts w:eastAsia="Calibri"/>
        </w:rPr>
        <w:t>όπως νευρωνικά δίκτυα, Random Forest, SVM, XGBoost, AdaBoost και δέντρα αποφάσεων</w:t>
      </w:r>
      <w:r w:rsidR="000331B3">
        <w:rPr>
          <w:rFonts w:eastAsia="Calibri"/>
        </w:rPr>
        <w:t>, η λογιστική παλινδρόμηση φάνηκε</w:t>
      </w:r>
      <w:r w:rsidRPr="00A831E7">
        <w:rPr>
          <w:rFonts w:eastAsia="Calibri"/>
        </w:rPr>
        <w:t xml:space="preserve"> να είναι καλύτερη</w:t>
      </w:r>
      <w:r w:rsidR="000331B3">
        <w:rPr>
          <w:rFonts w:eastAsia="Calibri"/>
        </w:rPr>
        <w:t>.</w:t>
      </w:r>
      <w:r w:rsidRPr="00A831E7">
        <w:rPr>
          <w:rFonts w:eastAsia="Calibri"/>
        </w:rPr>
        <w:t xml:space="preserve"> </w:t>
      </w:r>
    </w:p>
    <w:p w14:paraId="2DF7DC62" w14:textId="478B2C0D" w:rsidR="007C3197" w:rsidRPr="00A831E7" w:rsidRDefault="007C3197" w:rsidP="0057069D">
      <w:pPr>
        <w:spacing w:line="360" w:lineRule="auto"/>
        <w:ind w:firstLine="720"/>
        <w:jc w:val="both"/>
        <w:rPr>
          <w:rFonts w:eastAsia="Calibri"/>
        </w:rPr>
      </w:pPr>
      <w:r w:rsidRPr="00A831E7">
        <w:rPr>
          <w:rFonts w:eastAsia="Calibri"/>
        </w:rPr>
        <w:lastRenderedPageBreak/>
        <w:t xml:space="preserve">Η μελέτη Kalani et al. </w:t>
      </w:r>
      <w:r w:rsidRPr="00A831E7">
        <w:rPr>
          <w:rFonts w:eastAsia="Calibri"/>
        </w:rPr>
        <w:fldChar w:fldCharType="begin"/>
      </w:r>
      <w:r w:rsidRPr="00A831E7">
        <w:rPr>
          <w:rFonts w:eastAsia="Calibri"/>
        </w:rPr>
        <w:instrText xml:space="preserve"> ADDIN ZOTERO_ITEM CSL_CITATION {"citationID":"mZoKswG0","properties":{"formattedCitation":"[10]","plainCitation":"[10]","noteIndex":0},"citationItems":[{"id":1084,"uris":["http://zotero.org/users/local/mfHf28QG/items/UDN8SAAT"],"itemData":{"id":1084,"type":"article-journal","abstract":"Rapid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Van"}],"issued":{"date-parts":[["2020",1,24]]}}}],"schema":"https://github.com/citation-style-language/schema/raw/master/csl-citation.json"} </w:instrText>
      </w:r>
      <w:r w:rsidRPr="00A831E7">
        <w:rPr>
          <w:rFonts w:eastAsia="Calibri"/>
        </w:rPr>
        <w:fldChar w:fldCharType="separate"/>
      </w:r>
      <w:r w:rsidRPr="00A831E7">
        <w:rPr>
          <w:rFonts w:eastAsia="Calibri"/>
        </w:rPr>
        <w:t>[10]</w:t>
      </w:r>
      <w:r w:rsidRPr="00A831E7">
        <w:rPr>
          <w:rFonts w:eastAsia="Calibri"/>
        </w:rPr>
        <w:fldChar w:fldCharType="end"/>
      </w:r>
      <w:r w:rsidRPr="00A831E7">
        <w:rPr>
          <w:rFonts w:eastAsia="Calibri"/>
        </w:rPr>
        <w:t xml:space="preserve"> διερευνά τη διάκριση μεταξύ ισχαιμικού και αιμορραγικού εγκεφαλικού (IS vs HS) μέσω διαφορικής έκφρασης miRNA. Η συλλογή δειγμάτων αίματος πραγματοποιήθηκε εντός 24 ωρών από την τελευταία φυσιολογική κατάσταση των ασθενών, περιλαμβάνοντας ισχαιμικό εγκεφαλικό (n=21), υπαραχνοειδή αιμορραγία (SAH, n=17) και ενδοπαρεγχυματική αιμορραγία (IPH, n=19). Τα EVs εξήχθησαν μέσω exoRNeasy kit και χαρακτηρίστηκαν με NanoSight </w:t>
      </w:r>
      <w:r w:rsidR="008E382E">
        <w:rPr>
          <w:rFonts w:eastAsia="Calibri"/>
        </w:rPr>
        <w:t>ανάλυση</w:t>
      </w:r>
      <w:r w:rsidRPr="00A831E7">
        <w:rPr>
          <w:rFonts w:eastAsia="Calibri"/>
        </w:rPr>
        <w:t xml:space="preserve"> και Quant-iT Ribogreen RNA Assay. Η ταξινόμηση πραγματοποιήθηκε μέσω LASSO</w:t>
      </w:r>
      <w:r w:rsidR="008E382E">
        <w:rPr>
          <w:rFonts w:eastAsia="Calibri"/>
        </w:rPr>
        <w:t xml:space="preserve"> παλινδρόμησης</w:t>
      </w:r>
      <w:r w:rsidRPr="00A831E7">
        <w:rPr>
          <w:rFonts w:eastAsia="Calibri"/>
        </w:rPr>
        <w:t xml:space="preserve">, επιτυγχάνοντας AUC = 0.927 και ακρίβεια 97.2% για SAH vs. άλλους υποτύπους, AUC = 0.752 και ακρίβεια 81.3% για ισχαιμικό vs. αιμορραγικό, και AUC = 0.824 και ακρίβεια 81.1% για IPH vs. </w:t>
      </w:r>
      <w:r w:rsidR="00992E6E" w:rsidRPr="00A831E7">
        <w:rPr>
          <w:rFonts w:eastAsia="Calibri"/>
        </w:rPr>
        <w:t>Ι</w:t>
      </w:r>
      <w:r w:rsidRPr="00A831E7">
        <w:rPr>
          <w:rFonts w:eastAsia="Calibri"/>
        </w:rPr>
        <w:t>σχαιμικό</w:t>
      </w:r>
      <w:r w:rsidR="00992E6E" w:rsidRPr="00A831E7">
        <w:rPr>
          <w:rFonts w:eastAsia="Calibri"/>
        </w:rPr>
        <w:t xml:space="preserve"> </w:t>
      </w:r>
      <w:r w:rsidR="00992E6E" w:rsidRPr="00A831E7">
        <w:rPr>
          <w:rFonts w:eastAsia="Calibri"/>
        </w:rPr>
        <w:fldChar w:fldCharType="begin"/>
      </w:r>
      <w:r w:rsidR="00992E6E" w:rsidRPr="00A831E7">
        <w:rPr>
          <w:rFonts w:eastAsia="Calibri"/>
        </w:rPr>
        <w:instrText xml:space="preserve"> ADDIN ZOTERO_ITEM CSL_CITATION {"citationID":"4sowkTEO","properties":{"formattedCitation":"[10]","plainCitation":"[10]","noteIndex":0},"citationItems":[{"id":1084,"uris":["http://zotero.org/users/local/mfHf28QG/items/UDN8SAAT"],"itemData":{"id":1084,"type":"article-journal","abstract":"Rapid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Van"}],"issued":{"date-parts":[["2020",1,24]]}}}],"schema":"https://github.com/citation-style-language/schema/raw/master/csl-citation.json"} </w:instrText>
      </w:r>
      <w:r w:rsidR="00992E6E" w:rsidRPr="00A831E7">
        <w:rPr>
          <w:rFonts w:eastAsia="Calibri"/>
        </w:rPr>
        <w:fldChar w:fldCharType="separate"/>
      </w:r>
      <w:r w:rsidR="00992E6E" w:rsidRPr="00A831E7">
        <w:rPr>
          <w:rFonts w:eastAsia="Calibri"/>
        </w:rPr>
        <w:t>[10]</w:t>
      </w:r>
      <w:r w:rsidR="00992E6E" w:rsidRPr="00A831E7">
        <w:rPr>
          <w:rFonts w:eastAsia="Calibri"/>
        </w:rPr>
        <w:fldChar w:fldCharType="end"/>
      </w:r>
      <w:r w:rsidRPr="00A831E7">
        <w:rPr>
          <w:rFonts w:eastAsia="Calibri"/>
        </w:rPr>
        <w:t>.</w:t>
      </w:r>
    </w:p>
    <w:p w14:paraId="18CE5ED1" w14:textId="000793B3" w:rsidR="007C3197" w:rsidRPr="00A831E7" w:rsidRDefault="007C3197" w:rsidP="0057069D">
      <w:pPr>
        <w:spacing w:line="360" w:lineRule="auto"/>
        <w:ind w:firstLine="720"/>
        <w:jc w:val="both"/>
        <w:rPr>
          <w:rFonts w:eastAsia="Calibri"/>
        </w:rPr>
      </w:pPr>
      <w:r w:rsidRPr="00A831E7">
        <w:rPr>
          <w:rFonts w:eastAsia="Calibri"/>
        </w:rPr>
        <w:t>Η μελέτη Manwani et al.</w:t>
      </w:r>
      <w:r w:rsidR="00992E6E" w:rsidRPr="00A831E7">
        <w:rPr>
          <w:rFonts w:eastAsia="Calibri"/>
        </w:rPr>
        <w:t xml:space="preserve"> </w:t>
      </w:r>
      <w:r w:rsidR="00992E6E" w:rsidRPr="00A831E7">
        <w:rPr>
          <w:rFonts w:eastAsia="Calibri"/>
        </w:rPr>
        <w:fldChar w:fldCharType="begin"/>
      </w:r>
      <w:r w:rsidR="00B61252">
        <w:rPr>
          <w:rFonts w:eastAsia="Calibri"/>
        </w:rPr>
        <w:instrText xml:space="preserve"> ADDIN ZOTERO_ITEM CSL_CITATION {"citationID":"0Spiuioy","properties":{"formattedCitation":"[101]","plainCitation":"[101]","noteIndex":0},"citationItems":[{"id":1074,"uris":["http://zotero.org/users/local/mfHf28QG/items/49E82DUN"],"itemData":{"id":1074,"type":"article-journal","abstract":"L1CAM-positive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00992E6E" w:rsidRPr="00A831E7">
        <w:rPr>
          <w:rFonts w:eastAsia="Calibri"/>
        </w:rPr>
        <w:fldChar w:fldCharType="separate"/>
      </w:r>
      <w:r w:rsidR="00B61252" w:rsidRPr="00B61252">
        <w:rPr>
          <w:rFonts w:eastAsia="Calibri"/>
        </w:rPr>
        <w:t>[101]</w:t>
      </w:r>
      <w:r w:rsidR="00992E6E" w:rsidRPr="00A831E7">
        <w:rPr>
          <w:rFonts w:eastAsia="Calibri"/>
        </w:rPr>
        <w:fldChar w:fldCharType="end"/>
      </w:r>
      <w:r w:rsidRPr="00A831E7">
        <w:rPr>
          <w:rFonts w:eastAsia="Calibri"/>
        </w:rPr>
        <w:t xml:space="preserve"> επικεντρώνεται στη χρήση L1CAM-θετικών </w:t>
      </w:r>
      <w:r w:rsidR="00992E6E" w:rsidRPr="00A831E7">
        <w:rPr>
          <w:rFonts w:eastAsia="Calibri"/>
        </w:rPr>
        <w:t>EVs</w:t>
      </w:r>
      <w:r w:rsidRPr="00A831E7">
        <w:rPr>
          <w:rFonts w:eastAsia="Calibri"/>
        </w:rPr>
        <w:t xml:space="preserve"> (L1EVs) ως βιοδείκτες για οξύ ισχαιμικό εγκεφαλικό (AIS). Η συλλογή δειγμάτων έγινε εντός 24 ωρών από την εισαγωγή στο νοσοκομείο σε ασθενείς με AIS</w:t>
      </w:r>
      <w:r w:rsidR="00772FFA">
        <w:rPr>
          <w:rFonts w:eastAsia="Calibri"/>
          <w:lang w:val="en-US"/>
        </w:rPr>
        <w:t xml:space="preserve"> (IS=16, NC=12)</w:t>
      </w:r>
      <w:r w:rsidRPr="00A831E7">
        <w:rPr>
          <w:rFonts w:eastAsia="Calibri"/>
        </w:rPr>
        <w:t xml:space="preserve">. Τα EVs απομονώθηκαν μέσω ExoQuick </w:t>
      </w:r>
      <w:r w:rsidR="008E382E">
        <w:rPr>
          <w:rFonts w:eastAsia="Calibri"/>
        </w:rPr>
        <w:t>καθίζηση</w:t>
      </w:r>
      <w:r w:rsidR="005565BC">
        <w:rPr>
          <w:rFonts w:eastAsia="Calibri"/>
          <w:lang w:val="en-US"/>
        </w:rPr>
        <w:t xml:space="preserve"> </w:t>
      </w:r>
      <w:r w:rsidR="008E382E">
        <w:rPr>
          <w:rFonts w:eastAsia="Calibri"/>
        </w:rPr>
        <w:t>(</w:t>
      </w:r>
      <w:r w:rsidR="008E382E">
        <w:rPr>
          <w:rFonts w:eastAsia="Calibri"/>
          <w:lang w:val="en-US"/>
        </w:rPr>
        <w:t>precipitation)</w:t>
      </w:r>
      <w:r w:rsidR="008E382E">
        <w:rPr>
          <w:rFonts w:eastAsia="Calibri"/>
        </w:rPr>
        <w:t xml:space="preserve"> </w:t>
      </w:r>
      <w:r w:rsidRPr="00A831E7">
        <w:rPr>
          <w:rFonts w:eastAsia="Calibri"/>
        </w:rPr>
        <w:t>ακολουθούμενη από L1CAM</w:t>
      </w:r>
      <w:r w:rsidR="008E382E">
        <w:rPr>
          <w:rFonts w:eastAsia="Calibri"/>
        </w:rPr>
        <w:t xml:space="preserve"> καθίζηση</w:t>
      </w:r>
      <w:r w:rsidR="008E382E">
        <w:rPr>
          <w:rFonts w:eastAsia="Calibri"/>
          <w:lang w:val="en-US"/>
        </w:rPr>
        <w:t xml:space="preserve"> </w:t>
      </w:r>
      <w:r w:rsidR="008E382E">
        <w:rPr>
          <w:rFonts w:eastAsia="Calibri"/>
        </w:rPr>
        <w:t>αντισωμάτων (</w:t>
      </w:r>
      <w:r w:rsidRPr="00A831E7">
        <w:rPr>
          <w:rFonts w:eastAsia="Calibri"/>
        </w:rPr>
        <w:t>immunoprecipitation</w:t>
      </w:r>
      <w:r w:rsidR="008E382E">
        <w:rPr>
          <w:rFonts w:eastAsia="Calibri"/>
        </w:rPr>
        <w:t>)</w:t>
      </w:r>
      <w:r w:rsidRPr="00A831E7">
        <w:rPr>
          <w:rFonts w:eastAsia="Calibri"/>
        </w:rPr>
        <w:t>. Η ανάλυση αποκάλυψε ένα μίγμα miRNA (7%), lncRNA (76%) και ncRNA. Η ταξινόμηση βασίστηκε σε Random Forest (RF) classifiers, με το 12-miRNA</w:t>
      </w:r>
      <w:r w:rsidR="005565BC">
        <w:rPr>
          <w:rFonts w:eastAsia="Calibri"/>
        </w:rPr>
        <w:t>-</w:t>
      </w:r>
      <w:r w:rsidRPr="00A831E7">
        <w:rPr>
          <w:rFonts w:eastAsia="Calibri"/>
        </w:rPr>
        <w:t xml:space="preserve">RF </w:t>
      </w:r>
      <w:r w:rsidR="005565BC">
        <w:rPr>
          <w:rFonts w:eastAsia="Calibri"/>
        </w:rPr>
        <w:t>μοντέλο</w:t>
      </w:r>
      <w:r w:rsidRPr="00A831E7">
        <w:rPr>
          <w:rFonts w:eastAsia="Calibri"/>
        </w:rPr>
        <w:t xml:space="preserve"> να επιτυγχάνει AUC = 0.932 και ακρίβεια 92.7%, ενώ το 6-ncRNA</w:t>
      </w:r>
      <w:r w:rsidR="005565BC">
        <w:rPr>
          <w:rFonts w:eastAsia="Calibri"/>
        </w:rPr>
        <w:t>-</w:t>
      </w:r>
      <w:r w:rsidRPr="00A831E7">
        <w:rPr>
          <w:rFonts w:eastAsia="Calibri"/>
        </w:rPr>
        <w:t xml:space="preserve">RF </w:t>
      </w:r>
      <w:r w:rsidR="005565BC">
        <w:rPr>
          <w:rFonts w:eastAsia="Calibri"/>
        </w:rPr>
        <w:t>μοντέλο</w:t>
      </w:r>
      <w:r w:rsidRPr="00A831E7">
        <w:rPr>
          <w:rFonts w:eastAsia="Calibri"/>
        </w:rPr>
        <w:t xml:space="preserve"> πέτυχε AUC = 0.833 και ακρίβεια 85.7%. Ο συνδυασμός 8-RNA</w:t>
      </w:r>
      <w:r w:rsidR="005565BC">
        <w:rPr>
          <w:rFonts w:eastAsia="Calibri"/>
        </w:rPr>
        <w:t>-</w:t>
      </w:r>
      <w:r w:rsidRPr="00A831E7">
        <w:rPr>
          <w:rFonts w:eastAsia="Calibri"/>
        </w:rPr>
        <w:t>signatures εμφάνισε AUC = 0.839 και ακρίβεια 85.7%</w:t>
      </w:r>
      <w:r w:rsidR="00992E6E" w:rsidRPr="00A831E7">
        <w:rPr>
          <w:rFonts w:eastAsia="Calibri"/>
        </w:rPr>
        <w:t xml:space="preserve"> (</w:t>
      </w:r>
      <w:r w:rsidR="00992E6E" w:rsidRPr="00A831E7">
        <w:rPr>
          <w:rFonts w:eastAsia="Calibri"/>
          <w:i/>
          <w:iCs/>
        </w:rPr>
        <w:t>Πίνακας 20</w:t>
      </w:r>
      <w:r w:rsidR="00992E6E" w:rsidRPr="00A831E7">
        <w:rPr>
          <w:rFonts w:eastAsia="Calibri"/>
        </w:rPr>
        <w:t xml:space="preserve">) </w:t>
      </w:r>
      <w:r w:rsidR="00992E6E" w:rsidRPr="00A831E7">
        <w:rPr>
          <w:rFonts w:eastAsia="Calibri"/>
        </w:rPr>
        <w:fldChar w:fldCharType="begin"/>
      </w:r>
      <w:r w:rsidR="00B61252">
        <w:rPr>
          <w:rFonts w:eastAsia="Calibri"/>
        </w:rPr>
        <w:instrText xml:space="preserve"> ADDIN ZOTERO_ITEM CSL_CITATION {"citationID":"bS2waAoM","properties":{"formattedCitation":"[101]","plainCitation":"[101]","noteIndex":0},"citationItems":[{"id":1074,"uris":["http://zotero.org/users/local/mfHf28QG/items/49E82DUN"],"itemData":{"id":1074,"type":"article-journal","abstract":"L1CAM-positive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00992E6E" w:rsidRPr="00A831E7">
        <w:rPr>
          <w:rFonts w:eastAsia="Calibri"/>
        </w:rPr>
        <w:fldChar w:fldCharType="separate"/>
      </w:r>
      <w:r w:rsidR="00B61252" w:rsidRPr="00B61252">
        <w:rPr>
          <w:rFonts w:eastAsia="Calibri"/>
        </w:rPr>
        <w:t>[101]</w:t>
      </w:r>
      <w:r w:rsidR="00992E6E" w:rsidRPr="00A831E7">
        <w:rPr>
          <w:rFonts w:eastAsia="Calibri"/>
        </w:rPr>
        <w:fldChar w:fldCharType="end"/>
      </w:r>
      <w:r w:rsidRPr="00A831E7">
        <w:rPr>
          <w:rFonts w:eastAsia="Calibri"/>
        </w:rPr>
        <w:t>.</w:t>
      </w:r>
    </w:p>
    <w:p w14:paraId="7A322B02" w14:textId="133E5E82" w:rsidR="005974FE" w:rsidRPr="00A831E7" w:rsidRDefault="007C3197" w:rsidP="0057069D">
      <w:pPr>
        <w:spacing w:line="360" w:lineRule="auto"/>
        <w:ind w:firstLine="720"/>
        <w:jc w:val="both"/>
        <w:rPr>
          <w:rFonts w:eastAsia="Calibri"/>
        </w:rPr>
      </w:pPr>
      <w:r w:rsidRPr="00A831E7">
        <w:rPr>
          <w:rFonts w:eastAsia="Calibri"/>
        </w:rPr>
        <w:t>Παρόλο που τα ML μοντέλα ταξινομούν γρήγορα τ</w:t>
      </w:r>
      <w:r w:rsidR="00025BB7">
        <w:rPr>
          <w:rFonts w:eastAsia="Calibri"/>
        </w:rPr>
        <w:t>ον τύπο</w:t>
      </w:r>
      <w:r w:rsidRPr="00A831E7">
        <w:rPr>
          <w:rFonts w:eastAsia="Calibri"/>
        </w:rPr>
        <w:t xml:space="preserve"> εγκεφαλικ</w:t>
      </w:r>
      <w:r w:rsidR="00025BB7">
        <w:rPr>
          <w:rFonts w:eastAsia="Calibri"/>
        </w:rPr>
        <w:t>ού</w:t>
      </w:r>
      <w:r w:rsidRPr="00A831E7">
        <w:rPr>
          <w:rFonts w:eastAsia="Calibri"/>
        </w:rPr>
        <w:t xml:space="preserve"> </w:t>
      </w:r>
      <w:r w:rsidR="00025BB7">
        <w:rPr>
          <w:rFonts w:eastAsia="Calibri"/>
        </w:rPr>
        <w:t>ε</w:t>
      </w:r>
      <w:r w:rsidRPr="00A831E7">
        <w:rPr>
          <w:rFonts w:eastAsia="Calibri"/>
        </w:rPr>
        <w:t>ντός λεπτών</w:t>
      </w:r>
      <w:r w:rsidR="00992E6E" w:rsidRPr="00A831E7">
        <w:rPr>
          <w:rFonts w:eastAsia="Calibri"/>
        </w:rPr>
        <w:t xml:space="preserve"> </w:t>
      </w:r>
      <w:r w:rsidR="00772FFA">
        <w:rPr>
          <w:rFonts w:eastAsia="Calibri"/>
          <w:lang w:val="en-US"/>
        </w:rPr>
        <w:t>(</w:t>
      </w:r>
      <w:r w:rsidR="00992E6E" w:rsidRPr="00A831E7">
        <w:rPr>
          <w:rFonts w:eastAsia="Calibri"/>
        </w:rPr>
        <w:fldChar w:fldCharType="begin"/>
      </w:r>
      <w:r w:rsidR="00B61252">
        <w:rPr>
          <w:rFonts w:eastAsia="Calibri"/>
        </w:rPr>
        <w:instrText xml:space="preserve"> ADDIN ZOTERO_ITEM CSL_CITATION {"citationID":"StEg8jBT","properties":{"formattedCitation":"[10], [100], [101]","plainCitation":"[10], [100], [101]","noteIndex":0},"citationItems":[{"id":1084,"uris":["http://zotero.org/users/local/mfHf28QG/items/UDN8SAAT"],"itemData":{"id":1084,"type":"article-journal","abstract":"Rapid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00992E6E" w:rsidRPr="00A831E7">
        <w:rPr>
          <w:rFonts w:eastAsia="Calibri"/>
        </w:rPr>
        <w:fldChar w:fldCharType="separate"/>
      </w:r>
      <w:r w:rsidR="00B61252" w:rsidRPr="00B61252">
        <w:rPr>
          <w:rFonts w:eastAsia="Calibri"/>
        </w:rPr>
        <w:t>[10], [100], [101]</w:t>
      </w:r>
      <w:r w:rsidR="00992E6E" w:rsidRPr="00A831E7">
        <w:rPr>
          <w:rFonts w:eastAsia="Calibri"/>
        </w:rPr>
        <w:fldChar w:fldCharType="end"/>
      </w:r>
      <w:r w:rsidR="00772FFA">
        <w:rPr>
          <w:rFonts w:eastAsia="Calibri"/>
          <w:lang w:val="en-US"/>
        </w:rPr>
        <w:t>)</w:t>
      </w:r>
      <w:r w:rsidRPr="00A831E7">
        <w:rPr>
          <w:rFonts w:eastAsia="Calibri"/>
        </w:rPr>
        <w:t xml:space="preserve">, οι αλληλουχήσεις </w:t>
      </w:r>
      <w:r w:rsidR="00992E6E" w:rsidRPr="00A831E7">
        <w:rPr>
          <w:rFonts w:eastAsia="Calibri"/>
        </w:rPr>
        <w:t xml:space="preserve">RNA μέσω </w:t>
      </w:r>
      <w:r w:rsidR="005565BC">
        <w:rPr>
          <w:rFonts w:eastAsia="Calibri"/>
          <w:lang w:val="en-US"/>
        </w:rPr>
        <w:t>Next Generation Sequencing (</w:t>
      </w:r>
      <w:r w:rsidR="00992E6E" w:rsidRPr="00A831E7">
        <w:rPr>
          <w:rFonts w:eastAsia="Calibri"/>
        </w:rPr>
        <w:t>NGS</w:t>
      </w:r>
      <w:r w:rsidR="005565BC">
        <w:rPr>
          <w:rFonts w:eastAsia="Calibri"/>
          <w:lang w:val="en-US"/>
        </w:rPr>
        <w:t>)</w:t>
      </w:r>
      <w:r w:rsidR="00992E6E" w:rsidRPr="00A831E7">
        <w:rPr>
          <w:rFonts w:eastAsia="Calibri"/>
        </w:rPr>
        <w:t xml:space="preserve"> απαιτούν προετοιμασία βιβλιοθήκης, αλληλούχιση και βιοπληροφορική ανάλυση, διαδικασίες που διαρκούν αρκετές ώρες έως ημέρες, καθιστώντας δύσκολη τη χρήση τους σε κλινικά επείγοντα περιστατικά</w:t>
      </w:r>
      <w:r w:rsidRPr="00A831E7">
        <w:rPr>
          <w:rFonts w:eastAsia="Calibri"/>
        </w:rPr>
        <w:t xml:space="preserve">. </w:t>
      </w:r>
      <w:r w:rsidR="008F7D11" w:rsidRPr="00A831E7">
        <w:rPr>
          <w:rFonts w:eastAsia="Calibri"/>
        </w:rPr>
        <w:t xml:space="preserve">Η περιορισμένη ταχύτητα αυτών των διαδικασιών αποτελεί σημαντικό εμπόδιο για εφαρμογές point-of-care (PoC), όπου απαιτείται άμεση διάγνωση και κλινική απόφαση. </w:t>
      </w:r>
      <w:r w:rsidRPr="00A831E7">
        <w:rPr>
          <w:rFonts w:eastAsia="Calibri"/>
        </w:rPr>
        <w:t>Η</w:t>
      </w:r>
      <w:r w:rsidR="00992E6E" w:rsidRPr="00A831E7">
        <w:rPr>
          <w:rFonts w:eastAsia="Calibri"/>
        </w:rPr>
        <w:t xml:space="preserve"> λήψη δειγμάτων στην υπεροξεία φάση, η</w:t>
      </w:r>
      <w:r w:rsidRPr="00A831E7">
        <w:rPr>
          <w:rFonts w:eastAsia="Calibri"/>
        </w:rPr>
        <w:t xml:space="preserve"> ταχύτερη απομόνωση EVs και η βελτίωση των τεχνολογιών</w:t>
      </w:r>
      <w:r w:rsidR="00AC357F">
        <w:rPr>
          <w:rFonts w:eastAsia="Calibri"/>
        </w:rPr>
        <w:t xml:space="preserve"> αλληλούχισης</w:t>
      </w:r>
      <w:r w:rsidR="00AC357F">
        <w:rPr>
          <w:rFonts w:eastAsia="Calibri"/>
          <w:lang w:val="en-US"/>
        </w:rPr>
        <w:t xml:space="preserve"> </w:t>
      </w:r>
      <w:r w:rsidR="00AC357F">
        <w:rPr>
          <w:rFonts w:eastAsia="Calibri"/>
        </w:rPr>
        <w:t>(</w:t>
      </w:r>
      <w:r w:rsidR="00AC357F">
        <w:rPr>
          <w:rFonts w:eastAsia="Calibri"/>
          <w:lang w:val="en-US"/>
        </w:rPr>
        <w:t>sequencing)</w:t>
      </w:r>
      <w:r w:rsidRPr="00A831E7">
        <w:rPr>
          <w:rFonts w:eastAsia="Calibri"/>
        </w:rPr>
        <w:t xml:space="preserve"> είναι απαραίτητες</w:t>
      </w:r>
      <w:r w:rsidR="005D00DB" w:rsidRPr="00A831E7">
        <w:rPr>
          <w:rFonts w:eastAsia="Calibri"/>
        </w:rPr>
        <w:t xml:space="preserve"> ώστε να επιτευχθεί ανάλυση σε πραγματικό χρόνο, αντί για πολύωρη επεξεργασία στο εργαστήριο</w:t>
      </w:r>
      <w:bookmarkEnd w:id="157"/>
      <w:r w:rsidR="005D00DB" w:rsidRPr="00A831E7">
        <w:rPr>
          <w:rFonts w:eastAsia="Calibri"/>
        </w:rPr>
        <w:t xml:space="preserve">. </w:t>
      </w:r>
    </w:p>
    <w:p w14:paraId="4537BDCF" w14:textId="77777777" w:rsidR="005974FE" w:rsidRPr="00A831E7" w:rsidRDefault="005974FE" w:rsidP="0057069D">
      <w:pPr>
        <w:spacing w:line="360" w:lineRule="auto"/>
        <w:ind w:firstLine="720"/>
        <w:jc w:val="both"/>
        <w:rPr>
          <w:rFonts w:eastAsia="Calibri"/>
        </w:rPr>
      </w:pPr>
    </w:p>
    <w:p w14:paraId="301D076B" w14:textId="36D60EEA" w:rsidR="00093CE3" w:rsidRPr="00A831E7" w:rsidRDefault="00093CE3" w:rsidP="0057069D">
      <w:pPr>
        <w:pStyle w:val="4"/>
        <w:spacing w:line="360" w:lineRule="auto"/>
        <w:rPr>
          <w:rFonts w:eastAsia="Calibri"/>
          <w:b w:val="0"/>
          <w:bCs/>
        </w:rPr>
      </w:pPr>
      <w:r w:rsidRPr="00A831E7">
        <w:rPr>
          <w:rFonts w:eastAsia="Calibri"/>
          <w:bCs/>
        </w:rPr>
        <w:lastRenderedPageBreak/>
        <w:t>Σύγκριση με Κυκλοφορούντα miRNA</w:t>
      </w:r>
    </w:p>
    <w:p w14:paraId="3258EDB5" w14:textId="62100E90" w:rsidR="00093CE3" w:rsidRPr="00A831E7" w:rsidRDefault="00093CE3" w:rsidP="0057069D">
      <w:pPr>
        <w:spacing w:line="360" w:lineRule="auto"/>
        <w:ind w:firstLine="720"/>
        <w:jc w:val="both"/>
        <w:rPr>
          <w:rFonts w:eastAsia="Calibri"/>
        </w:rPr>
      </w:pPr>
      <w:r w:rsidRPr="00A831E7">
        <w:rPr>
          <w:rFonts w:eastAsia="Calibri"/>
        </w:rPr>
        <w:t xml:space="preserve">Η μελέτη Tiedt et al. </w:t>
      </w:r>
      <w:r w:rsidRPr="00A831E7">
        <w:rPr>
          <w:rFonts w:eastAsia="Calibri"/>
        </w:rPr>
        <w:fldChar w:fldCharType="begin"/>
      </w:r>
      <w:r w:rsidR="00B61252">
        <w:rPr>
          <w:rFonts w:eastAsia="Calibri"/>
        </w:rPr>
        <w:instrText xml:space="preserve"> ADDIN ZOTERO_ITEM CSL_CITATION {"citationID":"SXcjldhp","properties":{"formattedCitation":"[116]","plainCitation":"[116]","noteIndex":0},"citationItems":[{"id":1017,"uris":["http://zotero.org/users/local/mfHf28QG/items/QZ4DP2K4"],"itemData":{"id":1017,"type":"webpage","title":"RNA-Seq Identifies Circulating miR-125a-5p, miR-125b-5p, and miR-143-3p as Potential Biomarkers for Acute Ischemic Stroke | Circulation Research","URL":"https://www.ahajournals.org/doi/full/10.1161/CIRCRESAHA.117.311572","accessed":{"date-parts":[["2024",11,20]]}}}],"schema":"https://github.com/citation-style-language/schema/raw/master/csl-citation.json"} </w:instrText>
      </w:r>
      <w:r w:rsidRPr="00A831E7">
        <w:rPr>
          <w:rFonts w:eastAsia="Calibri"/>
        </w:rPr>
        <w:fldChar w:fldCharType="separate"/>
      </w:r>
      <w:r w:rsidR="00B61252" w:rsidRPr="00B61252">
        <w:rPr>
          <w:rFonts w:eastAsia="Calibri"/>
        </w:rPr>
        <w:t>[116]</w:t>
      </w:r>
      <w:r w:rsidRPr="00A831E7">
        <w:rPr>
          <w:rFonts w:eastAsia="Calibri"/>
        </w:rPr>
        <w:fldChar w:fldCharType="end"/>
      </w:r>
      <w:r w:rsidRPr="00A831E7">
        <w:rPr>
          <w:rFonts w:eastAsia="Calibri"/>
        </w:rPr>
        <w:t xml:space="preserve"> διερευνά τη χρήση microRNAs (miRNAs) για </w:t>
      </w:r>
      <w:r w:rsidR="005B1815" w:rsidRPr="00A831E7">
        <w:rPr>
          <w:rFonts w:eastAsia="Calibri"/>
        </w:rPr>
        <w:t>διάγνωση</w:t>
      </w:r>
      <w:r w:rsidRPr="00A831E7">
        <w:rPr>
          <w:rFonts w:eastAsia="Calibri"/>
        </w:rPr>
        <w:t xml:space="preserve"> IS και TIA. Μέσω RNA αλληλούχισης και ποσοτικής PCR, εντοπίστηκαν τρία miRNAs (miR-125a-5p, miR-125b-5p, και miR-143-3p) που ήταν αυξημένα σε ασθενείς με IS σε σύγκριση με υγιή πληθυσμό και ασθενείς με παροδικό ισχαιμικό επεισόδιο (TIA). Η συλλογή των δειγμάτων έγινε άμεσα κατά την άφιξη των ασθενών στο νοσοκομείο, με μέσο χρόνο 3.9 ώρες από την έναρξη των συμπτωμάτων στο </w:t>
      </w:r>
      <w:r w:rsidR="00025BB7">
        <w:rPr>
          <w:rFonts w:eastAsia="Calibri"/>
        </w:rPr>
        <w:t xml:space="preserve">σετ δειγμάτων ανίχνευσης, </w:t>
      </w:r>
      <w:r w:rsidRPr="00A831E7">
        <w:rPr>
          <w:rFonts w:eastAsia="Calibri"/>
        </w:rPr>
        <w:t xml:space="preserve">6.1 ώρες στο </w:t>
      </w:r>
      <w:r w:rsidR="00025BB7">
        <w:rPr>
          <w:rFonts w:eastAsia="Calibri"/>
        </w:rPr>
        <w:t xml:space="preserve">σετ δειγμάτων επικύρωσης </w:t>
      </w:r>
      <w:r w:rsidRPr="00A831E7">
        <w:rPr>
          <w:rFonts w:eastAsia="Calibri"/>
        </w:rPr>
        <w:t xml:space="preserve">και 5.0 ώρες στο </w:t>
      </w:r>
      <w:r w:rsidR="00025BB7">
        <w:rPr>
          <w:rFonts w:eastAsia="Calibri"/>
        </w:rPr>
        <w:t>επαναληπτικό σετ δειγμάτων</w:t>
      </w:r>
      <w:r w:rsidRPr="00A831E7">
        <w:rPr>
          <w:rFonts w:eastAsia="Calibri"/>
        </w:rPr>
        <w:t xml:space="preserve">. Η </w:t>
      </w:r>
      <w:r w:rsidR="00025BB7" w:rsidRPr="00A831E7">
        <w:rPr>
          <w:rFonts w:eastAsia="Calibri"/>
        </w:rPr>
        <w:t>μελέτη</w:t>
      </w:r>
      <w:r w:rsidRPr="00A831E7">
        <w:rPr>
          <w:rFonts w:eastAsia="Calibri"/>
        </w:rPr>
        <w:t xml:space="preserve"> διέκρινε μεταξύ εξωσωματικών (EV) microRNAs και κυκλοφορούντων microRNAs στο αίμα, εξετάζοντας τον τρόπο μεταφοράς τους στην κυκλοφορία του αίματος. Συγκεκριμένα, τα EVs απομονώθηκαν ξεχωριστά από το πλάσμα και αναλύθηκαν για την περιεκτικότητά τους σε miRNAs, επιτρέποντας τη σύγκριση με τα ελεύθερα κυκλοφορούντα RNA. Η μελέτη βρήκε ότι το miR-143-3p είχε αυξημένη παρουσία εντός EVs ασθενών με IS ενώ τα miR-125a-5p και miR-125b-5p δεν παρουσίασαν στατιστικά σημαντικές διαφορές στα EVs, πράγμα που υποδηλώνει ότι κυκλοφορούν κυρίως ως ελεύθερα RNA ή δεσμευμένα σε πρωτεϊνικά σύμπλοκα. Όσον αφορά την ταξινόμηση μέσω μηχανικής μάθησης (ML), εφαρμόστηκε Random Forest classification (RF), όπου το σύνολο των τριών miRNAs πέτυχε AUC = 0.90, ευαισθησία 85.6% και ειδικότητα 76.3%</w:t>
      </w:r>
      <w:r w:rsidR="00BD79AB">
        <w:rPr>
          <w:rFonts w:eastAsia="Calibri"/>
        </w:rPr>
        <w:t>,</w:t>
      </w:r>
      <w:r w:rsidRPr="00A831E7">
        <w:rPr>
          <w:rFonts w:eastAsia="Calibri"/>
        </w:rPr>
        <w:t>ενώ</w:t>
      </w:r>
      <w:r w:rsidR="00BD79AB">
        <w:rPr>
          <w:rFonts w:eastAsia="Calibri"/>
        </w:rPr>
        <w:t xml:space="preserve"> για διαχωρισμό </w:t>
      </w:r>
      <w:r w:rsidR="00BD79AB">
        <w:rPr>
          <w:rFonts w:eastAsia="Calibri"/>
          <w:lang w:val="en-US"/>
        </w:rPr>
        <w:t xml:space="preserve">IS </w:t>
      </w:r>
      <w:r w:rsidR="00BD79AB">
        <w:rPr>
          <w:rFonts w:eastAsia="Calibri"/>
        </w:rPr>
        <w:t xml:space="preserve">με </w:t>
      </w:r>
      <w:r w:rsidR="00BD79AB">
        <w:rPr>
          <w:rFonts w:eastAsia="Calibri"/>
          <w:lang w:val="en-US"/>
        </w:rPr>
        <w:t>TIA</w:t>
      </w:r>
      <w:r w:rsidR="00BD79AB">
        <w:rPr>
          <w:rFonts w:eastAsia="Calibri"/>
        </w:rPr>
        <w:t xml:space="preserve"> η απόδοση ήταν χαμηλή με </w:t>
      </w:r>
      <w:r w:rsidR="00BD79AB">
        <w:rPr>
          <w:rFonts w:eastAsia="Calibri"/>
          <w:lang w:val="en-US"/>
        </w:rPr>
        <w:t xml:space="preserve">AUC = 0.66, </w:t>
      </w:r>
      <w:r w:rsidR="00BD79AB">
        <w:rPr>
          <w:rFonts w:eastAsia="Calibri"/>
        </w:rPr>
        <w:t>ευαισθησία 89.2% και ειδικότητα 72.5%.</w:t>
      </w:r>
      <w:r w:rsidR="00BD79AB">
        <w:rPr>
          <w:rFonts w:eastAsia="Calibri"/>
          <w:lang w:val="en-US"/>
        </w:rPr>
        <w:t xml:space="preserve"> </w:t>
      </w:r>
      <w:r w:rsidR="00BD79AB">
        <w:rPr>
          <w:rFonts w:eastAsia="Calibri"/>
        </w:rPr>
        <w:t>Η ίδια</w:t>
      </w:r>
      <w:r w:rsidRPr="00A831E7">
        <w:rPr>
          <w:rFonts w:eastAsia="Calibri"/>
        </w:rPr>
        <w:t xml:space="preserve"> τριάδα miRNAs σε συνδυασμό με τους βιοδείκτες NSE, IL-6  αύξησε το AUC στο 0.92, με ευαισθησία 88.1% και ειδικότητα 75.5% (</w:t>
      </w:r>
      <w:r w:rsidRPr="00A831E7">
        <w:rPr>
          <w:rFonts w:eastAsia="Calibri"/>
          <w:i/>
          <w:iCs/>
        </w:rPr>
        <w:t>Πίνακας 21</w:t>
      </w:r>
      <w:r w:rsidRPr="00A831E7">
        <w:rPr>
          <w:rFonts w:eastAsia="Calibri"/>
        </w:rPr>
        <w:t>)</w:t>
      </w:r>
      <w:r w:rsidR="00BD79AB">
        <w:rPr>
          <w:rFonts w:eastAsia="Calibri"/>
        </w:rPr>
        <w:t xml:space="preserve"> στην περίπτωση ανίχνευσης ισχαιμικού επεισοδίου</w:t>
      </w:r>
      <w:r w:rsidRPr="00A831E7">
        <w:rPr>
          <w:rFonts w:eastAsia="Calibri"/>
        </w:rPr>
        <w:t xml:space="preserve"> </w:t>
      </w:r>
      <w:r w:rsidRPr="00A831E7">
        <w:rPr>
          <w:rFonts w:eastAsia="Calibri"/>
        </w:rPr>
        <w:fldChar w:fldCharType="begin"/>
      </w:r>
      <w:r w:rsidR="00B61252">
        <w:rPr>
          <w:rFonts w:eastAsia="Calibri"/>
        </w:rPr>
        <w:instrText xml:space="preserve"> ADDIN ZOTERO_ITEM CSL_CITATION {"citationID":"YgZoezAT","properties":{"formattedCitation":"[116]","plainCitation":"[116]","noteIndex":0},"citationItems":[{"id":1017,"uris":["http://zotero.org/users/local/mfHf28QG/items/QZ4DP2K4"],"itemData":{"id":1017,"type":"webpage","title":"RNA-Seq Identifies Circulating miR-125a-5p, miR-125b-5p, and miR-143-3p as Potential Biomarkers for Acute Ischemic Stroke | Circulation Research","URL":"https://www.ahajournals.org/doi/full/10.1161/CIRCRESAHA.117.311572","accessed":{"date-parts":[["2024",11,20]]}}}],"schema":"https://github.com/citation-style-language/schema/raw/master/csl-citation.json"} </w:instrText>
      </w:r>
      <w:r w:rsidRPr="00A831E7">
        <w:rPr>
          <w:rFonts w:eastAsia="Calibri"/>
        </w:rPr>
        <w:fldChar w:fldCharType="separate"/>
      </w:r>
      <w:r w:rsidR="00B61252" w:rsidRPr="00B61252">
        <w:rPr>
          <w:rFonts w:eastAsia="Calibri"/>
        </w:rPr>
        <w:t>[116]</w:t>
      </w:r>
      <w:r w:rsidRPr="00A831E7">
        <w:rPr>
          <w:rFonts w:eastAsia="Calibri"/>
        </w:rPr>
        <w:fldChar w:fldCharType="end"/>
      </w:r>
      <w:r w:rsidRPr="00A831E7">
        <w:rPr>
          <w:rFonts w:eastAsia="Calibri"/>
        </w:rPr>
        <w:t xml:space="preserve">. </w:t>
      </w:r>
    </w:p>
    <w:p w14:paraId="77B98E7F" w14:textId="1B39B9CC" w:rsidR="005565BC" w:rsidRDefault="00C952FA" w:rsidP="00F76BEA">
      <w:pPr>
        <w:spacing w:line="360" w:lineRule="auto"/>
        <w:ind w:firstLine="720"/>
        <w:jc w:val="both"/>
        <w:rPr>
          <w:rFonts w:eastAsia="Calibri"/>
          <w:lang w:val="en-US"/>
        </w:rPr>
      </w:pPr>
      <w:r>
        <w:rPr>
          <w:rFonts w:eastAsia="Calibri"/>
          <w:lang w:val="en-US"/>
        </w:rPr>
        <w:t>T</w:t>
      </w:r>
      <w:r w:rsidR="00BB17FC" w:rsidRPr="00A831E7">
        <w:rPr>
          <w:rFonts w:eastAsia="Calibri"/>
        </w:rPr>
        <w:t xml:space="preserve">α αποτελέσματα της μελέτης Qi et al. </w:t>
      </w:r>
      <w:r w:rsidR="00BB17FC" w:rsidRPr="00A831E7">
        <w:rPr>
          <w:rFonts w:eastAsia="Calibri"/>
        </w:rPr>
        <w:fldChar w:fldCharType="begin"/>
      </w:r>
      <w:r w:rsidR="00B61252">
        <w:rPr>
          <w:rFonts w:eastAsia="Calibri"/>
        </w:rPr>
        <w:instrText xml:space="preserve"> ADDIN ZOTERO_ITEM CSL_CITATION {"citationID":"IRUwmsBQ","properties":{"formattedCitation":"[117]","plainCitation":"[117]","noteIndex":0},"citationItems":[{"id":918,"uris":["http://zotero.org/users/local/mfHf28QG/items/ZSV5HRPA"],"itemData":{"id":918,"type":"article-journal","abstract":"&lt;p&gt;&lt;bold&gt;Background:&lt;/bold&gt; A delay in the diagnosis of acute ischemic stroke (AIS) reduces the eligibility and outcome of patients for thrombolytic therapy. Therefore, early diagnosis and treatment of AIS are crucial. The present study evaluated the sensitivity and accuracy of serum extracellular vesicle (EV)-derived &lt;italic&gt;miR-124-3p&lt;/italic&gt; in the diagnosis and prediction of AIS.&lt;/p&gt;&lt;p&gt;&lt;bold&gt;Methods:&lt;/bold&gt; An miRNA expression profile was downloaded from Gene Expression Omnibus (GEO) database and analyzed by R software. EVs were harvested from the serum of AIS patients using a total exosome isolation kit and characterized by Western blotting, a transmission electron microscope, and the nanoparticle tracking analysis. BV2 microglia were pre-stimulated with lipopolysaccharide (LPS), followed by &lt;italic&gt;miR-124-3p&lt;/italic&gt; treatment for 24 h and subsequent analysis of viability, apoptosis, and migration (scratch assay), and Western blotting. The relative expression of the selected genes was assessed by qRT-PCR. The phosphorylation of Erk1/2, PI3K/Akt, and p38MAPK in BV2 microglia cells was evaluated by Western blotting, while the luciferase reporter gene assay detected the correlation between key genes involved in the pro-inflammatory signaling pathways and &lt;italic&gt;miR-124-3p&lt;/italic&gt;.&lt;/p&gt;&lt;p&gt;&lt;bold&gt;Results:&lt;/bold&gt;&lt;italic&gt;hsa-miR-124-3p&lt;/italic&gt; was downregulated in AIS serum compared to the non-AIS serum (&lt;italic&gt;p&lt;/italic&gt; &amp;lt; 0.05), and the gene expression of &lt;italic&gt;has-miR-124-3p&lt;/italic&gt; in EVs was negatively correlated with serum pro-inflammatory cytokines and the NIHSS (&lt;italic&gt;p&lt;/italic&gt; &amp;lt; 0.05). In addition, &lt;italic&gt;miR-124-3p&lt;/italic&gt; promoted the viability and inhibited the apoptosis of LPS-induced BV2 microglia. Furthermore, &lt;italic&gt;miR-124-3p&lt;/italic&gt; reduced the phosphorylation of Erk1/2, PI3K/Akt, and p38MAPK, and promoted the migration in LPS-induced BV2 microglia (&lt;italic&gt;p&lt;/italic&gt; &amp;lt; 0.05).&lt;/p&gt;&lt;p&gt;&lt;bold&gt;Conclusion:&lt;/bold&gt; Serum EV-derived &lt;italic&gt;miR-124-3p&lt;/italic&gt; serves as a diagnostic and predictive marker for early-stage AIS.&lt;/p&gt;","container-title":"Frontiers in Molecular Biosciences","DOI":"10.3389/fmolb.2021.685088","ISSN":"2296-889X","journalAbbreviation":"Front. Mol. Biosci.","language":"English","note":"publisher: Frontiers","source":"Frontiers","title":"Serum Extracellular Vesicle–Derived miR-124-3p as a Diagnostic and Predictive Marker for Early-Stage Acute Ischemic Stroke","URL":"https://www.frontiersin.org/journals/molecular-biosciences/articles/10.3389/fmolb.2021.685088/full","volume":"8","author":[{"family":"Qi","given":"Zheng"},{"family":"Zhao","given":"Yingying"},{"family":"Su","given":"Yu"},{"family":"Cao","given":"Bin"},{"family":"Yang","given":"Jian-Jun"},{"family":"Xing","given":"Qinghe"}],"accessed":{"date-parts":[["2024",11,20]]},"issued":{"date-parts":[["2021",7,1]]}}}],"schema":"https://github.com/citation-style-language/schema/raw/master/csl-citation.json"} </w:instrText>
      </w:r>
      <w:r w:rsidR="00BB17FC" w:rsidRPr="00A831E7">
        <w:rPr>
          <w:rFonts w:eastAsia="Calibri"/>
        </w:rPr>
        <w:fldChar w:fldCharType="separate"/>
      </w:r>
      <w:r w:rsidR="00B61252" w:rsidRPr="00B61252">
        <w:rPr>
          <w:rFonts w:eastAsia="Calibri"/>
        </w:rPr>
        <w:t>[117]</w:t>
      </w:r>
      <w:r w:rsidR="00BB17FC" w:rsidRPr="00A831E7">
        <w:rPr>
          <w:rFonts w:eastAsia="Calibri"/>
        </w:rPr>
        <w:fldChar w:fldCharType="end"/>
      </w:r>
      <w:r w:rsidR="00BB17FC" w:rsidRPr="00A831E7">
        <w:rPr>
          <w:rFonts w:eastAsia="Calibri"/>
        </w:rPr>
        <w:t xml:space="preserve"> έδειξαν ότι το miR-124-3p είχε σημαντικά υψηλότερη διαγνωστική απόδοση όταν η προέλευση ήταν EVs σε σύγκριση με  miRNA από κυκλοφορία αίματος, με AUC = 0.940 στα δείγματα AIS-6H-EVs, ενώ το αντίστοιχο AIS-6H-Serum είχε AUC = 0.710. Η διαφορά αυτή υποδηλώνει ότι τα EVs προσφέρουν πιο αξιόπιστη και πρώιμη ανίχνευση του εγκεφαλικού επεισοδίου, καθώς το</w:t>
      </w:r>
      <w:r w:rsidR="008E382E">
        <w:rPr>
          <w:rFonts w:eastAsia="Calibri"/>
        </w:rPr>
        <w:t xml:space="preserve"> </w:t>
      </w:r>
      <w:r w:rsidR="00BB17FC" w:rsidRPr="00A831E7">
        <w:rPr>
          <w:rFonts w:eastAsia="Calibri"/>
        </w:rPr>
        <w:t>miR-124-3p</w:t>
      </w:r>
      <w:r w:rsidR="005565BC">
        <w:rPr>
          <w:rFonts w:eastAsia="Calibri"/>
          <w:lang w:val="en-US"/>
        </w:rPr>
        <w:t xml:space="preserve"> </w:t>
      </w:r>
      <w:r w:rsidR="005565BC">
        <w:rPr>
          <w:rFonts w:eastAsia="Calibri"/>
        </w:rPr>
        <w:t xml:space="preserve">με </w:t>
      </w:r>
      <w:r w:rsidR="005565BC">
        <w:rPr>
          <w:rFonts w:eastAsia="Calibri"/>
          <w:lang w:val="en-US"/>
        </w:rPr>
        <w:t>EV-</w:t>
      </w:r>
      <w:r w:rsidR="005565BC">
        <w:rPr>
          <w:rFonts w:eastAsia="Calibri"/>
        </w:rPr>
        <w:t>προέλευση</w:t>
      </w:r>
      <w:r w:rsidR="00BB17FC" w:rsidRPr="00A831E7">
        <w:rPr>
          <w:rFonts w:eastAsia="Calibri"/>
        </w:rPr>
        <w:t xml:space="preserve"> παρουσίασε διαγνωστική ευαισθησία ήδη από τις 2 ώρες μετά την έναρξη των συμπτωμάτων (AUC = 0.805), ενώ το κυκλοφορούν στο αίμα miR-124-3p είχε AUC = 0.490 στην ίδια χρονική στιγμή</w:t>
      </w:r>
      <w:r w:rsidR="00104378" w:rsidRPr="00A831E7">
        <w:rPr>
          <w:rFonts w:eastAsia="Calibri"/>
        </w:rPr>
        <w:t xml:space="preserve">  </w:t>
      </w:r>
      <w:r w:rsidR="00104378" w:rsidRPr="00A831E7">
        <w:rPr>
          <w:rFonts w:eastAsia="Calibri"/>
        </w:rPr>
        <w:fldChar w:fldCharType="begin"/>
      </w:r>
      <w:r w:rsidR="00B61252">
        <w:rPr>
          <w:rFonts w:eastAsia="Calibri"/>
        </w:rPr>
        <w:instrText xml:space="preserve"> ADDIN ZOTERO_ITEM CSL_CITATION {"citationID":"6R4hQNpZ","properties":{"formattedCitation":"[117]","plainCitation":"[117]","noteIndex":0},"citationItems":[{"id":918,"uris":["http://zotero.org/users/local/mfHf28QG/items/ZSV5HRPA"],"itemData":{"id":918,"type":"article-journal","abstract":"&lt;p&gt;&lt;bold&gt;Background:&lt;/bold&gt; A delay in the diagnosis of acute ischemic stroke (AIS) reduces the eligibility and outcome of patients for thrombolytic therapy. Therefore, early diagnosis and treatment of AIS are crucial. The present study evaluated the sensitivity and accuracy of serum extracellular vesicle (EV)-derived &lt;italic&gt;miR-124-3p&lt;/italic&gt; in the diagnosis and prediction of AIS.&lt;/p&gt;&lt;p&gt;&lt;bold&gt;Methods:&lt;/bold&gt; An miRNA expression profile was downloaded from Gene Expression Omnibus (GEO) database and analyzed by R software. EVs were harvested from the serum of AIS patients using a total exosome isolation kit and characterized by Western blotting, a transmission electron microscope, and the nanoparticle tracking analysis. BV2 microglia were pre-stimulated with lipopolysaccharide (LPS), followed by &lt;italic&gt;miR-124-3p&lt;/italic&gt; treatment for 24 h and subsequent analysis of viability, apoptosis, and migration (scratch assay), and Western blotting. The relative expression of the selected genes was assessed by qRT-PCR. The phosphorylation of Erk1/2, PI3K/Akt, and p38MAPK in BV2 microglia cells was evaluated by Western blotting, while the luciferase reporter gene assay detected the correlation between key genes involved in the pro-inflammatory signaling pathways and &lt;italic&gt;miR-124-3p&lt;/italic&gt;.&lt;/p&gt;&lt;p&gt;&lt;bold&gt;Results:&lt;/bold&gt;&lt;italic&gt;hsa-miR-124-3p&lt;/italic&gt; was downregulated in AIS serum compared to the non-AIS serum (&lt;italic&gt;p&lt;/italic&gt; &amp;lt; 0.05), and the gene expression of &lt;italic&gt;has-miR-124-3p&lt;/italic&gt; in EVs was negatively correlated with serum pro-inflammatory cytokines and the NIHSS (&lt;italic&gt;p&lt;/italic&gt; &amp;lt; 0.05). In addition, &lt;italic&gt;miR-124-3p&lt;/italic&gt; promoted the viability and inhibited the apoptosis of LPS-induced BV2 microglia. Furthermore, &lt;italic&gt;miR-124-3p&lt;/italic&gt; reduced the phosphorylation of Erk1/2, PI3K/Akt, and p38MAPK, and promoted the migration in LPS-induced BV2 microglia (&lt;italic&gt;p&lt;/italic&gt; &amp;lt; 0.05).&lt;/p&gt;&lt;p&gt;&lt;bold&gt;Conclusion:&lt;/bold&gt; Serum EV-derived &lt;italic&gt;miR-124-3p&lt;/italic&gt; serves as a diagnostic and predictive marker for early-stage AIS.&lt;/p&gt;","container-title":"Frontiers in Molecular Biosciences","DOI":"10.3389/fmolb.2021.685088","ISSN":"2296-889X","journalAbbreviation":"Front. Mol. Biosci.","language":"English","note":"publisher: Frontiers","source":"Frontiers","title":"Serum Extracellular Vesicle–Derived miR-124-3p as a Diagnostic and Predictive Marker for Early-Stage Acute Ischemic Stroke","URL":"https://www.frontiersin.org/journals/molecular-biosciences/articles/10.3389/fmolb.2021.685088/full","volume":"8","author":[{"family":"Qi","given":"Zheng"},{"family":"Zhao","given":"Yingying"},{"family":"Su","given":"Yu"},{"family":"Cao","given":"Bin"},{"family":"Yang","given":"Jian-Jun"},{"family":"Xing","given":"Qinghe"}],"accessed":{"date-parts":[["2024",11,20]]},"issued":{"date-parts":[["2021",7,1]]}}}],"schema":"https://github.com/citation-style-language/schema/raw/master/csl-citation.json"} </w:instrText>
      </w:r>
      <w:r w:rsidR="00104378" w:rsidRPr="00A831E7">
        <w:rPr>
          <w:rFonts w:eastAsia="Calibri"/>
        </w:rPr>
        <w:fldChar w:fldCharType="separate"/>
      </w:r>
      <w:r w:rsidR="00B61252" w:rsidRPr="00B61252">
        <w:rPr>
          <w:rFonts w:eastAsia="Calibri"/>
        </w:rPr>
        <w:t>[117]</w:t>
      </w:r>
      <w:r w:rsidR="00104378" w:rsidRPr="00A831E7">
        <w:rPr>
          <w:rFonts w:eastAsia="Calibri"/>
        </w:rPr>
        <w:fldChar w:fldCharType="end"/>
      </w:r>
      <w:r w:rsidR="00BB17FC" w:rsidRPr="00A831E7">
        <w:rPr>
          <w:rFonts w:eastAsia="Calibri"/>
        </w:rPr>
        <w:t xml:space="preserve">. Αυτή η διαφορά πιθανώς οφείλεται στο γεγονός ότι τα EVs προστατεύουν τα microRNAs από αποικοδόμηση, επιτρέποντας πιο σταθερή και αξιόπιστη μέτρηση σε πρώιμα στάδια </w:t>
      </w:r>
      <w:r w:rsidR="00BB17FC" w:rsidRPr="00A831E7">
        <w:rPr>
          <w:rFonts w:eastAsia="Calibri"/>
        </w:rPr>
        <w:lastRenderedPageBreak/>
        <w:t>του εγκεφαλικού επεισοδίου ενισχύοντας τις προοπτικές για point-of-care (PoC) υλοποιήσεις.</w:t>
      </w:r>
    </w:p>
    <w:p w14:paraId="565B2F58" w14:textId="77777777" w:rsidR="00EB2D8D" w:rsidRPr="00EB2D8D" w:rsidRDefault="00EB2D8D" w:rsidP="00F76BEA">
      <w:pPr>
        <w:spacing w:line="360" w:lineRule="auto"/>
        <w:ind w:firstLine="720"/>
        <w:jc w:val="both"/>
        <w:rPr>
          <w:rFonts w:eastAsia="Calibri"/>
          <w:lang w:val="en-US"/>
        </w:rPr>
      </w:pPr>
    </w:p>
    <w:p w14:paraId="72AD735B" w14:textId="5309BD6A" w:rsidR="00BC3BD1" w:rsidRPr="00A46902" w:rsidRDefault="008641F1" w:rsidP="00A46902">
      <w:pPr>
        <w:pStyle w:val="3"/>
      </w:pPr>
      <w:bookmarkStart w:id="158" w:name="_Toc199787420"/>
      <w:bookmarkStart w:id="159" w:name="_Toc199946491"/>
      <w:r w:rsidRPr="00A46902">
        <w:t xml:space="preserve">5.3.2 </w:t>
      </w:r>
      <w:r w:rsidR="006D18D2" w:rsidRPr="00A46902">
        <w:t>Επιφανειακοί δείκτες EVs (Πρωτεϊνική ανάλυση των EVs)</w:t>
      </w:r>
      <w:bookmarkEnd w:id="158"/>
      <w:bookmarkEnd w:id="159"/>
    </w:p>
    <w:p w14:paraId="2F1555E0" w14:textId="13B1A3DC" w:rsidR="00C448AA" w:rsidRPr="00A831E7" w:rsidRDefault="008F7D11" w:rsidP="0057069D">
      <w:pPr>
        <w:spacing w:line="360" w:lineRule="auto"/>
        <w:ind w:firstLine="720"/>
        <w:jc w:val="both"/>
        <w:rPr>
          <w:rFonts w:eastAsia="Calibri"/>
        </w:rPr>
      </w:pPr>
      <w:r w:rsidRPr="00A831E7">
        <w:rPr>
          <w:rFonts w:eastAsia="Calibri"/>
        </w:rPr>
        <w:t>Η</w:t>
      </w:r>
      <w:r w:rsidRPr="00730D74">
        <w:rPr>
          <w:rFonts w:eastAsia="Calibri"/>
          <w:lang w:val="en-US"/>
        </w:rPr>
        <w:t xml:space="preserve"> </w:t>
      </w:r>
      <w:r w:rsidRPr="00A831E7">
        <w:rPr>
          <w:rFonts w:eastAsia="Calibri"/>
        </w:rPr>
        <w:t>μελέτη</w:t>
      </w:r>
      <w:r w:rsidRPr="00730D74">
        <w:rPr>
          <w:rFonts w:eastAsia="Calibri"/>
          <w:lang w:val="en-US"/>
        </w:rPr>
        <w:t xml:space="preserve"> Burrello et al. </w:t>
      </w:r>
      <w:r w:rsidRPr="00A831E7">
        <w:rPr>
          <w:rFonts w:eastAsia="Calibri"/>
        </w:rPr>
        <w:fldChar w:fldCharType="begin"/>
      </w:r>
      <w:r w:rsidR="00B61252">
        <w:rPr>
          <w:rFonts w:eastAsia="Calibri"/>
          <w:lang w:val="en-US"/>
        </w:rPr>
        <w:instrText xml:space="preserve"> ADDIN ZOTERO_ITEM CSL_CITATION {"citationID":"EsqeLWrR","properties":{"formattedCitation":"[115]","plainCitation":"[115]","noteIndex":0},"citationItems":[{"id":1049,"uris":["http://zotero.org/users/local/mfHf28QG/items/79BQDRY6"],"itemData":{"id":1049,"type":"article-journal","abstract":"Background and Purpose:Extracellular vesicles (EVs) are promising biomarkers for cerebral ischemic diseases, but not systematically tested in patients with transient ischemic attacks (TIAs). We aimed at (1) investigating the profile of EV-surface antigens in patients with symptoms suspicious for TIA; (2) developing and validating a predictive model for TIA diagnosis based on a specific EV-surface antigen profile.Methods:We analyzed 40 subjects with symptoms suspicious for TIA and 20 healthy controls from a training cohort. An independent cohort of 28 subjects served as external validation. Patients were stratified according to likelihood of having a real ischemic event using the Precise Diagnostic Score, defined as: unlikely (score 0–1), possible-probable (score 2–3), or very likely (score 4–8). Serum vesicles were quantified by nanoparticle tracking analysis and EV-surface antigen profile characterized by multiplex flow cytometry.Results:EV concentration increased in patients with very likely or possible-probable TIA (P&lt;0.05) compared with controls. Nanoparticle concentration was directly correlated with the Precise Diagnostic score (R=0.712; P&lt;0.001). After EV immuno-capturing, CD8, CD2, CD62P, melanoma-associated chondroitin sulfate proteoglycan, CD42a, CD44, CD326, CD142, CD31, and CD14 were identified as discriminants between groups. Receiver operating characteristic curve analysis confirmed a reliable diagnostic performance for each of these markers taken individually and for a compound marker derived from their linear combinations (area under the curve, 0.851). Finally, a random forest model combining the expression levels of selected markers achieved an accuracy of 96% and 78.9% for discriminating patients with a very likely TIA, in the training and external validation cohort, respectively.Conclusions:The EV-surface antigen profile appears to be different in patients with transient symptoms adjudicated to be very likely caused by brain ischemia compared with patients whose symptoms were less likely to due to brain ischemia. We propose an algorithm based on an EV-surface-antigen specific signature that might aid in the recognition of TIA.","container-title":"Stroke","DOI":"10.1161/STROKEAHA.120.033170","issue":"10","note":"publisher: American Heart Association","page":"3335-3347","source":"ahajournals.org (Atypon)","title":"Extracellular Vesicle Surface Markers as a Diagnostic Tool in Transient Ischemic Attacks","volume":"52","author":[{"family":"Burrello","given":"Jacopo"},{"family":"Bianco","given":"Giovanni"},{"family":"Burrello","given":"Alessio"},{"family":"Manno","given":"Concetta"},{"family":"Maulucci","given":"Francesco"},{"family":"Pileggi","given":"Marco"},{"family":"Nannoni","given":"Stefania"},{"family":"Michel","given":"Patrik"},{"family":"Bolis","given":"Sara"},{"family":"Melli","given":"Giorgia"},{"family":"Vassalli","given":"Giuseppe"},{"family":"Albers","given":"Gregory W."},{"family":"Cianfoni","given":"Alessandro"},{"family":"Barile","given":"Lucio"},{"family":"Cereda","given":"Carlo W."}],"issued":{"date-parts":[["2021",10]]}}}],"schema":"https://github.com/citation-style-language/schema/raw/master/csl-citation.json"} </w:instrText>
      </w:r>
      <w:r w:rsidRPr="00A831E7">
        <w:rPr>
          <w:rFonts w:eastAsia="Calibri"/>
        </w:rPr>
        <w:fldChar w:fldCharType="separate"/>
      </w:r>
      <w:r w:rsidR="00B61252" w:rsidRPr="00B61252">
        <w:rPr>
          <w:rFonts w:eastAsia="Calibri"/>
        </w:rPr>
        <w:t>[115]</w:t>
      </w:r>
      <w:r w:rsidRPr="00A831E7">
        <w:rPr>
          <w:rFonts w:eastAsia="Calibri"/>
        </w:rPr>
        <w:fldChar w:fldCharType="end"/>
      </w:r>
      <w:r w:rsidRPr="00A831E7">
        <w:rPr>
          <w:rFonts w:eastAsia="Calibri"/>
        </w:rPr>
        <w:t xml:space="preserve"> εξετάζει τη χρήση επιφανειακών δεικτών εξωκυττ</w:t>
      </w:r>
      <w:r w:rsidR="00DB30F9">
        <w:rPr>
          <w:rFonts w:eastAsia="Calibri"/>
        </w:rPr>
        <w:t>α</w:t>
      </w:r>
      <w:r w:rsidRPr="00A831E7">
        <w:rPr>
          <w:rFonts w:eastAsia="Calibri"/>
        </w:rPr>
        <w:t>ρι</w:t>
      </w:r>
      <w:r w:rsidR="00DB30F9">
        <w:rPr>
          <w:rFonts w:eastAsia="Calibri"/>
        </w:rPr>
        <w:t>κώ</w:t>
      </w:r>
      <w:r w:rsidRPr="00A831E7">
        <w:rPr>
          <w:rFonts w:eastAsia="Calibri"/>
        </w:rPr>
        <w:t xml:space="preserve">ν κυστιδίων (EVs) ως διαγνωστικού εργαλείου για παροδικά ισχαιμικά επεισόδια (TIA). Η συλλογή δειγμάτων αίματος πραγματοποιήθηκε κατά την εισαγωγή των ασθενών που παρουσίαζαν ύποπτα συμπτώματα TIA, επιτρέποντας την περαιτέρω ταξινόμησή τους με βάση το Precise Diagnostic Score (PREDISC) </w:t>
      </w:r>
      <w:r w:rsidRPr="00A831E7">
        <w:rPr>
          <w:rFonts w:eastAsia="Calibri"/>
        </w:rPr>
        <w:fldChar w:fldCharType="begin"/>
      </w:r>
      <w:r w:rsidR="00B61252">
        <w:rPr>
          <w:rFonts w:eastAsia="Calibri"/>
        </w:rPr>
        <w:instrText xml:space="preserve"> ADDIN ZOTERO_ITEM CSL_CITATION {"citationID":"hmBVjc3x","properties":{"formattedCitation":"[115]","plainCitation":"[115]","noteIndex":0},"citationItems":[{"id":1049,"uris":["http://zotero.org/users/local/mfHf28QG/items/79BQDRY6"],"itemData":{"id":1049,"type":"article-journal","abstract":"Background and Purpose:Extracellular vesicles (EVs) are promising biomarkers for cerebral ischemic diseases, but not systematically tested in patients with transient ischemic attacks (TIAs). We aimed at (1) investigating the profile of EV-surface antigens in patients with symptoms suspicious for TIA; (2) developing and validating a predictive model for TIA diagnosis based on a specific EV-surface antigen profile.Methods:We analyzed 40 subjects with symptoms suspicious for TIA and 20 healthy controls from a training cohort. An independent cohort of 28 subjects served as external validation. Patients were stratified according to likelihood of having a real ischemic event using the Precise Diagnostic Score, defined as: unlikely (score 0–1), possible-probable (score 2–3), or very likely (score 4–8). Serum vesicles were quantified by nanoparticle tracking analysis and EV-surface antigen profile characterized by multiplex flow cytometry.Results:EV concentration increased in patients with very likely or possible-probable TIA (P&lt;0.05) compared with controls. Nanoparticle concentration was directly correlated with the Precise Diagnostic score (R=0.712; P&lt;0.001). After EV immuno-capturing, CD8, CD2, CD62P, melanoma-associated chondroitin sulfate proteoglycan, CD42a, CD44, CD326, CD142, CD31, and CD14 were identified as discriminants between groups. Receiver operating characteristic curve analysis confirmed a reliable diagnostic performance for each of these markers taken individually and for a compound marker derived from their linear combinations (area under the curve, 0.851). Finally, a random forest model combining the expression levels of selected markers achieved an accuracy of 96% and 78.9% for discriminating patients with a very likely TIA, in the training and external validation cohort, respectively.Conclusions:The EV-surface antigen profile appears to be different in patients with transient symptoms adjudicated to be very likely caused by brain ischemia compared with patients whose symptoms were less likely to due to brain ischemia. We propose an algorithm based on an EV-surface-antigen specific signature that might aid in the recognition of TIA.","container-title":"Stroke","DOI":"10.1161/STROKEAHA.120.033170","issue":"10","note":"publisher: American Heart Association","page":"3335-3347","source":"ahajournals.org (Atypon)","title":"Extracellular Vesicle Surface Markers as a Diagnostic Tool in Transient Ischemic Attacks","volume":"52","author":[{"family":"Burrello","given":"Jacopo"},{"family":"Bianco","given":"Giovanni"},{"family":"Burrello","given":"Alessio"},{"family":"Manno","given":"Concetta"},{"family":"Maulucci","given":"Francesco"},{"family":"Pileggi","given":"Marco"},{"family":"Nannoni","given":"Stefania"},{"family":"Michel","given":"Patrik"},{"family":"Bolis","given":"Sara"},{"family":"Melli","given":"Giorgia"},{"family":"Vassalli","given":"Giuseppe"},{"family":"Albers","given":"Gregory W."},{"family":"Cianfoni","given":"Alessandro"},{"family":"Barile","given":"Lucio"},{"family":"Cereda","given":"Carlo W."}],"issued":{"date-parts":[["2021",10]]}}}],"schema":"https://github.com/citation-style-language/schema/raw/master/csl-citation.json"} </w:instrText>
      </w:r>
      <w:r w:rsidRPr="00A831E7">
        <w:rPr>
          <w:rFonts w:eastAsia="Calibri"/>
        </w:rPr>
        <w:fldChar w:fldCharType="separate"/>
      </w:r>
      <w:r w:rsidR="00B61252" w:rsidRPr="00B61252">
        <w:rPr>
          <w:rFonts w:eastAsia="Calibri"/>
        </w:rPr>
        <w:t>[115]</w:t>
      </w:r>
      <w:r w:rsidRPr="00A831E7">
        <w:rPr>
          <w:rFonts w:eastAsia="Calibri"/>
        </w:rPr>
        <w:fldChar w:fldCharType="end"/>
      </w:r>
      <w:r w:rsidRPr="00A831E7">
        <w:rPr>
          <w:rFonts w:eastAsia="Calibri"/>
        </w:rPr>
        <w:t>. Η απομόνωση των EVs πραγματοποιήθηκε από ορό αίματος, με ποσοτικοποίηση μέσω NTA. Ο χαρακτηρισμός των επιφανειακών αντιγόνων των EVs έγινε με πολλαπλή κυτταρομετρία ροής (MACS-Plex Human Exosome Kit), όπου αναγνωρίστηκαν συγκεκριμένοι δείκτες EVs όπως CD8, CD2, CD62P, CD42a, CD44, CD142, CD31 και CD14. Η συγκέντρωση των EVs παρουσίασε ισχυρή συσχέτιση (R=0.712, P&lt;0.001) με το Precise Diagnostic Score, υποδεικνύοντας υψηλή διαγνωστική σημασία</w:t>
      </w:r>
      <w:r w:rsidR="00C448AA" w:rsidRPr="00A831E7">
        <w:rPr>
          <w:rFonts w:eastAsia="Calibri"/>
        </w:rPr>
        <w:t xml:space="preserve"> </w:t>
      </w:r>
      <w:r w:rsidR="00C448AA" w:rsidRPr="00A831E7">
        <w:rPr>
          <w:rFonts w:eastAsia="Calibri"/>
        </w:rPr>
        <w:fldChar w:fldCharType="begin"/>
      </w:r>
      <w:r w:rsidR="00B61252">
        <w:rPr>
          <w:rFonts w:eastAsia="Calibri"/>
        </w:rPr>
        <w:instrText xml:space="preserve"> ADDIN ZOTERO_ITEM CSL_CITATION {"citationID":"M2wck4Sm","properties":{"formattedCitation":"[115]","plainCitation":"[115]","noteIndex":0},"citationItems":[{"id":1049,"uris":["http://zotero.org/users/local/mfHf28QG/items/79BQDRY6"],"itemData":{"id":1049,"type":"article-journal","abstract":"Background and Purpose:Extracellular vesicles (EVs) are promising biomarkers for cerebral ischemic diseases, but not systematically tested in patients with transient ischemic attacks (TIAs). We aimed at (1) investigating the profile of EV-surface antigens in patients with symptoms suspicious for TIA; (2) developing and validating a predictive model for TIA diagnosis based on a specific EV-surface antigen profile.Methods:We analyzed 40 subjects with symptoms suspicious for TIA and 20 healthy controls from a training cohort. An independent cohort of 28 subjects served as external validation. Patients were stratified according to likelihood of having a real ischemic event using the Precise Diagnostic Score, defined as: unlikely (score 0–1), possible-probable (score 2–3), or very likely (score 4–8). Serum vesicles were quantified by nanoparticle tracking analysis and EV-surface antigen profile characterized by multiplex flow cytometry.Results:EV concentration increased in patients with very likely or possible-probable TIA (P&lt;0.05) compared with controls. Nanoparticle concentration was directly correlated with the Precise Diagnostic score (R=0.712; P&lt;0.001). After EV immuno-capturing, CD8, CD2, CD62P, melanoma-associated chondroitin sulfate proteoglycan, CD42a, CD44, CD326, CD142, CD31, and CD14 were identified as discriminants between groups. Receiver operating characteristic curve analysis confirmed a reliable diagnostic performance for each of these markers taken individually and for a compound marker derived from their linear combinations (area under the curve, 0.851). Finally, a random forest model combining the expression levels of selected markers achieved an accuracy of 96% and 78.9% for discriminating patients with a very likely TIA, in the training and external validation cohort, respectively.Conclusions:The EV-surface antigen profile appears to be different in patients with transient symptoms adjudicated to be very likely caused by brain ischemia compared with patients whose symptoms were less likely to due to brain ischemia. We propose an algorithm based on an EV-surface-antigen specific signature that might aid in the recognition of TIA.","container-title":"Stroke","DOI":"10.1161/STROKEAHA.120.033170","issue":"10","note":"publisher: American Heart Association","page":"3335-3347","source":"ahajournals.org (Atypon)","title":"Extracellular Vesicle Surface Markers as a Diagnostic Tool in Transient Ischemic Attacks","volume":"52","author":[{"family":"Burrello","given":"Jacopo"},{"family":"Bianco","given":"Giovanni"},{"family":"Burrello","given":"Alessio"},{"family":"Manno","given":"Concetta"},{"family":"Maulucci","given":"Francesco"},{"family":"Pileggi","given":"Marco"},{"family":"Nannoni","given":"Stefania"},{"family":"Michel","given":"Patrik"},{"family":"Bolis","given":"Sara"},{"family":"Melli","given":"Giorgia"},{"family":"Vassalli","given":"Giuseppe"},{"family":"Albers","given":"Gregory W."},{"family":"Cianfoni","given":"Alessandro"},{"family":"Barile","given":"Lucio"},{"family":"Cereda","given":"Carlo W."}],"issued":{"date-parts":[["2021",10]]}}}],"schema":"https://github.com/citation-style-language/schema/raw/master/csl-citation.json"} </w:instrText>
      </w:r>
      <w:r w:rsidR="00C448AA" w:rsidRPr="00A831E7">
        <w:rPr>
          <w:rFonts w:eastAsia="Calibri"/>
        </w:rPr>
        <w:fldChar w:fldCharType="separate"/>
      </w:r>
      <w:r w:rsidR="00B61252" w:rsidRPr="00B61252">
        <w:rPr>
          <w:rFonts w:eastAsia="Calibri"/>
        </w:rPr>
        <w:t>[115]</w:t>
      </w:r>
      <w:r w:rsidR="00C448AA" w:rsidRPr="00A831E7">
        <w:rPr>
          <w:rFonts w:eastAsia="Calibri"/>
        </w:rPr>
        <w:fldChar w:fldCharType="end"/>
      </w:r>
      <w:r w:rsidRPr="00A831E7">
        <w:rPr>
          <w:rFonts w:eastAsia="Calibri"/>
        </w:rPr>
        <w:t>.</w:t>
      </w:r>
      <w:r w:rsidR="00C448AA" w:rsidRPr="00A831E7">
        <w:rPr>
          <w:rFonts w:eastAsia="Calibri"/>
        </w:rPr>
        <w:t xml:space="preserve"> </w:t>
      </w:r>
      <w:r w:rsidRPr="00A831E7">
        <w:rPr>
          <w:rFonts w:eastAsia="Calibri"/>
        </w:rPr>
        <w:t>Για την επιλογή των χαρακτηριστικών, εφαρμόστηκε ανάλυση LDA, ενώ το μοντέλο Random Forest (RF) εκπαιδεύτηκε με δεδομένα αντιγόνων EVs. Τα αποτελέσματα έδειξαν 96% ακρίβεια στην ταξινόμηση των ασθενών με υψηλή πιθανότητα TIA, ενώ η εξωτερική επικύρωση του μοντέλου διατήρησε 78.9% ακρίβεια στην αναγνώριση TIA περιπτώσεων.</w:t>
      </w:r>
      <w:r w:rsidR="00C448AA" w:rsidRPr="00A831E7">
        <w:rPr>
          <w:rFonts w:eastAsia="Calibri"/>
        </w:rPr>
        <w:t xml:space="preserve"> </w:t>
      </w:r>
      <w:r w:rsidRPr="00A831E7">
        <w:rPr>
          <w:rFonts w:eastAsia="Calibri"/>
        </w:rPr>
        <w:t>Η διαγνωστική απόδοση των μεμονωμένων δεικτών EVs αξιολογήθηκε μέσω καμπύλης ROC, όπου οι δείκτες CD42a, CD31 και CD14 εμφάνισαν AUC</w:t>
      </w:r>
      <w:r w:rsidR="00C448AA" w:rsidRPr="00A831E7">
        <w:rPr>
          <w:rFonts w:eastAsia="Calibri"/>
        </w:rPr>
        <w:t xml:space="preserve"> =</w:t>
      </w:r>
      <w:r w:rsidRPr="00A831E7">
        <w:rPr>
          <w:rFonts w:eastAsia="Calibri"/>
        </w:rPr>
        <w:t xml:space="preserve"> 0.851, επιβεβαιώνοντας την υψηλή τους κλινική αξία</w:t>
      </w:r>
      <w:r w:rsidR="00C448AA" w:rsidRPr="00A831E7">
        <w:rPr>
          <w:rFonts w:eastAsia="Calibri"/>
        </w:rPr>
        <w:t xml:space="preserve"> (</w:t>
      </w:r>
      <w:r w:rsidR="00C448AA" w:rsidRPr="00A831E7">
        <w:rPr>
          <w:rFonts w:eastAsia="Calibri"/>
          <w:i/>
          <w:iCs/>
        </w:rPr>
        <w:t>Πίνακας 20</w:t>
      </w:r>
      <w:r w:rsidR="00C448AA" w:rsidRPr="00A831E7">
        <w:rPr>
          <w:rFonts w:eastAsia="Calibri"/>
        </w:rPr>
        <w:t xml:space="preserve">) </w:t>
      </w:r>
      <w:r w:rsidR="00C448AA" w:rsidRPr="00A831E7">
        <w:rPr>
          <w:rFonts w:eastAsia="Calibri"/>
        </w:rPr>
        <w:fldChar w:fldCharType="begin"/>
      </w:r>
      <w:r w:rsidR="00B61252">
        <w:rPr>
          <w:rFonts w:eastAsia="Calibri"/>
        </w:rPr>
        <w:instrText xml:space="preserve"> ADDIN ZOTERO_ITEM CSL_CITATION {"citationID":"5SYTobK3","properties":{"formattedCitation":"[115]","plainCitation":"[115]","noteIndex":0},"citationItems":[{"id":1049,"uris":["http://zotero.org/users/local/mfHf28QG/items/79BQDRY6"],"itemData":{"id":1049,"type":"article-journal","abstract":"Background and Purpose:Extracellular vesicles (EVs) are promising biomarkers for cerebral ischemic diseases, but not systematically tested in patients with transient ischemic attacks (TIAs). We aimed at (1) investigating the profile of EV-surface antigens in patients with symptoms suspicious for TIA; (2) developing and validating a predictive model for TIA diagnosis based on a specific EV-surface antigen profile.Methods:We analyzed 40 subjects with symptoms suspicious for TIA and 20 healthy controls from a training cohort. An independent cohort of 28 subjects served as external validation. Patients were stratified according to likelihood of having a real ischemic event using the Precise Diagnostic Score, defined as: unlikely (score 0–1), possible-probable (score 2–3), or very likely (score 4–8). Serum vesicles were quantified by nanoparticle tracking analysis and EV-surface antigen profile characterized by multiplex flow cytometry.Results:EV concentration increased in patients with very likely or possible-probable TIA (P&lt;0.05) compared with controls. Nanoparticle concentration was directly correlated with the Precise Diagnostic score (R=0.712; P&lt;0.001). After EV immuno-capturing, CD8, CD2, CD62P, melanoma-associated chondroitin sulfate proteoglycan, CD42a, CD44, CD326, CD142, CD31, and CD14 were identified as discriminants between groups. Receiver operating characteristic curve analysis confirmed a reliable diagnostic performance for each of these markers taken individually and for a compound marker derived from their linear combinations (area under the curve, 0.851). Finally, a random forest model combining the expression levels of selected markers achieved an accuracy of 96% and 78.9% for discriminating patients with a very likely TIA, in the training and external validation cohort, respectively.Conclusions:The EV-surface antigen profile appears to be different in patients with transient symptoms adjudicated to be very likely caused by brain ischemia compared with patients whose symptoms were less likely to due to brain ischemia. We propose an algorithm based on an EV-surface-antigen specific signature that might aid in the recognition of TIA.","container-title":"Stroke","DOI":"10.1161/STROKEAHA.120.033170","issue":"10","note":"publisher: American Heart Association","page":"3335-3347","source":"ahajournals.org (Atypon)","title":"Extracellular Vesicle Surface Markers as a Diagnostic Tool in Transient Ischemic Attacks","volume":"52","author":[{"family":"Burrello","given":"Jacopo"},{"family":"Bianco","given":"Giovanni"},{"family":"Burrello","given":"Alessio"},{"family":"Manno","given":"Concetta"},{"family":"Maulucci","given":"Francesco"},{"family":"Pileggi","given":"Marco"},{"family":"Nannoni","given":"Stefania"},{"family":"Michel","given":"Patrik"},{"family":"Bolis","given":"Sara"},{"family":"Melli","given":"Giorgia"},{"family":"Vassalli","given":"Giuseppe"},{"family":"Albers","given":"Gregory W."},{"family":"Cianfoni","given":"Alessandro"},{"family":"Barile","given":"Lucio"},{"family":"Cereda","given":"Carlo W."}],"issued":{"date-parts":[["2021",10]]}}}],"schema":"https://github.com/citation-style-language/schema/raw/master/csl-citation.json"} </w:instrText>
      </w:r>
      <w:r w:rsidR="00C448AA" w:rsidRPr="00A831E7">
        <w:rPr>
          <w:rFonts w:eastAsia="Calibri"/>
        </w:rPr>
        <w:fldChar w:fldCharType="separate"/>
      </w:r>
      <w:r w:rsidR="00B61252" w:rsidRPr="00B61252">
        <w:rPr>
          <w:rFonts w:eastAsia="Calibri"/>
        </w:rPr>
        <w:t>[115]</w:t>
      </w:r>
      <w:r w:rsidR="00C448AA" w:rsidRPr="00A831E7">
        <w:rPr>
          <w:rFonts w:eastAsia="Calibri"/>
        </w:rPr>
        <w:fldChar w:fldCharType="end"/>
      </w:r>
      <w:r w:rsidR="00C448AA" w:rsidRPr="00A831E7">
        <w:rPr>
          <w:rFonts w:eastAsia="Calibri"/>
        </w:rPr>
        <w:t>.</w:t>
      </w:r>
      <w:r w:rsidRPr="00A831E7">
        <w:rPr>
          <w:rFonts w:eastAsia="Calibri"/>
        </w:rPr>
        <w:t xml:space="preserve"> </w:t>
      </w:r>
    </w:p>
    <w:p w14:paraId="619D4268" w14:textId="1627BD00" w:rsidR="00B07E2B" w:rsidRDefault="008F7D11" w:rsidP="00BB4866">
      <w:pPr>
        <w:spacing w:line="360" w:lineRule="auto"/>
        <w:ind w:firstLine="720"/>
        <w:jc w:val="both"/>
        <w:rPr>
          <w:rFonts w:eastAsia="Calibri"/>
        </w:rPr>
      </w:pPr>
      <w:r w:rsidRPr="00A831E7">
        <w:rPr>
          <w:rFonts w:eastAsia="Calibri"/>
        </w:rPr>
        <w:t xml:space="preserve">Παρόλο που </w:t>
      </w:r>
      <w:r w:rsidR="008E382E">
        <w:rPr>
          <w:rFonts w:eastAsia="Calibri"/>
        </w:rPr>
        <w:t xml:space="preserve">η ανάλυση </w:t>
      </w:r>
      <w:r w:rsidR="00C448AA" w:rsidRPr="00A831E7">
        <w:rPr>
          <w:rFonts w:eastAsia="Calibri"/>
        </w:rPr>
        <w:t xml:space="preserve">των EVs με </w:t>
      </w:r>
      <w:r w:rsidRPr="00A831E7">
        <w:rPr>
          <w:rFonts w:eastAsia="Calibri"/>
        </w:rPr>
        <w:t>κυτταρομετρία ροής</w:t>
      </w:r>
      <w:r w:rsidR="00DF17A7" w:rsidRPr="00A831E7">
        <w:rPr>
          <w:rFonts w:eastAsia="Calibri"/>
        </w:rPr>
        <w:t xml:space="preserve"> </w:t>
      </w:r>
      <w:r w:rsidR="00C448AA" w:rsidRPr="00A831E7">
        <w:rPr>
          <w:rFonts w:eastAsia="Calibri"/>
        </w:rPr>
        <w:t>(flow cytometry)</w:t>
      </w:r>
      <w:r w:rsidRPr="00A831E7">
        <w:rPr>
          <w:rFonts w:eastAsia="Calibri"/>
        </w:rPr>
        <w:t xml:space="preserve"> είναι σχετικά γρήγορη</w:t>
      </w:r>
      <w:r w:rsidR="00DF17A7" w:rsidRPr="00A831E7">
        <w:rPr>
          <w:rFonts w:eastAsia="Calibri"/>
        </w:rPr>
        <w:t xml:space="preserve"> μέθοδος</w:t>
      </w:r>
      <w:r w:rsidRPr="00A831E7">
        <w:rPr>
          <w:rFonts w:eastAsia="Calibri"/>
        </w:rPr>
        <w:t xml:space="preserve"> (εντός λίγων ωρών), εξακολουθεί να απαιτεί εργαστηριακή υποδομή, περιορίζοντας την άμεση</w:t>
      </w:r>
      <w:r w:rsidR="00C448AA" w:rsidRPr="00A831E7">
        <w:rPr>
          <w:rFonts w:eastAsia="Calibri"/>
        </w:rPr>
        <w:t xml:space="preserve"> point-of-care (PoC) εφαρμογή</w:t>
      </w:r>
      <w:r w:rsidRPr="00A831E7">
        <w:rPr>
          <w:rFonts w:eastAsia="Calibri"/>
        </w:rPr>
        <w:t xml:space="preserve">. </w:t>
      </w:r>
      <w:r w:rsidR="00C448AA" w:rsidRPr="00A831E7">
        <w:rPr>
          <w:rFonts w:eastAsia="Calibri"/>
        </w:rPr>
        <w:t>Ωστόσο μ</w:t>
      </w:r>
      <w:r w:rsidRPr="00A831E7">
        <w:rPr>
          <w:rFonts w:eastAsia="Calibri"/>
        </w:rPr>
        <w:t>όλις τα δεδομένα αντιγόνων EVs είναι διαθέσιμα, η ταξινόμηση μέσω ML πραγματοποιείται</w:t>
      </w:r>
      <w:r w:rsidR="00DF17A7" w:rsidRPr="00A831E7">
        <w:rPr>
          <w:rFonts w:eastAsia="Calibri"/>
        </w:rPr>
        <w:t xml:space="preserve"> ταχύτατα,</w:t>
      </w:r>
      <w:r w:rsidRPr="00A831E7">
        <w:rPr>
          <w:rFonts w:eastAsia="Calibri"/>
        </w:rPr>
        <w:t xml:space="preserve"> εντός λεπτών</w:t>
      </w:r>
      <w:r w:rsidR="00DF17A7" w:rsidRPr="00A831E7">
        <w:rPr>
          <w:rFonts w:eastAsia="Calibri"/>
        </w:rPr>
        <w:t>.</w:t>
      </w:r>
      <w:r w:rsidRPr="00A831E7">
        <w:rPr>
          <w:rFonts w:eastAsia="Calibri"/>
        </w:rPr>
        <w:t xml:space="preserve"> </w:t>
      </w:r>
      <w:r w:rsidR="00B07E2B">
        <w:rPr>
          <w:rFonts w:eastAsia="Calibri"/>
        </w:rPr>
        <w:br w:type="page"/>
      </w:r>
    </w:p>
    <w:p w14:paraId="046A9105" w14:textId="76CA8ABC" w:rsidR="00093CE3" w:rsidRPr="00EB2D8D" w:rsidRDefault="007173C4" w:rsidP="00134CE7">
      <w:pPr>
        <w:pStyle w:val="1"/>
        <w:spacing w:line="360" w:lineRule="auto"/>
        <w:rPr>
          <w:rFonts w:ascii="Times New Roman" w:eastAsia="Calibri" w:hAnsi="Times New Roman" w:cs="Times New Roman"/>
          <w:b/>
          <w:bCs/>
          <w:color w:val="auto"/>
          <w:sz w:val="32"/>
          <w:szCs w:val="32"/>
        </w:rPr>
      </w:pPr>
      <w:bookmarkStart w:id="160" w:name="_Toc199787421"/>
      <w:bookmarkStart w:id="161" w:name="_Toc199946492"/>
      <w:r w:rsidRPr="00EB2D8D">
        <w:rPr>
          <w:rFonts w:ascii="Times New Roman" w:eastAsia="Calibri" w:hAnsi="Times New Roman" w:cs="Times New Roman"/>
          <w:b/>
          <w:bCs/>
          <w:color w:val="auto"/>
          <w:sz w:val="32"/>
          <w:szCs w:val="32"/>
        </w:rPr>
        <w:lastRenderedPageBreak/>
        <w:t>6.</w:t>
      </w:r>
      <w:r w:rsidR="00271734" w:rsidRPr="00EB2D8D">
        <w:rPr>
          <w:rFonts w:ascii="Times New Roman" w:eastAsia="Calibri" w:hAnsi="Times New Roman" w:cs="Times New Roman"/>
          <w:b/>
          <w:bCs/>
          <w:color w:val="auto"/>
          <w:sz w:val="32"/>
          <w:szCs w:val="32"/>
        </w:rPr>
        <w:t xml:space="preserve"> </w:t>
      </w:r>
      <w:r w:rsidRPr="00EB2D8D">
        <w:rPr>
          <w:rFonts w:ascii="Times New Roman" w:eastAsia="Calibri" w:hAnsi="Times New Roman" w:cs="Times New Roman"/>
          <w:b/>
          <w:bCs/>
          <w:color w:val="auto"/>
          <w:sz w:val="32"/>
          <w:szCs w:val="32"/>
        </w:rPr>
        <w:t>Συμπεράσματα</w:t>
      </w:r>
      <w:r w:rsidR="00844C6B" w:rsidRPr="00EB2D8D">
        <w:rPr>
          <w:rFonts w:ascii="Times New Roman" w:eastAsia="Calibri" w:hAnsi="Times New Roman" w:cs="Times New Roman"/>
          <w:b/>
          <w:bCs/>
          <w:color w:val="auto"/>
          <w:sz w:val="32"/>
          <w:szCs w:val="32"/>
        </w:rPr>
        <w:t xml:space="preserve"> &amp; Προτάσεις</w:t>
      </w:r>
      <w:bookmarkEnd w:id="160"/>
      <w:bookmarkEnd w:id="161"/>
    </w:p>
    <w:p w14:paraId="590B9C02" w14:textId="77777777" w:rsidR="000C314E" w:rsidRPr="00A831E7" w:rsidRDefault="000C314E" w:rsidP="000C314E">
      <w:pPr>
        <w:rPr>
          <w:rFonts w:eastAsia="Calibri"/>
        </w:rPr>
      </w:pPr>
    </w:p>
    <w:p w14:paraId="42BFC3AB" w14:textId="1C0910A2" w:rsidR="00093CE3" w:rsidRPr="00A831E7" w:rsidRDefault="008765ED" w:rsidP="00134CE7">
      <w:pPr>
        <w:spacing w:line="360" w:lineRule="auto"/>
        <w:ind w:firstLine="720"/>
        <w:jc w:val="both"/>
        <w:rPr>
          <w:rFonts w:eastAsia="Calibri"/>
        </w:rPr>
      </w:pPr>
      <w:r w:rsidRPr="00A831E7">
        <w:rPr>
          <w:rFonts w:eastAsia="Calibri"/>
        </w:rPr>
        <w:t xml:space="preserve">Η ενσωμάτωση της μηχανικής μάθησης (ML) και των τεχνολογιών point-of-care (PoC) αλλάζει τα δεδομένα στη διάγνωση του εγκεφαλικού επεισοδίου, προσφέροντας ταχύτερη και πιο ακριβή εκτίμηση σε σύγκριση με τις παραδοσιακές μεθόδους. Μέχρι και σήμερα, η διάγνωση βασίζεται κυρίως σε απεικονιστικές τεχνικές όπως CT και MRI αλλά μπορεί να ενισχυθεί σημαντικά αν συνδυαστεί με την ανάλυση βιοδεικτών, οι οποίοι παρέχουν σημαντικές πληροφορίες για τη νευρολογική και αγγειακή κατάσταση του ασθενούς. Παράλληλα, η μελέτη των </w:t>
      </w:r>
      <w:r w:rsidR="0090780F" w:rsidRPr="00A831E7">
        <w:rPr>
          <w:rFonts w:eastAsia="Calibri"/>
        </w:rPr>
        <w:t>εξωκυτταρικών</w:t>
      </w:r>
      <w:r w:rsidRPr="00A831E7">
        <w:rPr>
          <w:rFonts w:eastAsia="Calibri"/>
        </w:rPr>
        <w:t xml:space="preserve"> κυστιδίων (EVs) έχει ανοίξει νέους δρόμους για την ταξινόμηση και διάκριση του εγκεφαλικού. Συνολικά η αξιοποίηση της μηχανικής μάθησης για ανάλυση δεδομένων και η ενσωμάτωση PoC τεχνολογιών μπορούν να βελτιώσουν την ακρίβεια στη διάγνωση του εγκεφαλικού σε προνοσοκομειακό περιβάλλον. Αν και κάθε μία από αυτές τις τρεις διαγνωστικές προσεγγίσεις </w:t>
      </w:r>
      <w:r w:rsidR="00957936" w:rsidRPr="00A831E7">
        <w:rPr>
          <w:rFonts w:eastAsia="Calibri"/>
        </w:rPr>
        <w:t>–</w:t>
      </w:r>
      <w:r w:rsidRPr="00A831E7">
        <w:rPr>
          <w:rFonts w:eastAsia="Calibri"/>
        </w:rPr>
        <w:t xml:space="preserve"> απεικόνιση, βιοδείκτες και EVs </w:t>
      </w:r>
      <w:r w:rsidR="00957936" w:rsidRPr="00A831E7">
        <w:rPr>
          <w:rFonts w:eastAsia="Calibri"/>
        </w:rPr>
        <w:t>–</w:t>
      </w:r>
      <w:r w:rsidRPr="00A831E7">
        <w:rPr>
          <w:rFonts w:eastAsia="Calibri"/>
        </w:rPr>
        <w:t xml:space="preserve"> έχει διακριτά πλεονεκτήματα, υπάρχουν προκλήσεις που πρέπει να αντιμετωπιστούν για την ευρεία κλινική εφαρμογή τους.</w:t>
      </w:r>
    </w:p>
    <w:p w14:paraId="59FE6DED" w14:textId="77777777" w:rsidR="00B715B7" w:rsidRDefault="005D3771" w:rsidP="00134CE7">
      <w:pPr>
        <w:spacing w:line="360" w:lineRule="auto"/>
        <w:ind w:firstLine="720"/>
        <w:jc w:val="both"/>
        <w:rPr>
          <w:rFonts w:eastAsia="Calibri"/>
        </w:rPr>
      </w:pPr>
      <w:r w:rsidRPr="00A831E7">
        <w:rPr>
          <w:rFonts w:eastAsia="Calibri"/>
        </w:rPr>
        <w:t xml:space="preserve">Η μηχανική μάθηση (ML) και οι κινητές μονάδες εγκεφαλικού (MSUs) έχουν συμβάλει σημαντικά στη βελτίωση της διάγνωσης εγκεφαλικού επεισοδίου μέσω απεικονιστικών τεχνικών, παρέχοντας ταχύτερη και ακριβέστερη αξιολόγηση σε σύγκριση με τις παραδοσιακές μεθόδους. </w:t>
      </w:r>
      <w:r w:rsidR="00957936" w:rsidRPr="00A831E7">
        <w:rPr>
          <w:rFonts w:eastAsia="Calibri"/>
        </w:rPr>
        <w:t>Οι α</w:t>
      </w:r>
      <w:r w:rsidRPr="00A831E7">
        <w:rPr>
          <w:rFonts w:eastAsia="Calibri"/>
        </w:rPr>
        <w:t>λγόριθμοι</w:t>
      </w:r>
      <w:r w:rsidR="00957936" w:rsidRPr="00A831E7">
        <w:rPr>
          <w:rFonts w:eastAsia="Calibri"/>
        </w:rPr>
        <w:t xml:space="preserve"> μηχανικής μάθησης (ML) στην</w:t>
      </w:r>
      <w:r w:rsidRPr="00A831E7">
        <w:rPr>
          <w:rFonts w:eastAsia="Calibri"/>
        </w:rPr>
        <w:t xml:space="preserve"> </w:t>
      </w:r>
      <w:r w:rsidRPr="00A831E7">
        <w:rPr>
          <w:rFonts w:eastAsia="Calibri"/>
          <w:b/>
          <w:bCs/>
        </w:rPr>
        <w:t xml:space="preserve">απεικόνιση </w:t>
      </w:r>
      <w:r w:rsidRPr="00A831E7">
        <w:rPr>
          <w:rFonts w:eastAsia="Calibri"/>
        </w:rPr>
        <w:t>ενισχύουν την έγκαιρη ανίχνευση του εγκεφαλικού, βελτιώνουν την ταξινόμηση μεταξύ ισχαιμικού και αιμορραγικού επεισοδίου και τελειοποιούν την προγνωστική ανάλυση</w:t>
      </w:r>
      <w:r w:rsidR="00256ED0" w:rsidRPr="00A831E7">
        <w:rPr>
          <w:rFonts w:eastAsia="Calibri"/>
        </w:rPr>
        <w:t xml:space="preserve"> </w:t>
      </w:r>
      <w:r w:rsidR="00256ED0" w:rsidRPr="00A831E7">
        <w:rPr>
          <w:rFonts w:eastAsia="Calibri"/>
        </w:rPr>
        <w:fldChar w:fldCharType="begin"/>
      </w:r>
      <w:r w:rsidR="00256ED0" w:rsidRPr="00A831E7">
        <w:rPr>
          <w:rFonts w:eastAsia="Calibri"/>
        </w:rPr>
        <w:instrText xml:space="preserve"> ADDIN ZOTERO_ITEM CSL_CITATION {"citationID":"Aakk1yta","properties":{"formattedCitation":"[22], [26]","plainCitation":"[22], [26]","noteIndex":0},"citationItems":[{"id":704,"uris":["http://zotero.org/users/local/mfHf28QG/items/X8K2RFR5"],"itemData":{"id":704,"type":"article-journal","abstract":"Large-vessel occlusion (LVO) stroke is a promising field for the use of AI, especially machine learning (ML) because optimal results are highly dependent on timely diagnosis, communication, and treatment. In order to better understand the current state of artificial intelligence (AI) in relation to LVO strokes, its efficacy, and potential future applications, we searched relevant literature to perform a comprehensive evaluation of the topic. The databases PubMed, Embase, and Scopus were extensively searched for this review. Studies were then screened using title and abstract criteria and duplicate studies were excluded. By using pre-established inclusion and exclusion criteria, it was decided whether or not to include full-text papers in the final analysis. The studies were analyzed, and the relevant information was retrieved. In recognizing LVO on computed tomography, ML approaches were very accurate. There is a shortage of AI applications for thrombectomy patient selection, despite the fact that certain research accurately evaluates individual patient eligibility for endovascular therapy. Machine learning algorithms may reasonably predict clinical and angiographic outcomes as well as associated factors. AI has shown promise in the diagnosis and treatment of people who have just suffered a stroke. However, the usefulness of AI in management and forecasting remains restricted, necessitating more studies into machine learning applications that can guide decision making in the future.","container-title":"World Neurosurgery: X","DOI":"10.1016/j.wnsx.2024.100303","ISSN":"2590-1397","journalAbbreviation":"World Neurosurgery: X","page":"100303","source":"ScienceDirect","title":"Emerging artificial intelligence-aided diagnosis and management methods for ischemic strokes and vascular occlusions: A comprehensive review","title-short":"Emerging artificial intelligence-aided diagnosis and management methods for ischemic strokes and vascular occlusions","volume":"22","author":[{"family":"Parvathy","given":"G. A. U. R. I."},{"family":"Kamaraj","given":"B. A. L. A. K. R. I. S. H. N. A. N."},{"family":"Sah","given":"B. I. K. I. K. U. M. A. R."},{"family":"Maheshwari","given":"A. A. K. A. N. S. H. R. A. H. U. L."},{"family":"Alexander","given":"A. I. S. W. A. R. I. Y. A. A. N. N. A."},{"family":"Dixit","given":"V. I. N. D. H. E. S. H."},{"family":"Mumtaz","given":"H. A. S. S. A. N."},{"family":"Saqib","given":"M. U. H. A. M. M. A. D."}],"issued":{"date-parts":[["2024",4,1]]}}},{"id":1211,"uris":["http://zotero.org/users/local/mfHf28QG/items/9FUW65EX"],"itemData":{"id":1211,"type":"article-journal","abstract":"Artificial intelligence (AI) is a fast-growing research area in computer science that aims to mimic cognitive processes through a number of techniques. Supervised machine learning, a subfield of AI, includes methods that can identify patterns in high-dimensional data using labeled ‘ground truth’ data and apply these learnt patterns to analyze, interpret, or make predictions on new datasets. Supervised machine learning has become a significant area of interest within the medical community. Radiology and neuroradiology in particular are especially well suited for application of machine learning due to the vast amount of data that is generated. One devastating disease for which neuroimaging plays a significant role in the clinical management is stroke. Within this context, AI techniques can play pivotal roles for image-based diagnosis and management of stroke. This overview focuses on the recent advances of artificial intelligence methods – particularly supervised machine learning and deep learning – with respect to workflow, image acquisition and reconstruction, and image interpretation in patients with acute stroke, while also discussing potential pitfalls and future applications.","container-title":"Clinical Imaging","DOI":"10.1016/j.clinimag.2020.09.005","ISSN":"08997071","journalAbbreviation":"Clinical Imaging","language":"en","page":"246-254","source":"DOI.org (Crossref)","title":"Artificial intelligence in stroke imaging: Current and future perspectives","title-short":"Artificial intelligence in stroke imaging","volume":"69","author":[{"family":"Yedavalli","given":"Vivek S."},{"family":"Tong","given":"Elizabeth"},{"family":"Martin","given":"Dann"},{"family":"Yeom","given":"Kristen W."},{"family":"Forkert","given":"Nils D."}],"issued":{"date-parts":[["2021",1]]}}}],"schema":"https://github.com/citation-style-language/schema/raw/master/csl-citation.json"} </w:instrText>
      </w:r>
      <w:r w:rsidR="00256ED0" w:rsidRPr="00A831E7">
        <w:rPr>
          <w:rFonts w:eastAsia="Calibri"/>
        </w:rPr>
        <w:fldChar w:fldCharType="separate"/>
      </w:r>
      <w:r w:rsidR="00256ED0" w:rsidRPr="00A831E7">
        <w:rPr>
          <w:rFonts w:eastAsia="Calibri"/>
        </w:rPr>
        <w:t>[22], [26]</w:t>
      </w:r>
      <w:r w:rsidR="00256ED0" w:rsidRPr="00A831E7">
        <w:rPr>
          <w:rFonts w:eastAsia="Calibri"/>
        </w:rPr>
        <w:fldChar w:fldCharType="end"/>
      </w:r>
      <w:r w:rsidR="00256ED0" w:rsidRPr="00A831E7">
        <w:rPr>
          <w:rFonts w:eastAsia="Calibri"/>
        </w:rPr>
        <w:t>.</w:t>
      </w:r>
      <w:r w:rsidRPr="00A831E7">
        <w:rPr>
          <w:rFonts w:eastAsia="Calibri"/>
        </w:rPr>
        <w:t xml:space="preserve"> Οι </w:t>
      </w:r>
      <w:r w:rsidRPr="00A831E7">
        <w:rPr>
          <w:rFonts w:eastAsia="Calibri"/>
          <w:b/>
          <w:bCs/>
        </w:rPr>
        <w:t>MSUs</w:t>
      </w:r>
      <w:r w:rsidRPr="00A831E7">
        <w:rPr>
          <w:rFonts w:eastAsia="Calibri"/>
        </w:rPr>
        <w:t>, εξοπλισμένες με τεχνολογίες</w:t>
      </w:r>
      <w:r w:rsidRPr="00A831E7">
        <w:rPr>
          <w:rFonts w:eastAsia="Calibri"/>
          <w:b/>
          <w:bCs/>
        </w:rPr>
        <w:t xml:space="preserve"> </w:t>
      </w:r>
      <w:r w:rsidR="00256ED0" w:rsidRPr="00A831E7">
        <w:rPr>
          <w:rFonts w:eastAsia="Calibri"/>
          <w:b/>
          <w:bCs/>
        </w:rPr>
        <w:t>point-of-care</w:t>
      </w:r>
      <w:r w:rsidRPr="00A831E7">
        <w:rPr>
          <w:rFonts w:eastAsia="Calibri"/>
        </w:rPr>
        <w:t xml:space="preserve"> (PoC), όπως φορητούς αξονικούς τομογράφους</w:t>
      </w:r>
      <w:r w:rsidR="00256ED0" w:rsidRPr="00A831E7">
        <w:rPr>
          <w:rFonts w:eastAsia="Calibri"/>
        </w:rPr>
        <w:t xml:space="preserve"> (CT)</w:t>
      </w:r>
      <w:r w:rsidRPr="00A831E7">
        <w:rPr>
          <w:rFonts w:eastAsia="Calibri"/>
        </w:rPr>
        <w:t>, επιτρέπουν τη διάγνωση επί τόπου</w:t>
      </w:r>
      <w:r w:rsidR="00B715B7">
        <w:rPr>
          <w:rFonts w:eastAsia="Calibri"/>
        </w:rPr>
        <w:t xml:space="preserve"> και συμβάλλουν στην έγκαιρη διαλογή</w:t>
      </w:r>
      <w:r w:rsidRPr="00A831E7">
        <w:rPr>
          <w:rFonts w:eastAsia="Calibri"/>
        </w:rPr>
        <w:t>, επιταχύνοντας τις αποφάσεις για χορήγηση θρομβόλυσης</w:t>
      </w:r>
      <w:r w:rsidR="00256ED0" w:rsidRPr="00A831E7">
        <w:rPr>
          <w:rFonts w:eastAsia="Calibri"/>
        </w:rPr>
        <w:t xml:space="preserve"> στα περιστατικά ισχαιμικού επεισοδίου</w:t>
      </w:r>
      <w:r w:rsidRPr="00A831E7">
        <w:rPr>
          <w:rFonts w:eastAsia="Calibri"/>
        </w:rPr>
        <w:t xml:space="preserve"> και μειώνοντας τον χρόνο μέχρι την έναρξη θεραπείας</w:t>
      </w:r>
      <w:r w:rsidR="00256ED0" w:rsidRPr="00A831E7">
        <w:rPr>
          <w:rFonts w:eastAsia="Calibri"/>
        </w:rPr>
        <w:t xml:space="preserve"> </w:t>
      </w:r>
      <w:r w:rsidR="00256ED0" w:rsidRPr="00A831E7">
        <w:rPr>
          <w:rFonts w:eastAsia="Calibri"/>
        </w:rPr>
        <w:fldChar w:fldCharType="begin"/>
      </w:r>
      <w:r w:rsidR="00256ED0" w:rsidRPr="00A831E7">
        <w:rPr>
          <w:rFonts w:eastAsia="Calibri"/>
        </w:rPr>
        <w:instrText xml:space="preserve"> ADDIN ZOTERO_ITEM CSL_CITATION {"citationID":"pNjKIEwc","properties":{"formattedCitation":"[19]","plainCitation":"[19]","noteIndex":0},"citationItems":[{"id":110,"uris":["http://zotero.org/users/local/mfHf28QG/items/QT2DILW2"],"itemData":{"id":110,"type":"article-journal","abstract":"Mobile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MSU","volume":"24","author":[{"family":"Röhrs","given":"Kian","dropping-particle":"j"},{"family":"Audebert","given":"Heinrich"}],"issued":{"date-parts":[["2024",6,22]]}}}],"schema":"https://github.com/citation-style-language/schema/raw/master/csl-citation.json"} </w:instrText>
      </w:r>
      <w:r w:rsidR="00256ED0" w:rsidRPr="00A831E7">
        <w:rPr>
          <w:rFonts w:eastAsia="Calibri"/>
        </w:rPr>
        <w:fldChar w:fldCharType="separate"/>
      </w:r>
      <w:r w:rsidR="00256ED0" w:rsidRPr="00A831E7">
        <w:rPr>
          <w:rFonts w:eastAsia="Calibri"/>
        </w:rPr>
        <w:t>[19]</w:t>
      </w:r>
      <w:r w:rsidR="00256ED0" w:rsidRPr="00A831E7">
        <w:rPr>
          <w:rFonts w:eastAsia="Calibri"/>
        </w:rPr>
        <w:fldChar w:fldCharType="end"/>
      </w:r>
      <w:r w:rsidR="00256ED0" w:rsidRPr="00A831E7">
        <w:rPr>
          <w:rFonts w:eastAsia="Calibri"/>
        </w:rPr>
        <w:t>.</w:t>
      </w:r>
      <w:r w:rsidR="0076557C" w:rsidRPr="00A831E7">
        <w:rPr>
          <w:rFonts w:eastAsia="Calibri"/>
        </w:rPr>
        <w:t xml:space="preserve"> </w:t>
      </w:r>
    </w:p>
    <w:p w14:paraId="55D22D41" w14:textId="3EF1B6CB" w:rsidR="0076557C" w:rsidRPr="00A831E7" w:rsidRDefault="0076557C" w:rsidP="00134CE7">
      <w:pPr>
        <w:spacing w:line="360" w:lineRule="auto"/>
        <w:ind w:firstLine="720"/>
        <w:jc w:val="both"/>
        <w:rPr>
          <w:rFonts w:eastAsia="Calibri"/>
        </w:rPr>
      </w:pPr>
      <w:r w:rsidRPr="00A831E7">
        <w:rPr>
          <w:rFonts w:eastAsia="Calibri"/>
        </w:rPr>
        <w:t>Ωστόσο, τα συμβατικά ασθενοφόρα εξακολουθούν να αποτελούν τον κυρίαρχο τρόπο προνοσοκομειακής φροντίδας του εγκεφαλικού επεισοδίου παγκοσμίως. Αυτό οφείλεται εν μέρει στους περιορισμένους πόρους σε χώρες και κοινότητες με χαμηλότερο εισόδημα, αλλά επίσης σε γεωγραφικά εμπόδια, τα οποία καθιστούν τις κινητές μονάδες εγκεφαλικού (MSUs)</w:t>
      </w:r>
      <w:r w:rsidR="0090780F">
        <w:rPr>
          <w:rFonts w:eastAsia="Calibri"/>
        </w:rPr>
        <w:t xml:space="preserve"> –</w:t>
      </w:r>
      <w:r w:rsidRPr="00A831E7">
        <w:rPr>
          <w:rFonts w:eastAsia="Calibri"/>
        </w:rPr>
        <w:t xml:space="preserve"> τουλάχιστον προς το παρόν</w:t>
      </w:r>
      <w:r w:rsidR="0090780F">
        <w:rPr>
          <w:rFonts w:eastAsia="Calibri"/>
        </w:rPr>
        <w:t xml:space="preserve"> –</w:t>
      </w:r>
      <w:r w:rsidRPr="00A831E7">
        <w:rPr>
          <w:rFonts w:eastAsia="Calibri"/>
        </w:rPr>
        <w:t xml:space="preserve"> μη πρακτικές σε περιοχές με χαμηλή πληθυσμιακή πυκνότητα </w:t>
      </w:r>
      <w:r w:rsidRPr="00A831E7">
        <w:rPr>
          <w:rFonts w:eastAsia="Calibri"/>
        </w:rPr>
        <w:fldChar w:fldCharType="begin"/>
      </w:r>
      <w:r w:rsidRPr="00A831E7">
        <w:rPr>
          <w:rFonts w:eastAsia="Calibri"/>
        </w:rPr>
        <w:instrText xml:space="preserve"> ADDIN ZOTERO_ITEM CSL_CITATION {"citationID":"qiE9KWlH","properties":{"formattedCitation":"[19]","plainCitation":"[19]","noteIndex":0},"citationItems":[{"id":110,"uris":["http://zotero.org/users/local/mfHf28QG/items/QT2DILW2"],"itemData":{"id":110,"type":"article-journal","abstract":"Mobile stroke units (MSU) have established a new, evidence-based treatment in prehospital stroke care, endorsed by current international guidelines and can facilitate pre-hospital research efforts. In addition, other novel pre-hospital modalities ...","container-title":"Current Neurology and Neuroscience Reports","DOI":"10.1007/s11910-024-01351-0","issue":"8","language":"en","note":"PMID: 38907812","page":"315","source":"pmc.ncbi.nlm.nih.gov","title":"Pre-Hospital Stroke Care beyond the MSU","volume":"24","author":[{"family":"Röhrs","given":"Kian","dropping-particle":"j"},{"family":"Audebert","given":"Heinrich"}],"issued":{"date-parts":[["2024",6,22]]}}}],"schema":"https://github.com/citation-style-language/schema/raw/master/csl-citation.json"} </w:instrText>
      </w:r>
      <w:r w:rsidRPr="00A831E7">
        <w:rPr>
          <w:rFonts w:eastAsia="Calibri"/>
        </w:rPr>
        <w:fldChar w:fldCharType="separate"/>
      </w:r>
      <w:r w:rsidRPr="00A831E7">
        <w:rPr>
          <w:rFonts w:eastAsia="Calibri"/>
        </w:rPr>
        <w:t>[19]</w:t>
      </w:r>
      <w:r w:rsidRPr="00A831E7">
        <w:rPr>
          <w:rFonts w:eastAsia="Calibri"/>
        </w:rPr>
        <w:fldChar w:fldCharType="end"/>
      </w:r>
      <w:r w:rsidRPr="00A831E7">
        <w:rPr>
          <w:rFonts w:eastAsia="Calibri"/>
        </w:rPr>
        <w:t>.</w:t>
      </w:r>
      <w:r w:rsidR="00256ED0" w:rsidRPr="00A831E7">
        <w:rPr>
          <w:rFonts w:eastAsia="Calibri"/>
        </w:rPr>
        <w:t xml:space="preserve"> </w:t>
      </w:r>
    </w:p>
    <w:p w14:paraId="23169826" w14:textId="479C2202" w:rsidR="005D3771" w:rsidRPr="00A831E7" w:rsidRDefault="00256ED0" w:rsidP="00134CE7">
      <w:pPr>
        <w:spacing w:line="360" w:lineRule="auto"/>
        <w:ind w:firstLine="720"/>
        <w:jc w:val="both"/>
        <w:rPr>
          <w:rFonts w:eastAsia="Calibri"/>
        </w:rPr>
      </w:pPr>
      <w:r w:rsidRPr="00A831E7">
        <w:rPr>
          <w:rFonts w:eastAsia="Calibri"/>
        </w:rPr>
        <w:lastRenderedPageBreak/>
        <w:t xml:space="preserve"> Από την άλλη πλευρά, οι </w:t>
      </w:r>
      <w:r w:rsidRPr="00A831E7">
        <w:rPr>
          <w:rFonts w:eastAsia="Calibri"/>
          <w:b/>
          <w:bCs/>
        </w:rPr>
        <w:t>βιοδείκτες</w:t>
      </w:r>
      <w:r w:rsidRPr="00A831E7">
        <w:rPr>
          <w:rFonts w:eastAsia="Calibri"/>
        </w:rPr>
        <w:t xml:space="preserve"> έχουν αποδειχθεί πολύτιμα εργαλεία για τη διάγνωση του εγκεφαλικού επεισοδίου, συμβάλλοντας στην έγκαιρη διάγνωση με την ενσωμάτωση </w:t>
      </w:r>
      <w:r w:rsidRPr="00A831E7">
        <w:rPr>
          <w:rFonts w:eastAsia="Calibri"/>
          <w:b/>
          <w:bCs/>
        </w:rPr>
        <w:t>μηχανικής μάθησης</w:t>
      </w:r>
      <w:r w:rsidRPr="00A831E7">
        <w:rPr>
          <w:rFonts w:eastAsia="Calibri"/>
        </w:rPr>
        <w:t xml:space="preserve"> (ML) για προγνωστική μοντελοποίηση και τεχνολογίες point-of-care (PoC) για ταχεία «bedside» διάγνωση. </w:t>
      </w:r>
      <w:r w:rsidR="00CE1EF8" w:rsidRPr="00A831E7">
        <w:rPr>
          <w:rFonts w:eastAsia="Calibri"/>
        </w:rPr>
        <w:t>Στη βιβλιογραφία έχουν</w:t>
      </w:r>
      <w:r w:rsidRPr="00A831E7">
        <w:rPr>
          <w:rFonts w:eastAsia="Calibri"/>
        </w:rPr>
        <w:t xml:space="preserve"> αναπτυχθεί</w:t>
      </w:r>
      <w:r w:rsidR="00CE1EF8" w:rsidRPr="00A831E7">
        <w:rPr>
          <w:rFonts w:eastAsia="Calibri"/>
        </w:rPr>
        <w:t xml:space="preserve"> και μελετηθεί διάφορες</w:t>
      </w:r>
      <w:r w:rsidRPr="00A831E7">
        <w:rPr>
          <w:rFonts w:eastAsia="Calibri"/>
        </w:rPr>
        <w:t xml:space="preserve"> PoC συσκευές με ενθαρρυντικά αποτελέσματα, οι οποίες θα μπορούσαν να αποτελέσουν χρήσιμα διαγνωστικά εργαλεία στην προνοσοκομειακή φροντίδα </w:t>
      </w:r>
      <w:r w:rsidRPr="00A831E7">
        <w:rPr>
          <w:rFonts w:eastAsia="Calibri"/>
        </w:rPr>
        <w:fldChar w:fldCharType="begin"/>
      </w:r>
      <w:r w:rsidR="00B61252">
        <w:rPr>
          <w:rFonts w:eastAsia="Calibri"/>
        </w:rPr>
        <w:instrText xml:space="preserve"> ADDIN ZOTERO_ITEM CSL_CITATION {"citationID":"P9Za68YF","properties":{"formattedCitation":"[64], [85], [94], [95]","plainCitation":"[64], [85], [94], [95]","noteIndex":0},"citationItems":[{"id":355,"uris":["http://zotero.org/users/local/mfHf28QG/items/ZGPB4CMC"],"itemData":{"id":355,"type":"article-journal","abstract":"Surface-plasmon-resonance (SPR) is a quantum-electromagnetic phenomenon arising from the interaction of light with free electrons at a metal-dielectric interface. At a specific angle/wavelength of light, the photon’s energy is transferred to excite ...","container-title":"Sensors (Basel, Switzerland)","DOI":"10.3390/s19112533","issue":"11","language":"en","note":"PMID: 31163612","page":"2533","source":"pmc.ncbi.nlm.nih.gov","title":"Point-of-Care Surface Plasmon Resonance Biosensor for Stroke Biomarkers NT-proBNP and S100β Using a Functionalized Gold Chip with Specific Antibody","volume":"19","author":[{"family":"Harpaz","given":"Dorin"},{"family":"Koh","given":"Brescia"},{"family":"Marks","given":"Robert S."},{"family":"Seet","given":"Raymond CS"},{"family":"Abdulhalim","given":"Ibrahim"},{"family":"Tok","given":"Alfred IY"}],"issued":{"date-parts":[["2019",6,3]]}}},{"id":125,"uris":["http://zotero.org/users/local/mfHf28QG/items/44DISKZG"],"itemData":{"id":125,"type":"article-journal","abstract":"Stroke ranks as the second leading cause of disability and mortality globally. Biomarker detection represents a promising avenue for predicting disease severity and prognosis. The expression levels of metalloproteinase-9 (MMP-9), neuron-specific enolase (NSE), and N-terminal pro-brain natriuretic peptide (NT-pro BNP) in blood correlate with stroke severity. Hence, monitoring these biomarkers is crucial for stroke diagnosis and management. Point-of-care testing (POCT) offers on-site diagnostic capabilities, with lateral flow immunoassay (LFIA) being the most widely used method currently. However, traditional LFIA sensitivity requires enhancement. This study introduces an ultra-sensitive surface-enhanced Raman scattering-based lateral flow immunoassay (SERS-based LFIA) strip for simultaneous detection of the three stroke biomarkers using SERS immune tags. Bimetallic core-shell structured SERS immune tags leverage the advantages of two metals, ensuring stability and enhancing Raman signals through plasmon resonance. This development of a POCT based on SERS-based LFIA strips offers rapid, sensitive, and multiplex detection of stroke biomarkers. The limits of detection (LODs) for MMP-9, NSE, and NT-pro BNP were 0.00020 ng mL−1, 0.00016 ng mL−1, and 0.00012 ng mL−1, respectively. Furthermore, enzyme-linked immunosorbent assay (ELISA) validated the accuracy of SERS-based LFIA. Clinical sample analysis demonstrated consistency between outcomes obtained by SERS-based LFIA and ELISA. Thus, SERS-based LFIA presents a novel POCT approach for stroke diagnosis.","container-title":"Talanta","DOI":"10.1016/j.talanta.2024.127166","ISSN":"0039-9140","journalAbbreviation":"Talanta","page":"127166","source":"ScienceDirect","title":"A colorimetric and SERS-based LFIA for sensitive and simultaneous detection of three stroke biomarkers: An ultra-fast and sensitive point-of-care testing platform","title-short":"A colorimetric and SERS-based LFIA for sensitive and simultaneous detection of three stroke biomarkers","volume":"283","author":[{"family":"Wang","given":"Yutong"},{"family":"Zhang","given":"Qianchun"},{"family":"Huang","given":"Mengping"},{"family":"Ai","given":"Ganggang"},{"family":"Liu","given":"Xiaofeng"},{"family":"Zhang","given":"Yuqi"},{"family":"Li","given":"Ran"},{"family":"Wu","given":"Jie"}],"issued":{"date-parts":[["2025",2,1]]}}},{"id":290,"uris":["http://zotero.org/users/local/mfHf28QG/items/22WSXGE3"],"itemData":{"id":290,"type":"article-journal","abstract":"Stroke is one of the leading causes of death and disability in adulthood worldwide. A simple and convenient diagnostic method is needed for monitoring high-risk patients for stroke. Few POCTs are available for stroke diagnosis. Soluble blood ...","container-title":"Current Neurovascular Research","DOI":"10.2174/1567202618666211109103720","issue":"4","language":"en","note":"PMID: 34751116","page":"409","source":"pmc.ncbi.nlm.nih.gov","title":"Point of Care Test Technology Suitable for Early Detection and Monitoring of Ischemic Stroke","volume":"18","author":[{"family":"Lee","given":"Young Mi"},{"family":"Bae","given":"Mi Jung"},{"family":"Choi","given":"Ye Seul"},{"family":"Lee","given":"Eunmi"},{"family":"Cho","given":"Junghwan"},{"family":"Kim","given":"Myung-Gwan"},{"family":"Le","given":"Minh Tan"},{"family":"Nguyen","given":"Thi Hong Duc"},{"family":"Han","given":"Hyung Soo"},{"family":"Park","given":"Nora Jee-Young"},{"family":"Chong","given":"Gun Oh"}],"issued":{"date-parts":[["2021",12,30]]}}},{"id":341,"uris":["http://zotero.org/users/local/mfHf28QG/items/ZZTKU2NW"],"itemData":{"id":341,"type":"article-journal","abstract":"Acute stroke is the third leading cause of mortality and disability worldwide. Administration of appropriate therapy for acute stroke is critically dependent on timely classification into either ischemic or hemorrhagic subtypes, which have divergent treatment pathways. The current classification method is based on neuroimaging, which generally requires the transport of the patient to a hospital-based facility unless a mobile stroke unit is available. Plasma glial fibrillary acidic protein (GFAP) level has been identified as a useful blood-based biomarker to differentiate stroke subtypes. However, its conventional immunoassay methods are laboratory-based and time-consuming. Novel approaches for rapid stroke classification near the patients are urgently needed. Here, we report the development and testing of a microfluidic-based magnetoimpedance biosensor platform for measuring GFAP levels. The platform consists of a microfluidic chip for GFAP extraction from a blood sample and a magnetoimpedance (MI) biosensor that employs Dynabeads as a magnetic label to capture the GFAP molecules. We demonstrated the detection of recombinant GFAP protein in phosphate-buffered saline (PBS) and in mouse blood samples (detection limit 0.01 ng/mL) and of physiological GFAP in blood and plasma samples (detection limit 1.0 ng/mL) obtained from acute stroke patients. This detection level is within the range of cut-off levels required for clinical stroke subtype differentiation. This platform has the potential to be incorporated into a small device with further development to assist in the classification of acute stroke patients and clinical decision-making at the point-of-care.","container-title":"Biosensors and Bioelectronics","DOI":"10.1016/j.bios.2022.114410","ISSN":"0956-5663","journalAbbreviation":"Biosensors and Bioelectronics","page":"114410","source":"ScienceDirect","title":"A magnetoimpedance biosensor microfluidic platform for detection of glial fibrillary acidic protein in blood for acute stroke classification","volume":"211","author":[{"family":"Sayad","given":"Abkar"},{"family":"Uddin","given":"Shah Mukim"},{"family":"Yao","given":"Scarlett"},{"family":"Wilson","given":"Harold"},{"family":"Chan","given":"Jianxiong"},{"family":"Zhao","given":"Henry"},{"family":"Donnan","given":"Geoffrey"},{"family":"Davis","given":"Stephen"},{"family":"Skafidas","given":"Efstratios"},{"family":"Yan","given":"Bernard"},{"family":"Kwan","given":"Patrick"}],"issued":{"date-parts":[["2022",9,1]]}}}],"schema":"https://github.com/citation-style-language/schema/raw/master/csl-citation.json"} </w:instrText>
      </w:r>
      <w:r w:rsidRPr="00A831E7">
        <w:rPr>
          <w:rFonts w:eastAsia="Calibri"/>
        </w:rPr>
        <w:fldChar w:fldCharType="separate"/>
      </w:r>
      <w:r w:rsidR="00B61252" w:rsidRPr="00B61252">
        <w:rPr>
          <w:rFonts w:eastAsia="Calibri"/>
        </w:rPr>
        <w:t>[64], [85], [94], [95]</w:t>
      </w:r>
      <w:r w:rsidRPr="00A831E7">
        <w:rPr>
          <w:rFonts w:eastAsia="Calibri"/>
        </w:rPr>
        <w:fldChar w:fldCharType="end"/>
      </w:r>
      <w:r w:rsidRPr="00A831E7">
        <w:rPr>
          <w:rFonts w:eastAsia="Calibri"/>
        </w:rPr>
        <w:t>.</w:t>
      </w:r>
    </w:p>
    <w:p w14:paraId="0AE6CA28" w14:textId="197B13C9" w:rsidR="00CE1EF8" w:rsidRPr="00A831E7" w:rsidRDefault="00CE1EF8" w:rsidP="00134CE7">
      <w:pPr>
        <w:spacing w:line="360" w:lineRule="auto"/>
        <w:ind w:firstLine="720"/>
        <w:jc w:val="both"/>
        <w:rPr>
          <w:rFonts w:eastAsia="Calibri"/>
        </w:rPr>
      </w:pPr>
      <w:r w:rsidRPr="00A831E7">
        <w:rPr>
          <w:rFonts w:eastAsia="Calibri"/>
        </w:rPr>
        <w:t xml:space="preserve">Ωστόσο, σε σύγκριση με τα </w:t>
      </w:r>
      <w:r w:rsidR="00DB30F9" w:rsidRPr="00A831E7">
        <w:rPr>
          <w:rFonts w:eastAsia="Calibri"/>
          <w:b/>
          <w:bCs/>
        </w:rPr>
        <w:t>εξωκυτταρικά</w:t>
      </w:r>
      <w:r w:rsidRPr="00A831E7">
        <w:rPr>
          <w:rFonts w:eastAsia="Calibri"/>
          <w:b/>
          <w:bCs/>
        </w:rPr>
        <w:t xml:space="preserve"> κυστίδια (EVs)</w:t>
      </w:r>
      <w:r w:rsidRPr="00A831E7">
        <w:rPr>
          <w:rFonts w:eastAsia="Calibri"/>
        </w:rPr>
        <w:t xml:space="preserve">, οι παραδοσιακοί βιοδείκτες παρουσιάζουν ορισμένα μειονεκτήματα: συχνά εμφανίζουν χαμηλότερη ειδικότητα, είναι πιο ευάλωτοι σε συστηματικές μεταβολές και μπορεί να έχουν συντομότερη ημιζωή μειώνοντας έτσι την αξιοπιστία τους στην έγκαιρη ανίχνευση </w:t>
      </w:r>
      <w:r w:rsidR="008F0DD5" w:rsidRPr="00A831E7">
        <w:rPr>
          <w:rFonts w:eastAsia="Calibri"/>
        </w:rPr>
        <w:fldChar w:fldCharType="begin"/>
      </w:r>
      <w:r w:rsidR="00B61252">
        <w:rPr>
          <w:rFonts w:eastAsia="Calibri"/>
        </w:rPr>
        <w:instrText xml:space="preserve"> ADDIN ZOTERO_ITEM CSL_CITATION {"citationID":"nMGLUtdZ","properties":{"formattedCitation":"[100]","plainCitation":"[100]","noteIndex":0},"citationItems":[{"id":1079,"uris":["http://zotero.org/users/local/mfHf28QG/items/RYIDQXHY"],"itemData":{"id":1079,"type":"article-journal","abstract":"Ischemic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Young"}],"issued":{"date-parts":[["2024",6,20]]}}}],"schema":"https://github.com/citation-style-language/schema/raw/master/csl-citation.json"} </w:instrText>
      </w:r>
      <w:r w:rsidR="008F0DD5" w:rsidRPr="00A831E7">
        <w:rPr>
          <w:rFonts w:eastAsia="Calibri"/>
        </w:rPr>
        <w:fldChar w:fldCharType="separate"/>
      </w:r>
      <w:r w:rsidR="00B61252" w:rsidRPr="00B61252">
        <w:rPr>
          <w:rFonts w:eastAsia="Calibri"/>
        </w:rPr>
        <w:t>[100]</w:t>
      </w:r>
      <w:r w:rsidR="008F0DD5" w:rsidRPr="00A831E7">
        <w:rPr>
          <w:rFonts w:eastAsia="Calibri"/>
        </w:rPr>
        <w:fldChar w:fldCharType="end"/>
      </w:r>
      <w:r w:rsidRPr="00A831E7">
        <w:rPr>
          <w:rFonts w:eastAsia="Calibri"/>
        </w:rPr>
        <w:t>.</w:t>
      </w:r>
    </w:p>
    <w:p w14:paraId="32708458" w14:textId="77777777" w:rsidR="008F0DD5" w:rsidRPr="00A831E7" w:rsidRDefault="008F0DD5" w:rsidP="00134CE7">
      <w:pPr>
        <w:spacing w:line="360" w:lineRule="auto"/>
        <w:ind w:firstLine="720"/>
        <w:jc w:val="both"/>
        <w:rPr>
          <w:rFonts w:eastAsia="Calibri"/>
        </w:rPr>
      </w:pPr>
    </w:p>
    <w:p w14:paraId="43EFCAC0" w14:textId="14F4DAB2" w:rsidR="008F0DD5" w:rsidRPr="008F5904" w:rsidRDefault="008F0DD5" w:rsidP="008F5904">
      <w:pPr>
        <w:pStyle w:val="4"/>
        <w:spacing w:line="360" w:lineRule="auto"/>
        <w:rPr>
          <w:b w:val="0"/>
        </w:rPr>
      </w:pPr>
      <w:r w:rsidRPr="008F5904">
        <w:t>Περιορισμοί της Μηχανικής Μάθησης (ML)</w:t>
      </w:r>
    </w:p>
    <w:p w14:paraId="03CAFFD3" w14:textId="28136F9B" w:rsidR="00B715B7" w:rsidRPr="00A831E7" w:rsidRDefault="008F0DD5" w:rsidP="00B715B7">
      <w:pPr>
        <w:spacing w:line="360" w:lineRule="auto"/>
        <w:ind w:firstLine="720"/>
        <w:jc w:val="both"/>
        <w:rPr>
          <w:rFonts w:eastAsia="Calibri"/>
        </w:rPr>
      </w:pPr>
      <w:r w:rsidRPr="00A831E7">
        <w:rPr>
          <w:rFonts w:eastAsia="Calibri"/>
        </w:rPr>
        <w:t xml:space="preserve">Παρά τα πλεονεκτήματα της μηχανικής μάθησης (ML) στη διάγνωση του εγκεφαλικού επεισοδίου, εξακολουθούν να υπάρχουν σημαντικές προκλήσεις που επηρεάζουν την κλινική εφαρμογή </w:t>
      </w:r>
      <w:r w:rsidR="00B715B7">
        <w:rPr>
          <w:rFonts w:eastAsia="Calibri"/>
          <w:lang w:val="en-US"/>
        </w:rPr>
        <w:t xml:space="preserve">ML </w:t>
      </w:r>
      <w:r w:rsidR="00B715B7">
        <w:rPr>
          <w:rFonts w:eastAsia="Calibri"/>
        </w:rPr>
        <w:t>αλγορίθμων.</w:t>
      </w:r>
    </w:p>
    <w:p w14:paraId="67B67F88" w14:textId="77777777" w:rsidR="0090780F" w:rsidRPr="0090780F" w:rsidRDefault="008F0DD5" w:rsidP="00196A6C">
      <w:pPr>
        <w:pStyle w:val="a6"/>
        <w:numPr>
          <w:ilvl w:val="0"/>
          <w:numId w:val="31"/>
        </w:numPr>
        <w:spacing w:line="360" w:lineRule="auto"/>
        <w:ind w:left="284" w:hanging="284"/>
        <w:jc w:val="both"/>
        <w:rPr>
          <w:rFonts w:eastAsia="Calibri"/>
        </w:rPr>
      </w:pPr>
      <w:r w:rsidRPr="0090780F">
        <w:rPr>
          <w:rFonts w:eastAsia="Calibri"/>
          <w:b/>
          <w:bCs/>
        </w:rPr>
        <w:t>Περιορισμοί Δεδομένων:</w:t>
      </w:r>
      <w:r w:rsidRPr="0090780F">
        <w:rPr>
          <w:rFonts w:eastAsia="Calibri"/>
        </w:rPr>
        <w:t xml:space="preserve"> Τα ML μοντέλα, οι βιοδείκτες και τα EVs βασίζονται σε υψηλής ποιότητας επισημασμένα δεδομένα, απαιτώντας εκτενή επικύρωση πριν την κλινική τους υιοθέτηση. Χρειάζονται μεγάλοι, συστηματικοί και ακριβείς </w:t>
      </w:r>
      <w:r w:rsidRPr="0090780F">
        <w:rPr>
          <w:rFonts w:eastAsia="Calibri"/>
          <w:b/>
          <w:bCs/>
        </w:rPr>
        <w:t>όγκοι δεδομένων</w:t>
      </w:r>
      <w:r w:rsidRPr="0090780F">
        <w:rPr>
          <w:rFonts w:eastAsia="Calibri"/>
        </w:rPr>
        <w:t>, γεγονός που συνεπάγεται υψηλό κόστος και χρόνο σε σύγκριση με ταχύτερες, πιο προσιτές διαγνωστικές μεθόδους</w:t>
      </w:r>
      <w:r w:rsidR="00844C6B" w:rsidRPr="0090780F">
        <w:rPr>
          <w:rFonts w:eastAsia="Calibri"/>
        </w:rPr>
        <w:t xml:space="preserve"> </w:t>
      </w:r>
      <w:r w:rsidR="00844C6B" w:rsidRPr="0090780F">
        <w:rPr>
          <w:rFonts w:eastAsia="Calibri"/>
        </w:rPr>
        <w:fldChar w:fldCharType="begin"/>
      </w:r>
      <w:r w:rsidR="00844C6B" w:rsidRPr="0090780F">
        <w:rPr>
          <w:rFonts w:eastAsia="Calibri"/>
        </w:rPr>
        <w:instrText xml:space="preserve"> ADDIN ZOTERO_ITEM CSL_CITATION {"citationID":"BONQp617","properties":{"formattedCitation":"[22]","plainCitation":"[22]","noteIndex":0},"citationItems":[{"id":704,"uris":["http://zotero.org/users/local/mfHf28QG/items/X8K2RFR5"],"itemData":{"id":704,"type":"article-journal","abstract":"Large-vessel occlusion (LVO) stroke is a promising field for the use of AI, especially machine learning (ML) because optimal results are highly dependent on timely diagnosis, communication, and treatment. In order to better understand the current state of artificial intelligence (AI) in relation to LVO strokes, its efficacy, and potential future applications, we searched relevant literature to perform a comprehensive evaluation of the topic. The databases PubMed, Embase, and Scopus were extensively searched for this review. Studies were then screened using title and abstract criteria and duplicate studies were excluded. By using pre-established inclusion and exclusion criteria, it was decided whether or not to include full-text papers in the final analysis. The studies were analyzed, and the relevant information was retrieved. In recognizing LVO on computed tomography, ML approaches were very accurate. There is a shortage of AI applications for thrombectomy patient selection, despite the fact that certain research accurately evaluates individual patient eligibility for endovascular therapy. Machine learning algorithms may reasonably predict clinical and angiographic outcomes as well as associated factors. AI has shown promise in the diagnosis and treatment of people who have just suffered a stroke. However, the usefulness of AI in management and forecasting remains restricted, necessitating more studies into machine learning applications that can guide decision making in the future.","container-title":"World Neurosurgery: X","DOI":"10.1016/j.wnsx.2024.100303","ISSN":"2590-1397","journalAbbreviation":"World Neurosurgery: X","page":"100303","source":"ScienceDirect","title":"Emerging artificial intelligence-aided diagnosis and management methods for ischemic strokes and vascular occlusions: A comprehensive review","title-short":"Emerging artificial intelligence-aided diagnosis and management methods for ischemic strokes and vascular occlusions","volume":"22","author":[{"family":"Parvathy","given":"G. A. U. R. I."},{"family":"Kamaraj","given":"B. A. L. A. K. R. I. S. H. N. A. N."},{"family":"Sah","given":"B. I. K. I. K. U. M. A. R."},{"family":"Maheshwari","given":"A. A. K. A. N. S. H. R. A. H. U. L."},{"family":"Alexander","given":"A. I. S. W. A. R. I. Y. A. A. N. N. A."},{"family":"Dixit","given":"V. I. N. D. H. E. S. H."},{"family":"Mumtaz","given":"H. A. S. S. A. N."},{"family":"Saqib","given":"M. U. H. A. M. M. A. D."}],"issued":{"date-parts":[["2024",4,1]]}}}],"schema":"https://github.com/citation-style-language/schema/raw/master/csl-citation.json"} </w:instrText>
      </w:r>
      <w:r w:rsidR="00844C6B" w:rsidRPr="0090780F">
        <w:rPr>
          <w:rFonts w:eastAsia="Calibri"/>
        </w:rPr>
        <w:fldChar w:fldCharType="separate"/>
      </w:r>
      <w:r w:rsidR="00844C6B" w:rsidRPr="0090780F">
        <w:rPr>
          <w:rFonts w:eastAsia="Calibri"/>
        </w:rPr>
        <w:t>[22]</w:t>
      </w:r>
      <w:r w:rsidR="00844C6B" w:rsidRPr="0090780F">
        <w:rPr>
          <w:rFonts w:eastAsia="Calibri"/>
        </w:rPr>
        <w:fldChar w:fldCharType="end"/>
      </w:r>
      <w:r w:rsidRPr="0090780F">
        <w:rPr>
          <w:rFonts w:eastAsia="Calibri"/>
        </w:rPr>
        <w:t>.</w:t>
      </w:r>
      <w:r w:rsidR="00844C6B" w:rsidRPr="0090780F">
        <w:rPr>
          <w:rFonts w:eastAsia="Calibri"/>
        </w:rPr>
        <w:t xml:space="preserve"> </w:t>
      </w:r>
      <w:r w:rsidR="0090780F" w:rsidRPr="00A831E7">
        <w:rPr>
          <w:rFonts w:eastAsia="Calibri"/>
        </w:rPr>
        <w:t xml:space="preserve">Τα υπάρχοντα δεδομένα δειγμάτων είναι αποκεντρωμένα και μικρά σε μέγεθος, με κάθε ερευνητικό κέντρο να διαθέτει μόνο μερικές δεκάδες ασθενών. </w:t>
      </w:r>
    </w:p>
    <w:p w14:paraId="153591A1" w14:textId="7A61105B" w:rsidR="00844C6B" w:rsidRPr="0090780F" w:rsidRDefault="00844C6B" w:rsidP="00196A6C">
      <w:pPr>
        <w:pStyle w:val="a6"/>
        <w:numPr>
          <w:ilvl w:val="0"/>
          <w:numId w:val="31"/>
        </w:numPr>
        <w:spacing w:line="360" w:lineRule="auto"/>
        <w:ind w:left="284" w:hanging="284"/>
        <w:jc w:val="both"/>
        <w:rPr>
          <w:rFonts w:eastAsia="Calibri"/>
        </w:rPr>
      </w:pPr>
      <w:r w:rsidRPr="0090780F">
        <w:rPr>
          <w:rFonts w:eastAsia="Calibri"/>
          <w:b/>
          <w:bCs/>
        </w:rPr>
        <w:t xml:space="preserve">Bias: </w:t>
      </w:r>
      <w:r w:rsidR="008F0DD5" w:rsidRPr="0090780F">
        <w:rPr>
          <w:rFonts w:eastAsia="Calibri"/>
        </w:rPr>
        <w:t>Οι εκπαιδευμένοι αλγόριθμοι</w:t>
      </w:r>
      <w:r w:rsidR="0095202A">
        <w:rPr>
          <w:rFonts w:eastAsia="Calibri"/>
          <w:lang w:val="en-US"/>
        </w:rPr>
        <w:t xml:space="preserve"> </w:t>
      </w:r>
      <w:r w:rsidR="0095202A">
        <w:rPr>
          <w:rFonts w:eastAsia="Calibri"/>
        </w:rPr>
        <w:t>μηχανικής μάθησης (</w:t>
      </w:r>
      <w:r w:rsidR="0095202A">
        <w:rPr>
          <w:rFonts w:eastAsia="Calibri"/>
          <w:lang w:val="en-US"/>
        </w:rPr>
        <w:t>ML)</w:t>
      </w:r>
      <w:r w:rsidR="008F0DD5" w:rsidRPr="0090780F">
        <w:rPr>
          <w:rFonts w:eastAsia="Calibri"/>
        </w:rPr>
        <w:t xml:space="preserve"> μπορεί να αντανακλούν υποκείμενες προκαταλήψεις</w:t>
      </w:r>
      <w:r w:rsidRPr="0090780F">
        <w:rPr>
          <w:rFonts w:eastAsia="Calibri"/>
        </w:rPr>
        <w:t xml:space="preserve"> (bias)</w:t>
      </w:r>
      <w:r w:rsidR="008F0DD5" w:rsidRPr="0090780F">
        <w:rPr>
          <w:rFonts w:eastAsia="Calibri"/>
        </w:rPr>
        <w:t xml:space="preserve">, όπως </w:t>
      </w:r>
      <w:r w:rsidRPr="0090780F">
        <w:rPr>
          <w:rFonts w:eastAsia="Calibri"/>
        </w:rPr>
        <w:t xml:space="preserve">τοπικές-εθνικές </w:t>
      </w:r>
      <w:r w:rsidR="008F0DD5" w:rsidRPr="0090780F">
        <w:rPr>
          <w:rFonts w:eastAsia="Calibri"/>
        </w:rPr>
        <w:t>διαφοροποιήσεις στη λήψη ιατρικών αποφάσεων, ένα φαινόμενο που παρατηρείται ευρέως στην κλινική πράξη</w:t>
      </w:r>
      <w:r w:rsidRPr="0090780F">
        <w:rPr>
          <w:rFonts w:eastAsia="Calibri"/>
        </w:rPr>
        <w:t xml:space="preserve"> </w:t>
      </w:r>
      <w:r w:rsidRPr="0090780F">
        <w:rPr>
          <w:rFonts w:eastAsia="Calibri"/>
        </w:rPr>
        <w:fldChar w:fldCharType="begin"/>
      </w:r>
      <w:r w:rsidRPr="0090780F">
        <w:rPr>
          <w:rFonts w:eastAsia="Calibri"/>
        </w:rPr>
        <w:instrText xml:space="preserve"> ADDIN ZOTERO_ITEM CSL_CITATION {"citationID":"ciafJAAR","properties":{"formattedCitation":"[22]","plainCitation":"[22]","noteIndex":0},"citationItems":[{"id":704,"uris":["http://zotero.org/users/local/mfHf28QG/items/X8K2RFR5"],"itemData":{"id":704,"type":"article-journal","abstract":"Large-vessel occlusion (LVO) stroke is a promising field for the use of AI, especially machine learning (ML) because optimal results are highly dependent on timely diagnosis, communication, and treatment. In order to better understand the current state of artificial intelligence (AI) in relation to LVO strokes, its efficacy, and potential future applications, we searched relevant literature to perform a comprehensive evaluation of the topic. The databases PubMed, Embase, and Scopus were extensively searched for this review. Studies were then screened using title and abstract criteria and duplicate studies were excluded. By using pre-established inclusion and exclusion criteria, it was decided whether or not to include full-text papers in the final analysis. The studies were analyzed, and the relevant information was retrieved. In recognizing LVO on computed tomography, ML approaches were very accurate. There is a shortage of AI applications for thrombectomy patient selection, despite the fact that certain research accurately evaluates individual patient eligibility for endovascular therapy. Machine learning algorithms may reasonably predict clinical and angiographic outcomes as well as associated factors. AI has shown promise in the diagnosis and treatment of people who have just suffered a stroke. However, the usefulness of AI in management and forecasting remains restricted, necessitating more studies into machine learning applications that can guide decision making in the future.","container-title":"World Neurosurgery: X","DOI":"10.1016/j.wnsx.2024.100303","ISSN":"2590-1397","journalAbbreviation":"World Neurosurgery: X","page":"100303","source":"ScienceDirect","title":"Emerging artificial intelligence-aided diagnosis and management methods for ischemic strokes and vascular occlusions: A comprehensive review","title-short":"Emerging artificial intelligence-aided diagnosis and management methods for ischemic strokes and vascular occlusions","volume":"22","author":[{"family":"Parvathy","given":"G. A. U. R. I."},{"family":"Kamaraj","given":"B. A. L. A. K. R. I. S. H. N. A. N."},{"family":"Sah","given":"B. I. K. I. K. U. M. A. R."},{"family":"Maheshwari","given":"A. A. K. A. N. S. H. R. A. H. U. L."},{"family":"Alexander","given":"A. I. S. W. A. R. I. Y. A. A. N. N. A."},{"family":"Dixit","given":"V. I. N. D. H. E. S. H."},{"family":"Mumtaz","given":"H. A. S. S. A. N."},{"family":"Saqib","given":"M. U. H. A. M. M. A. D."}],"issued":{"date-parts":[["2024",4,1]]}}}],"schema":"https://github.com/citation-style-language/schema/raw/master/csl-citation.json"} </w:instrText>
      </w:r>
      <w:r w:rsidRPr="0090780F">
        <w:rPr>
          <w:rFonts w:eastAsia="Calibri"/>
        </w:rPr>
        <w:fldChar w:fldCharType="separate"/>
      </w:r>
      <w:r w:rsidRPr="0090780F">
        <w:rPr>
          <w:rFonts w:eastAsia="Calibri"/>
        </w:rPr>
        <w:t>[22]</w:t>
      </w:r>
      <w:r w:rsidRPr="0090780F">
        <w:rPr>
          <w:rFonts w:eastAsia="Calibri"/>
        </w:rPr>
        <w:fldChar w:fldCharType="end"/>
      </w:r>
      <w:r w:rsidR="008F0DD5" w:rsidRPr="0090780F">
        <w:rPr>
          <w:rFonts w:eastAsia="Calibri"/>
        </w:rPr>
        <w:t>.</w:t>
      </w:r>
    </w:p>
    <w:p w14:paraId="68ABCC41" w14:textId="7A5E7188" w:rsidR="00844C6B" w:rsidRPr="00A831E7" w:rsidRDefault="008F0DD5" w:rsidP="00134CE7">
      <w:pPr>
        <w:pStyle w:val="a6"/>
        <w:numPr>
          <w:ilvl w:val="0"/>
          <w:numId w:val="31"/>
        </w:numPr>
        <w:spacing w:line="360" w:lineRule="auto"/>
        <w:ind w:left="284" w:hanging="284"/>
        <w:jc w:val="both"/>
        <w:rPr>
          <w:rFonts w:eastAsia="Calibri"/>
        </w:rPr>
      </w:pPr>
      <w:r w:rsidRPr="00A831E7">
        <w:rPr>
          <w:rFonts w:eastAsia="Calibri"/>
          <w:b/>
          <w:bCs/>
        </w:rPr>
        <w:t>Ηθικά Ζητήματα</w:t>
      </w:r>
      <w:r w:rsidR="00844C6B" w:rsidRPr="00A831E7">
        <w:rPr>
          <w:rFonts w:eastAsia="Calibri"/>
          <w:b/>
          <w:bCs/>
        </w:rPr>
        <w:t>:</w:t>
      </w:r>
      <w:r w:rsidR="00844C6B" w:rsidRPr="00A831E7">
        <w:rPr>
          <w:rFonts w:eastAsia="Calibri"/>
        </w:rPr>
        <w:t xml:space="preserve"> </w:t>
      </w:r>
      <w:r w:rsidRPr="00A831E7">
        <w:rPr>
          <w:rFonts w:eastAsia="Calibri"/>
        </w:rPr>
        <w:t>Η προστασία δεδομένων παραμένει βασική πρόκληση, καθώς τα σύνολα δεδομένων περιέχουν ευαίσθητες πληροφορίες ασθενών, εγείροντας ζητήματα ιδιωτικότητας. Η χρήση αλγορίθμων</w:t>
      </w:r>
      <w:r w:rsidR="0095202A">
        <w:rPr>
          <w:rFonts w:eastAsia="Calibri"/>
        </w:rPr>
        <w:t xml:space="preserve"> μηχανικής μάθησης (</w:t>
      </w:r>
      <w:r w:rsidR="0095202A">
        <w:rPr>
          <w:rFonts w:eastAsia="Calibri"/>
          <w:lang w:val="en-US"/>
        </w:rPr>
        <w:t>ML)</w:t>
      </w:r>
      <w:r w:rsidRPr="00A831E7">
        <w:rPr>
          <w:rFonts w:eastAsia="Calibri"/>
        </w:rPr>
        <w:t xml:space="preserve"> στις διαγνωστικές αποφάσεις πρέπει να συνοδεύεται από διαφάνεια ώστε να αποφεύγονται αναξιόπιστες ή μη ελεγχόμενες κλινικές εκτιμήσεις</w:t>
      </w:r>
      <w:r w:rsidR="00844C6B" w:rsidRPr="00A831E7">
        <w:rPr>
          <w:rFonts w:eastAsia="Calibri"/>
        </w:rPr>
        <w:t xml:space="preserve"> </w:t>
      </w:r>
      <w:r w:rsidR="00844C6B" w:rsidRPr="00A831E7">
        <w:rPr>
          <w:rFonts w:eastAsia="Calibri"/>
        </w:rPr>
        <w:fldChar w:fldCharType="begin"/>
      </w:r>
      <w:r w:rsidR="00844C6B" w:rsidRPr="00A831E7">
        <w:rPr>
          <w:rFonts w:eastAsia="Calibri"/>
        </w:rPr>
        <w:instrText xml:space="preserve"> ADDIN ZOTERO_ITEM CSL_CITATION {"citationID":"icZ9u81e","properties":{"formattedCitation":"[22]","plainCitation":"[22]","noteIndex":0},"citationItems":[{"id":704,"uris":["http://zotero.org/users/local/mfHf28QG/items/X8K2RFR5"],"itemData":{"id":704,"type":"article-journal","abstract":"Large-vessel occlusion (LVO) stroke is a promising field for the use of AI, especially machine learning (ML) because optimal results are highly dependent on timely diagnosis, communication, and treatment. In order to better understand the current state of artificial intelligence (AI) in relation to LVO strokes, its efficacy, and potential future applications, we searched relevant literature to perform a comprehensive evaluation of the topic. The databases PubMed, Embase, and Scopus were extensively searched for this review. Studies were then screened using title and abstract criteria and duplicate studies were excluded. By using pre-established inclusion and exclusion criteria, it was decided whether or not to include full-text papers in the final analysis. The studies were analyzed, and the relevant information was retrieved. In recognizing LVO on computed tomography, ML approaches were very accurate. There is a shortage of AI applications for thrombectomy patient selection, despite the fact that certain research accurately evaluates individual patient eligibility for endovascular therapy. Machine learning algorithms may reasonably predict clinical and angiographic outcomes as well as associated factors. AI has shown promise in the diagnosis and treatment of people who have just suffered a stroke. However, the usefulness of AI in management and forecasting remains restricted, necessitating more studies into machine learning applications that can guide decision making in the future.","container-title":"World Neurosurgery: X","DOI":"10.1016/j.wnsx.2024.100303","ISSN":"2590-1397","journalAbbreviation":"World Neurosurgery: X","page":"100303","source":"ScienceDirect","title":"Emerging artificial intelligence-aided diagnosis and management methods for ischemic strokes and vascular occlusions: A comprehensive review","title-short":"Emerging artificial intelligence-aided diagnosis and management methods for ischemic strokes and vascular occlusions","volume":"22","author":[{"family":"Parvathy","given":"G. A. U. R. I."},{"family":"Kamaraj","given":"B. A. L. A. K. R. I. S. H. N. A. N."},{"family":"Sah","given":"B. I. K. I. K. U. M. A. R."},{"family":"Maheshwari","given":"A. A. K. A. N. S. H. R. A. H. U. L."},{"family":"Alexander","given":"A. I. S. W. A. R. I. Y. A. A. N. N. A."},{"family":"Dixit","given":"V. I. N. D. H. E. S. H."},{"family":"Mumtaz","given":"H. A. S. S. A. N."},{"family":"Saqib","given":"M. U. H. A. M. M. A. D."}],"issued":{"date-parts":[["2024",4,1]]}}}],"schema":"https://github.com/citation-style-language/schema/raw/master/csl-citation.json"} </w:instrText>
      </w:r>
      <w:r w:rsidR="00844C6B" w:rsidRPr="00A831E7">
        <w:rPr>
          <w:rFonts w:eastAsia="Calibri"/>
        </w:rPr>
        <w:fldChar w:fldCharType="separate"/>
      </w:r>
      <w:r w:rsidR="00844C6B" w:rsidRPr="00A831E7">
        <w:rPr>
          <w:rFonts w:eastAsia="Calibri"/>
        </w:rPr>
        <w:t>[22]</w:t>
      </w:r>
      <w:r w:rsidR="00844C6B" w:rsidRPr="00A831E7">
        <w:rPr>
          <w:rFonts w:eastAsia="Calibri"/>
        </w:rPr>
        <w:fldChar w:fldCharType="end"/>
      </w:r>
      <w:r w:rsidRPr="00A831E7">
        <w:rPr>
          <w:rFonts w:eastAsia="Calibri"/>
        </w:rPr>
        <w:t>.</w:t>
      </w:r>
    </w:p>
    <w:p w14:paraId="7D7F38CF" w14:textId="6B9C0469" w:rsidR="00DC5FE5" w:rsidRPr="00A831E7" w:rsidRDefault="008F0DD5" w:rsidP="00134CE7">
      <w:pPr>
        <w:spacing w:line="360" w:lineRule="auto"/>
        <w:jc w:val="both"/>
        <w:rPr>
          <w:rFonts w:eastAsia="Calibri"/>
        </w:rPr>
      </w:pPr>
      <w:r w:rsidRPr="00A831E7">
        <w:rPr>
          <w:rFonts w:eastAsia="Calibri"/>
        </w:rPr>
        <w:lastRenderedPageBreak/>
        <w:t>Παρόλο που η τεχνητή νοημοσύνη, έχ</w:t>
      </w:r>
      <w:r w:rsidR="00844C6B" w:rsidRPr="00A831E7">
        <w:rPr>
          <w:rFonts w:eastAsia="Calibri"/>
        </w:rPr>
        <w:t>ει</w:t>
      </w:r>
      <w:r w:rsidRPr="00A831E7">
        <w:rPr>
          <w:rFonts w:eastAsia="Calibri"/>
        </w:rPr>
        <w:t xml:space="preserve"> επιδείξει υποσχόμενα αποτελέσματα στην έρευνα, η αντιμετώπιση αυτών των περιορισμών είναι καθοριστική για την κλινική υιοθέτησή τους. </w:t>
      </w:r>
    </w:p>
    <w:p w14:paraId="601C6121" w14:textId="77777777" w:rsidR="00844C6B" w:rsidRPr="00A831E7" w:rsidRDefault="00844C6B" w:rsidP="00134CE7">
      <w:pPr>
        <w:spacing w:line="360" w:lineRule="auto"/>
        <w:jc w:val="both"/>
        <w:rPr>
          <w:rFonts w:eastAsia="Calibri"/>
        </w:rPr>
      </w:pPr>
    </w:p>
    <w:p w14:paraId="1BBC9DFE" w14:textId="1D1F8FAC" w:rsidR="00A3176C" w:rsidRPr="008F5904" w:rsidRDefault="00A3176C" w:rsidP="008F5904">
      <w:pPr>
        <w:pStyle w:val="4"/>
        <w:spacing w:line="360" w:lineRule="auto"/>
        <w:rPr>
          <w:b w:val="0"/>
        </w:rPr>
      </w:pPr>
      <w:r w:rsidRPr="008F5904">
        <w:t>Πλεονεκτήματα</w:t>
      </w:r>
      <w:r w:rsidR="005B7E11" w:rsidRPr="008F5904">
        <w:t xml:space="preserve"> και Περιορισμοί </w:t>
      </w:r>
      <w:r w:rsidR="0090780F" w:rsidRPr="008F5904">
        <w:t>Βιοδεικτών</w:t>
      </w:r>
      <w:r w:rsidR="005B7E11" w:rsidRPr="008F5904">
        <w:t xml:space="preserve"> &amp; EVs σε</w:t>
      </w:r>
      <w:r w:rsidR="0090780F" w:rsidRPr="008F5904">
        <w:t xml:space="preserve"> </w:t>
      </w:r>
      <w:r w:rsidR="0090780F" w:rsidRPr="008F5904">
        <w:rPr>
          <w:lang w:val="en-US"/>
        </w:rPr>
        <w:t>point</w:t>
      </w:r>
      <w:r w:rsidR="0090780F" w:rsidRPr="008F5904">
        <w:t>-</w:t>
      </w:r>
      <w:r w:rsidR="0090780F" w:rsidRPr="008F5904">
        <w:rPr>
          <w:lang w:val="en-US"/>
        </w:rPr>
        <w:t>of</w:t>
      </w:r>
      <w:r w:rsidR="0090780F" w:rsidRPr="008F5904">
        <w:t>-</w:t>
      </w:r>
      <w:r w:rsidR="0090780F" w:rsidRPr="008F5904">
        <w:rPr>
          <w:lang w:val="en-US"/>
        </w:rPr>
        <w:t>care</w:t>
      </w:r>
      <w:r w:rsidR="0090780F" w:rsidRPr="008F5904">
        <w:t xml:space="preserve"> εφαρμογές</w:t>
      </w:r>
    </w:p>
    <w:p w14:paraId="309539BB" w14:textId="668D5B4C" w:rsidR="00844C6B" w:rsidRPr="00A831E7" w:rsidRDefault="00A3176C" w:rsidP="00134CE7">
      <w:pPr>
        <w:spacing w:line="360" w:lineRule="auto"/>
        <w:ind w:firstLine="720"/>
        <w:jc w:val="both"/>
        <w:rPr>
          <w:rFonts w:eastAsia="Calibri"/>
        </w:rPr>
      </w:pPr>
      <w:r w:rsidRPr="00A831E7">
        <w:rPr>
          <w:rFonts w:eastAsia="Calibri"/>
        </w:rPr>
        <w:t xml:space="preserve">Στην περίπτωση των εφαρμογών </w:t>
      </w:r>
      <w:r w:rsidR="00844C6B" w:rsidRPr="00A831E7">
        <w:rPr>
          <w:rFonts w:eastAsia="Calibri"/>
        </w:rPr>
        <w:t xml:space="preserve">Point-of-Care (PoC) </w:t>
      </w:r>
      <w:r w:rsidRPr="00A831E7">
        <w:rPr>
          <w:rFonts w:eastAsia="Calibri"/>
        </w:rPr>
        <w:t xml:space="preserve">οι μεγαλύτερες προκλήσεις εμφανίζονται από τους βιοδείκτες και τα EVs προς μέτρηση. Για να γίνουν εμφανείς οι διαγνωστικές προκλήσεις που προκύπτουν, θα πρέπει πρώτα να γίνει περιγραφή μιας ιδανικής εφαρμογής PoC η </w:t>
      </w:r>
      <w:r w:rsidR="0076557C" w:rsidRPr="00A831E7">
        <w:rPr>
          <w:rFonts w:eastAsia="Calibri"/>
        </w:rPr>
        <w:t xml:space="preserve">οποία </w:t>
      </w:r>
      <w:r w:rsidRPr="00A831E7">
        <w:rPr>
          <w:rFonts w:eastAsia="Calibri"/>
        </w:rPr>
        <w:t>έχει τα εξής χαρακτηριστικά</w:t>
      </w:r>
      <w:r w:rsidR="00B53512" w:rsidRPr="00A831E7">
        <w:rPr>
          <w:rFonts w:eastAsia="Calibri"/>
        </w:rPr>
        <w:t xml:space="preserve"> </w:t>
      </w:r>
      <w:r w:rsidR="00B53512" w:rsidRPr="00A831E7">
        <w:rPr>
          <w:rFonts w:eastAsia="Calibri"/>
        </w:rPr>
        <w:fldChar w:fldCharType="begin"/>
      </w:r>
      <w:r w:rsidR="00B61252">
        <w:rPr>
          <w:rFonts w:eastAsia="Calibri"/>
        </w:rPr>
        <w:instrText xml:space="preserve"> ADDIN ZOTERO_ITEM CSL_CITATION {"citationID":"t74CAzFU","properties":{"formattedCitation":"[12], [118]","plainCitation":"[12], [118]","noteIndex":0},"citationItems":[{"id":266,"uris":["http://zotero.org/users/local/mfHf28QG/items/7WV47UKH"],"itemData":{"id":266,"type":"article-journal","abstract":"Stroke, the second highest leading cause of death, is caused by an abrupt interruption of blood to the brain. Supply of blood needs to be promptly restored to salvage brain tissues from irreversible neuronal death. Existing assessment of stroke ...","container-title":"Biosensors","DOI":"10.3390/bios7030030","issue":"3","language":"en","note":"PMID: 28771209","page":"30","source":"pmc.ncbi.nlm.nih.gov","title":"Point-of-Care-Testing in Acute Stroke Management: An Unmet Need Ripe for Technological Harvest","title-short":"Point-of-Care-Testing in Acute Stroke Management","volume":"7","author":[{"family":"Harpaz","given":"Dorin"},{"family":"Eltzov","given":"Evgeni"},{"family":"Seet","given":"Raymond C. S."},{"family":"Marks","given":"Robert S."},{"family":"Tok","given":"Alfred I. Y."}],"issued":{"date-parts":[["2017",8,3]]}}},{"id":855,"uris":["http://zotero.org/users/local/mfHf28QG/items/73AIQYBX"],"itemData":{"id":855,"type":"article-journal","abstract":"Stroke is a leading cause of death and disability in the world. To address such a problem, early diagnosis and tailored acute treatment represent one of the major priorities in acute stroke care. Since the efficacy of reperfusion treatments is highly time-dependent, there is a critical need to optimize procedures for faster and more precise diagnosis. We provide a concise review of the most relevant and well-documented blood–protein biomarkers that exhibit greater potential for translational to clinical practice in stroke differential diagnosis and to differentiate ischemic stroke from hemorrhagic stroke, followed by an overview of the most recent point-of-care technological approaches to address this problem. The integration of fluid-based biomarker profiling, using point-of-care biosensors with demographic, clinical, and neuroimaging parameters in multi-dimensional clinical decision-making algorithms, will be the next step in personalized stroke care.","container-title":"Life","DOI":"10.3390/life11080816","ISSN":"2075-1729","issue":"8","language":"en","license":"http://creativecommons.org/licenses/by/3.0/","note":"number: 8\npublisher: Multidisciplinary Digital Publishing Institute","page":"816","source":"www.mdpi.com","title":"Timely and Blood-Based Multiplex Molecular Profiling of Acute Stroke","volume":"11","author":[{"family":"Dias","given":"Alexandre"},{"family":"Silva","given":"Isabel"},{"family":"Pinto","given":"Inês Mendes"},{"family":"Maia","given":"Luís F."}],"issued":{"date-parts":[["2021",8]]}}}],"schema":"https://github.com/citation-style-language/schema/raw/master/csl-citation.json"} </w:instrText>
      </w:r>
      <w:r w:rsidR="00B53512" w:rsidRPr="00A831E7">
        <w:rPr>
          <w:rFonts w:eastAsia="Calibri"/>
        </w:rPr>
        <w:fldChar w:fldCharType="separate"/>
      </w:r>
      <w:r w:rsidR="00B61252" w:rsidRPr="00B61252">
        <w:rPr>
          <w:rFonts w:eastAsia="Calibri"/>
        </w:rPr>
        <w:t>[12], [118]</w:t>
      </w:r>
      <w:r w:rsidR="00B53512" w:rsidRPr="00A831E7">
        <w:rPr>
          <w:rFonts w:eastAsia="Calibri"/>
        </w:rPr>
        <w:fldChar w:fldCharType="end"/>
      </w:r>
      <w:r w:rsidRPr="00A831E7">
        <w:rPr>
          <w:rFonts w:eastAsia="Calibri"/>
        </w:rPr>
        <w:t>:</w:t>
      </w:r>
    </w:p>
    <w:p w14:paraId="1F159891" w14:textId="0850DD6A"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Ταχεία Ανίχνευση</w:t>
      </w:r>
      <w:r w:rsidRPr="00A831E7">
        <w:rPr>
          <w:rFonts w:eastAsia="Calibri"/>
        </w:rPr>
        <w:t>: Παροχή αποτελεσμάτων σε λίγα λεπτά.</w:t>
      </w:r>
    </w:p>
    <w:p w14:paraId="1A8AC759" w14:textId="7E09026C"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Υψηλή Ευαισθησία &amp; Ειδικότητα</w:t>
      </w:r>
      <w:r w:rsidRPr="00A831E7">
        <w:rPr>
          <w:rFonts w:eastAsia="Calibri"/>
        </w:rPr>
        <w:t>: Ακριβής διαφοροποίηση μεταξύ των υποτύπων εγκεφαλικού επεισοδίου (IS vs H</w:t>
      </w:r>
      <w:r w:rsidR="0090780F">
        <w:rPr>
          <w:rFonts w:eastAsia="Calibri"/>
          <w:lang w:val="en-US"/>
        </w:rPr>
        <w:t>S</w:t>
      </w:r>
      <w:r w:rsidR="0090780F">
        <w:rPr>
          <w:rFonts w:eastAsia="Calibri"/>
        </w:rPr>
        <w:t xml:space="preserve"> </w:t>
      </w:r>
      <w:r w:rsidR="0090780F">
        <w:rPr>
          <w:rFonts w:eastAsia="Calibri"/>
          <w:lang w:val="en-US"/>
        </w:rPr>
        <w:t>vs</w:t>
      </w:r>
      <w:r w:rsidR="0090780F" w:rsidRPr="0090780F">
        <w:rPr>
          <w:rFonts w:eastAsia="Calibri"/>
        </w:rPr>
        <w:t xml:space="preserve"> </w:t>
      </w:r>
      <w:r w:rsidR="0090780F">
        <w:rPr>
          <w:rFonts w:eastAsia="Calibri"/>
          <w:lang w:val="en-US"/>
        </w:rPr>
        <w:t>SMs</w:t>
      </w:r>
      <w:r w:rsidRPr="00A831E7">
        <w:rPr>
          <w:rFonts w:eastAsia="Calibri"/>
        </w:rPr>
        <w:t>) .</w:t>
      </w:r>
    </w:p>
    <w:p w14:paraId="590E5E8C" w14:textId="5829C0B0"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Φορητότητα &amp; Ευχρηστία</w:t>
      </w:r>
      <w:r w:rsidRPr="00A831E7">
        <w:rPr>
          <w:rFonts w:eastAsia="Calibri"/>
        </w:rPr>
        <w:t xml:space="preserve">: Μικρές, εύχρηστες συσκευές, κατάλληλες για προνοσοκομειακές συνθήκες (ασθενοφόρα και </w:t>
      </w:r>
      <w:r w:rsidR="0095202A">
        <w:rPr>
          <w:rFonts w:eastAsia="Calibri"/>
        </w:rPr>
        <w:t xml:space="preserve">Κινητές Μονάδες Εγκεφαλικού Επεισοδίου, </w:t>
      </w:r>
      <w:r w:rsidRPr="00A831E7">
        <w:rPr>
          <w:rFonts w:eastAsia="Calibri"/>
        </w:rPr>
        <w:t>MSUs).</w:t>
      </w:r>
    </w:p>
    <w:p w14:paraId="174E0A10" w14:textId="6CECDB43"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Ελάχιστη Επεξεργασία Δείγματος</w:t>
      </w:r>
      <w:r w:rsidRPr="00A831E7">
        <w:rPr>
          <w:rFonts w:eastAsia="Calibri"/>
        </w:rPr>
        <w:t>: Χρήση μικρών βιολογικών δειγμάτων (αίμα, σάλιο ή ούρα) με απλοποιημένες διαδικασίες που δεν απαιτούν σύνθετα εργαστηριακά πρωτόκολλα.</w:t>
      </w:r>
    </w:p>
    <w:p w14:paraId="27E4BC30" w14:textId="654906A8"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Αυτοματοποιημένη Ενσωμάτωση ML</w:t>
      </w:r>
      <w:r w:rsidRPr="00A831E7">
        <w:rPr>
          <w:rFonts w:eastAsia="Calibri"/>
        </w:rPr>
        <w:t xml:space="preserve">: Αξιοποίηση αλγορίθμων μηχανικής μάθησης για ανάλυση σε πραγματικό χρόνο, αναγνώριση </w:t>
      </w:r>
      <w:r w:rsidR="002A765B">
        <w:rPr>
          <w:rFonts w:eastAsia="Calibri"/>
        </w:rPr>
        <w:t>μοτίβων</w:t>
      </w:r>
      <w:r w:rsidRPr="00A831E7">
        <w:rPr>
          <w:rFonts w:eastAsia="Calibri"/>
        </w:rPr>
        <w:t xml:space="preserve"> και προγνωστική μοντελοποίηση.</w:t>
      </w:r>
    </w:p>
    <w:p w14:paraId="0D145602" w14:textId="7A867703"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Τυποποιημένη Έξοδος Δεδομένων</w:t>
      </w:r>
      <w:r w:rsidRPr="00A831E7">
        <w:rPr>
          <w:rFonts w:eastAsia="Calibri"/>
        </w:rPr>
        <w:t>: Παροχή σαφών, κατανοητών αποτελεσμάτων, διευκολύνοντας την απρόσκοπτη ενσωμάτωση σε κλινικές διαδικασίες.</w:t>
      </w:r>
    </w:p>
    <w:p w14:paraId="4D88767A" w14:textId="60D89CFB"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Οικονομική Υλοποίηση</w:t>
      </w:r>
      <w:r w:rsidRPr="00A831E7">
        <w:rPr>
          <w:rFonts w:eastAsia="Calibri"/>
        </w:rPr>
        <w:t>: Προσιτές λύσεις που μειώνουν την εξάρτηση από δαπανηρές απεικονιστικές διαδικασίες ή κεντρικές εργαστηριακές δομές.</w:t>
      </w:r>
    </w:p>
    <w:p w14:paraId="0736148B" w14:textId="1C67FFC0" w:rsidR="00A3176C" w:rsidRPr="00A831E7" w:rsidRDefault="00A3176C" w:rsidP="00134CE7">
      <w:pPr>
        <w:pStyle w:val="a6"/>
        <w:numPr>
          <w:ilvl w:val="0"/>
          <w:numId w:val="18"/>
        </w:numPr>
        <w:spacing w:line="360" w:lineRule="auto"/>
        <w:ind w:left="284" w:hanging="284"/>
        <w:jc w:val="both"/>
        <w:rPr>
          <w:rFonts w:eastAsia="Calibri"/>
        </w:rPr>
      </w:pPr>
      <w:r w:rsidRPr="00A831E7">
        <w:rPr>
          <w:rFonts w:eastAsia="Calibri"/>
          <w:b/>
          <w:bCs/>
        </w:rPr>
        <w:t>Συμβατότητα με Βιοδείκτες &amp; EVs</w:t>
      </w:r>
      <w:r w:rsidRPr="00A831E7">
        <w:rPr>
          <w:rFonts w:eastAsia="Calibri"/>
        </w:rPr>
        <w:t xml:space="preserve">: Δυνατότητα ανίχνευσης πολλαπλών βιολογικών δεικτών, συμπεριλαμβανομένων των παραδοσιακών βιοδεικτών και των </w:t>
      </w:r>
      <w:r w:rsidR="002A765B" w:rsidRPr="00A831E7">
        <w:rPr>
          <w:rFonts w:eastAsia="Calibri"/>
        </w:rPr>
        <w:t>εξωκυτταρικών</w:t>
      </w:r>
      <w:r w:rsidRPr="00A831E7">
        <w:rPr>
          <w:rFonts w:eastAsia="Calibri"/>
        </w:rPr>
        <w:t xml:space="preserve"> κυστιδίων (EVs), για μεγαλύτερη διαγνωστική ακρίβεια.</w:t>
      </w:r>
    </w:p>
    <w:p w14:paraId="46F010F7" w14:textId="48CABE6D" w:rsidR="005B7E11" w:rsidRPr="00A831E7" w:rsidRDefault="00A3176C" w:rsidP="00134CE7">
      <w:pPr>
        <w:pStyle w:val="a6"/>
        <w:numPr>
          <w:ilvl w:val="0"/>
          <w:numId w:val="18"/>
        </w:numPr>
        <w:spacing w:line="360" w:lineRule="auto"/>
        <w:ind w:left="284" w:hanging="284"/>
        <w:jc w:val="both"/>
        <w:rPr>
          <w:rFonts w:eastAsia="Calibri"/>
          <w:b/>
          <w:bCs/>
        </w:rPr>
      </w:pPr>
      <w:r w:rsidRPr="00A831E7">
        <w:rPr>
          <w:rFonts w:eastAsia="Calibri"/>
          <w:b/>
          <w:bCs/>
        </w:rPr>
        <w:t>Διαλειτουργικότητα με Ιατρικά Αρχεία</w:t>
      </w:r>
      <w:r w:rsidRPr="00A831E7">
        <w:rPr>
          <w:rFonts w:eastAsia="Calibri"/>
        </w:rPr>
        <w:t>: Ομαλή ενσωμάτωση με ηλεκτρονικά ιατρικά αρχεία (EHRs) για συνεχή πρόσβαση στα δεδομένα και υποστήριξη κλινικών αποφάσεων.</w:t>
      </w:r>
    </w:p>
    <w:p w14:paraId="5FC41433" w14:textId="77777777" w:rsidR="0076557C" w:rsidRPr="00A831E7" w:rsidRDefault="0076557C" w:rsidP="00134CE7">
      <w:pPr>
        <w:spacing w:line="360" w:lineRule="auto"/>
        <w:jc w:val="both"/>
        <w:rPr>
          <w:rFonts w:eastAsia="Calibri"/>
          <w:b/>
          <w:bCs/>
        </w:rPr>
      </w:pPr>
    </w:p>
    <w:p w14:paraId="1669D3C8" w14:textId="3F7D9D80" w:rsidR="0031090F" w:rsidRPr="00A831E7" w:rsidRDefault="00864738" w:rsidP="00134CE7">
      <w:pPr>
        <w:spacing w:line="360" w:lineRule="auto"/>
        <w:ind w:firstLine="720"/>
        <w:jc w:val="both"/>
        <w:rPr>
          <w:rFonts w:eastAsia="Calibri"/>
        </w:rPr>
      </w:pPr>
      <w:r w:rsidRPr="00A831E7">
        <w:rPr>
          <w:rFonts w:eastAsia="Calibri"/>
        </w:rPr>
        <w:lastRenderedPageBreak/>
        <w:t xml:space="preserve">Για τους </w:t>
      </w:r>
      <w:r w:rsidRPr="00A831E7">
        <w:rPr>
          <w:rFonts w:eastAsia="Calibri"/>
          <w:b/>
          <w:bCs/>
        </w:rPr>
        <w:t>βιοδείκτες</w:t>
      </w:r>
      <w:r w:rsidRPr="00A831E7">
        <w:rPr>
          <w:rFonts w:eastAsia="Calibri"/>
        </w:rPr>
        <w:t xml:space="preserve"> σε PoC εφαρμογές</w:t>
      </w:r>
      <w:r w:rsidR="0031090F" w:rsidRPr="00A831E7">
        <w:rPr>
          <w:rFonts w:eastAsia="Calibri"/>
        </w:rPr>
        <w:t>,</w:t>
      </w:r>
      <w:r w:rsidRPr="00A831E7">
        <w:rPr>
          <w:rFonts w:eastAsia="Calibri"/>
        </w:rPr>
        <w:t xml:space="preserve"> είναι δυνατή η </w:t>
      </w:r>
      <w:r w:rsidRPr="00A831E7">
        <w:rPr>
          <w:rFonts w:eastAsia="Calibri"/>
          <w:b/>
          <w:bCs/>
        </w:rPr>
        <w:t>ταχεία ανίχνευση</w:t>
      </w:r>
      <w:r w:rsidRPr="00A831E7">
        <w:rPr>
          <w:rFonts w:eastAsia="Calibri"/>
        </w:rPr>
        <w:t xml:space="preserve"> με ενζυματικ</w:t>
      </w:r>
      <w:r w:rsidR="002A765B">
        <w:rPr>
          <w:rFonts w:eastAsia="Calibri"/>
        </w:rPr>
        <w:t>ούς</w:t>
      </w:r>
      <w:r w:rsidR="0095202A">
        <w:rPr>
          <w:rFonts w:eastAsia="Calibri"/>
          <w:lang w:val="en-US"/>
        </w:rPr>
        <w:t xml:space="preserve"> </w:t>
      </w:r>
      <w:r w:rsidR="0095202A">
        <w:rPr>
          <w:rFonts w:eastAsia="Calibri"/>
        </w:rPr>
        <w:t>προσδιορισμούς</w:t>
      </w:r>
      <w:r w:rsidR="0095202A">
        <w:rPr>
          <w:rFonts w:eastAsia="Calibri"/>
          <w:lang w:val="en-US"/>
        </w:rPr>
        <w:t xml:space="preserve"> </w:t>
      </w:r>
      <w:r w:rsidR="0095202A">
        <w:rPr>
          <w:rFonts w:eastAsia="Calibri"/>
        </w:rPr>
        <w:t>(</w:t>
      </w:r>
      <w:r w:rsidR="0095202A">
        <w:rPr>
          <w:rFonts w:eastAsia="Calibri"/>
          <w:lang w:val="en-US"/>
        </w:rPr>
        <w:t>enzyme assays)</w:t>
      </w:r>
      <w:r w:rsidRPr="00A831E7">
        <w:rPr>
          <w:rFonts w:eastAsia="Calibri"/>
        </w:rPr>
        <w:t xml:space="preserve"> ή ανοσο</w:t>
      </w:r>
      <w:r w:rsidR="002A765B">
        <w:rPr>
          <w:rFonts w:eastAsia="Calibri"/>
        </w:rPr>
        <w:t>προσδιορισμούς</w:t>
      </w:r>
      <w:r w:rsidRPr="00A831E7">
        <w:rPr>
          <w:rFonts w:eastAsia="Calibri"/>
        </w:rPr>
        <w:t xml:space="preserve"> (</w:t>
      </w:r>
      <w:r w:rsidR="0095202A">
        <w:rPr>
          <w:rFonts w:eastAsia="Calibri"/>
          <w:lang w:val="en-US"/>
        </w:rPr>
        <w:t>immuno</w:t>
      </w:r>
      <w:r w:rsidRPr="00A831E7">
        <w:rPr>
          <w:rFonts w:eastAsia="Calibri"/>
        </w:rPr>
        <w:t xml:space="preserve">assays) και παρέχονται αποτελέσματα σε λίγα λεπτά. Για παράδειγμα η ανίχνευση της πρωτεΐνης GFAP σε δείγματα πλάσματος μπορεί να γίνει σε λιγότερο από 15 λεπτά με χρήση </w:t>
      </w:r>
      <w:r w:rsidRPr="00A831E7">
        <w:rPr>
          <w:rFonts w:eastAsia="Calibri"/>
          <w:b/>
          <w:bCs/>
        </w:rPr>
        <w:t>Simoa</w:t>
      </w:r>
      <w:r w:rsidRPr="00A831E7">
        <w:rPr>
          <w:rFonts w:eastAsia="Calibri"/>
        </w:rPr>
        <w:t xml:space="preserve"> (Single Molecule Array) ή </w:t>
      </w:r>
      <w:r w:rsidR="0031090F" w:rsidRPr="00A831E7">
        <w:rPr>
          <w:rFonts w:eastAsia="Calibri"/>
          <w:b/>
          <w:bCs/>
        </w:rPr>
        <w:t>Τ</w:t>
      </w:r>
      <w:r w:rsidRPr="00A831E7">
        <w:rPr>
          <w:rFonts w:eastAsia="Calibri"/>
          <w:b/>
          <w:bCs/>
        </w:rPr>
        <w:t>RF-LFIA</w:t>
      </w:r>
      <w:r w:rsidRPr="00A831E7">
        <w:rPr>
          <w:rFonts w:eastAsia="Calibri"/>
        </w:rPr>
        <w:t xml:space="preserve"> καθιστώντας την GFAP ιδανική για PoC εφαρμογές</w:t>
      </w:r>
      <w:r w:rsidR="0031090F" w:rsidRPr="00A831E7">
        <w:rPr>
          <w:rFonts w:eastAsia="Calibri"/>
        </w:rPr>
        <w:t xml:space="preserve"> </w:t>
      </w:r>
      <w:r w:rsidR="0031090F" w:rsidRPr="00A831E7">
        <w:rPr>
          <w:rFonts w:eastAsia="Calibri"/>
        </w:rPr>
        <w:fldChar w:fldCharType="begin"/>
      </w:r>
      <w:r w:rsidR="00B61252">
        <w:rPr>
          <w:rFonts w:eastAsia="Calibri"/>
        </w:rPr>
        <w:instrText xml:space="preserve"> ADDIN ZOTERO_ITEM CSL_CITATION {"citationID":"HWhbUGFO","properties":{"formattedCitation":"[67], [119]","plainCitation":"[67], [119]","noteIndex":0},"citationItems":[{"id":348,"uris":["http://zotero.org/users/local/mfHf28QG/items/MKKSSDYZ"],"itemData":{"id":348,"type":"article-journal","abstract":"Acute stroke management is critically time-sensitive and challenging. Blood-based biomarkers that can differentiate acute ischemic stroke (IS) from hemorrhagic stroke (HS) can greatly facilitate triage and early management. Admission blood samples ...","container-title":"Diagnostics","DOI":"10.3390/diagnostics13172757","issue":"17","language":"en","note":"PMID: 37685295","page":"2757","source":"pmc.ncbi.nlm.nih.gov","title":"Plasma Glial Fibrillary Acidic Protein and N-Terminal Pro B-Type Natriuretic Peptide: Potential Biomarkers to Differentiate Ischemic and Hemorrhagic Stroke","title-short":"Plasma Glial Fibrillary Acidic Protein and N-Terminal Pro B-Type Natriuretic Peptide","volume":"13","author":[{"family":"Han","given":"Eunhee"},{"family":"Kim","given":"Hyejeong"},{"family":"Cho","given":"Bongrae"},{"family":"Lee","given":"Jeong-Joong"},{"family":"Shin","given":"Soyoung"},{"family":"Oh","given":"Eun-Jee"},{"family":"Chae","given":"Hyojin"}],"issued":{"date-parts":[["2023",8,25]]}}},{"id":550,"uris":["http://zotero.org/users/local/mfHf28QG/items/3TKRI94C"],"itemData":{"id":550,"type":"article-journal","abstract":"The goal of this study is to create a highly sensitive time-resolved fluorescence lateral flow immunoassay (TRF-LFIA) capable of concurrently measuring glial fibrillary acidic protein (GFAP) and the N-terminal fragment of B-type natriuretic peptide precursor (NT-proBNP). This assay is designed as a diagnostic tool and aims to provide an algorithm for stroke management, specifically for distinguishing between Ischemic stroke (IS) and Hemorrhagic stroke (HS). However, LFIA to quantify simultaneous serum NT-proBNP and GFAP are not yet available. We have developed and validated a novel TRF-LFIA for the simultaneous quantitative detection of NT-proBNP and GFAP. The sensitivity and reproducibility of the immunoassay were significantly improved by employing specific monoclonal antibodies linked to europium nanoparticles (EuNPs) that specifically target NT-proBNP and GFAP. The detection area on the nitrocellulose membrane featured sandwich-style complexes containing two test lines for NT-proBNP and GFAP, and one Control line. The fluorescence intensity of these test lines and control line was measured using an in-house developed Exdia TRF-Plus analyzer. As proof-of-concept, we enrolled patients suspected of having a stroke who were admitted within a specific time frame (6 h). A small amount of clinical specimen (serum) was used. To optimize the LFIA, an EuNPs conjugated antibodies were investigated to improve the detection sensitivity and decrease the background signal as well shorten the detection time. The Exdia TRF-LFIA cartridge offers a wide linear dynamic detection range, rapid detection, high sensitivity, and specificity. The limit of detection was determined to be 98 pg/mL for NT-proBNP and 68 pg/mL for GFAP, with minimal cross-reactivity. There were 200 clinical human serum samples that were used to evaluate this platform with high correlation. By combining the results of NT-proBNP and GFAP, we formulated an algorithm for the clinical assessment of Ischemic Stroke (IS) and Hemorrhagic Stroke (HS). According to our proposed algorithm, the combination of GFAP and NT-proBNP emerged as the most effective biomarker combination for distinguishing between IS and HS. Exdia TRF-LFIA shows great potential as a supplemental method for in vitro diagnostics in the laboratory or in other point-of-care testing (POCT) applications. Its development substantially decreases the diagnosis time for IS and HS. The proposed algorithm not only minimizes treatment delays but also lowers medical costs for patients.","container-title":"Clinica Chimica Acta","DOI":"10.1016/j.cca.2024.117872","ISSN":"0009-8981","journalAbbreviation":"Clinica Chimica Acta","page":"117872","source":"ScienceDirect","title":"A comprehensive Exdia TRF-LFIA for simultaneous quantification of GFAP and NT-proBNP in distinguishing ischemic and hemorrhagic stroke","volume":"557","author":[{"family":"Lee","given":"Minki"},{"family":"Rafiq Sayyed","given":"Danishmalik"},{"family":"Kim","given":"Hyejeong"},{"family":"Sanchez","given":"Jean-Charles"},{"family":"Sik Hong","given":"Sung"},{"family":"Choi","given":"Sehee"},{"family":"Kim","given":"Hyunghoon"},{"family":"Han","given":"Eunhee"},{"family":"Won Kang","given":"Hye"},{"family":"Min Kim","given":"Jeong"},{"family":"Joan","given":"Montaner"},{"family":"Kim","given":"Hanshin"},{"family":"Chae","given":"Hyojin"},{"family":"Park","given":"Jong-Myeon"}],"issued":{"date-parts":[["2024",4,15]]}}}],"schema":"https://github.com/citation-style-language/schema/raw/master/csl-citation.json"} </w:instrText>
      </w:r>
      <w:r w:rsidR="0031090F" w:rsidRPr="00A831E7">
        <w:rPr>
          <w:rFonts w:eastAsia="Calibri"/>
        </w:rPr>
        <w:fldChar w:fldCharType="separate"/>
      </w:r>
      <w:r w:rsidR="00B61252" w:rsidRPr="00B61252">
        <w:rPr>
          <w:rFonts w:eastAsia="Calibri"/>
        </w:rPr>
        <w:t>[67], [119]</w:t>
      </w:r>
      <w:r w:rsidR="0031090F" w:rsidRPr="00A831E7">
        <w:rPr>
          <w:rFonts w:eastAsia="Calibri"/>
        </w:rPr>
        <w:fldChar w:fldCharType="end"/>
      </w:r>
      <w:r w:rsidRPr="00A831E7">
        <w:rPr>
          <w:rFonts w:eastAsia="Calibri"/>
        </w:rPr>
        <w:t>.</w:t>
      </w:r>
      <w:r w:rsidR="0031090F" w:rsidRPr="00A831E7">
        <w:rPr>
          <w:b/>
          <w:bCs/>
          <w:lang w:eastAsia="en-US"/>
        </w:rPr>
        <w:t xml:space="preserve"> </w:t>
      </w:r>
      <w:r w:rsidR="0031090F" w:rsidRPr="00A831E7">
        <w:rPr>
          <w:lang w:eastAsia="en-US"/>
        </w:rPr>
        <w:t xml:space="preserve">Χρειάζεται </w:t>
      </w:r>
      <w:r w:rsidR="0031090F" w:rsidRPr="00A831E7">
        <w:rPr>
          <w:rFonts w:eastAsia="Calibri"/>
          <w:b/>
          <w:bCs/>
        </w:rPr>
        <w:t>ελάχιστη επεξεργασία δείγματος</w:t>
      </w:r>
      <w:r w:rsidR="0031090F" w:rsidRPr="00A831E7">
        <w:rPr>
          <w:rFonts w:eastAsia="Calibri"/>
        </w:rPr>
        <w:t xml:space="preserve"> για βιοδείκτες αίματος,</w:t>
      </w:r>
      <w:r w:rsidR="00B9519A" w:rsidRPr="00A831E7">
        <w:rPr>
          <w:rFonts w:eastAsia="Calibri"/>
        </w:rPr>
        <w:t xml:space="preserve"> όπου</w:t>
      </w:r>
      <w:r w:rsidR="0031090F" w:rsidRPr="00A831E7">
        <w:rPr>
          <w:rFonts w:eastAsia="Calibri"/>
        </w:rPr>
        <w:t xml:space="preserve"> με μικρή ποσότητα δειγμάτων μπορούν συχνά να αναλυθούν χωρίς εκτεταμένες εργαστηριακές διαδικασίες. Η διαδικασία των αναλύσεων</w:t>
      </w:r>
      <w:r w:rsidR="00B9519A" w:rsidRPr="00A831E7">
        <w:rPr>
          <w:rFonts w:eastAsia="Calibri"/>
        </w:rPr>
        <w:t xml:space="preserve"> από την άλλη</w:t>
      </w:r>
      <w:r w:rsidR="0031090F" w:rsidRPr="00A831E7">
        <w:rPr>
          <w:rFonts w:eastAsia="Calibri"/>
        </w:rPr>
        <w:t xml:space="preserve"> μπορεί να κρατήσει χαμηλό το </w:t>
      </w:r>
      <w:r w:rsidR="0031090F" w:rsidRPr="00A831E7">
        <w:rPr>
          <w:rFonts w:eastAsia="Calibri"/>
          <w:b/>
          <w:bCs/>
        </w:rPr>
        <w:t>κόστος</w:t>
      </w:r>
      <w:r w:rsidR="0031090F" w:rsidRPr="00A831E7">
        <w:rPr>
          <w:rFonts w:eastAsia="Calibri"/>
        </w:rPr>
        <w:t xml:space="preserve">, ωστόσο αν χρειάζονται εξειδικευμένα αντιδραστήρια το κόστος αυξάνεται. Το μεγαλύτερο ζήτημα ωστόσο προκύπτει από τις </w:t>
      </w:r>
      <w:r w:rsidR="0031090F" w:rsidRPr="00A831E7">
        <w:rPr>
          <w:rFonts w:eastAsia="Calibri"/>
          <w:b/>
          <w:bCs/>
        </w:rPr>
        <w:t xml:space="preserve">τιμές ευαισθησίας </w:t>
      </w:r>
      <w:r w:rsidR="0031090F" w:rsidRPr="00A831E7">
        <w:rPr>
          <w:rFonts w:eastAsia="Calibri"/>
        </w:rPr>
        <w:t>και</w:t>
      </w:r>
      <w:r w:rsidR="0031090F" w:rsidRPr="00A831E7">
        <w:rPr>
          <w:rFonts w:eastAsia="Calibri"/>
          <w:b/>
          <w:bCs/>
        </w:rPr>
        <w:t xml:space="preserve"> ειδικότητας</w:t>
      </w:r>
      <w:r w:rsidR="0031090F" w:rsidRPr="00A831E7">
        <w:rPr>
          <w:rFonts w:eastAsia="Calibri"/>
        </w:rPr>
        <w:t xml:space="preserve">. Ειδικά στις έρευνες με </w:t>
      </w:r>
      <w:r w:rsidR="0031090F" w:rsidRPr="00B715B7">
        <w:rPr>
          <w:rFonts w:eastAsia="Calibri"/>
          <w:b/>
          <w:bCs/>
        </w:rPr>
        <w:t>έναν μόνο βιοδείκτη</w:t>
      </w:r>
      <w:r w:rsidR="002A765B">
        <w:rPr>
          <w:rFonts w:eastAsia="Calibri"/>
        </w:rPr>
        <w:t xml:space="preserve"> –</w:t>
      </w:r>
      <w:r w:rsidR="0031090F" w:rsidRPr="00A831E7">
        <w:rPr>
          <w:rFonts w:eastAsia="Calibri"/>
        </w:rPr>
        <w:t xml:space="preserve"> παρ</w:t>
      </w:r>
      <w:r w:rsidR="002A765B">
        <w:rPr>
          <w:rFonts w:eastAsia="Calibri"/>
        </w:rPr>
        <w:t>ά το γεγονός ότι</w:t>
      </w:r>
      <w:r w:rsidR="0031090F" w:rsidRPr="00A831E7">
        <w:rPr>
          <w:rFonts w:eastAsia="Calibri"/>
        </w:rPr>
        <w:t xml:space="preserve"> μπορεί να μετρηθεί πιο γρήγορα</w:t>
      </w:r>
      <w:r w:rsidR="002A765B">
        <w:rPr>
          <w:rFonts w:eastAsia="Calibri"/>
        </w:rPr>
        <w:t xml:space="preserve"> –</w:t>
      </w:r>
      <w:r w:rsidR="0031090F" w:rsidRPr="00A831E7">
        <w:rPr>
          <w:rFonts w:eastAsia="Calibri"/>
        </w:rPr>
        <w:t xml:space="preserve"> παρουσιάζουν χαμηλότερες διαγνωστικές τιμές σε σχέση με ομαδοποίηση</w:t>
      </w:r>
      <w:r w:rsidR="002A765B">
        <w:rPr>
          <w:rFonts w:eastAsia="Calibri"/>
        </w:rPr>
        <w:t xml:space="preserve"> δεικτών</w:t>
      </w:r>
      <w:r w:rsidR="0031090F" w:rsidRPr="00A831E7">
        <w:rPr>
          <w:rFonts w:eastAsia="Calibri"/>
        </w:rPr>
        <w:t xml:space="preserve"> και ενδεχομένη χρήση μηχανικής μάθηση</w:t>
      </w:r>
      <w:r w:rsidR="00B9519A" w:rsidRPr="00A831E7">
        <w:rPr>
          <w:rFonts w:eastAsia="Calibri"/>
        </w:rPr>
        <w:t>ς</w:t>
      </w:r>
      <w:r w:rsidR="0031090F" w:rsidRPr="00A831E7">
        <w:rPr>
          <w:rFonts w:eastAsia="Calibri"/>
        </w:rPr>
        <w:t xml:space="preserve"> ML.   </w:t>
      </w:r>
    </w:p>
    <w:p w14:paraId="42C5C5C8" w14:textId="236D170F" w:rsidR="00EF337C" w:rsidRDefault="00EF337C" w:rsidP="00134CE7">
      <w:pPr>
        <w:spacing w:line="360" w:lineRule="auto"/>
        <w:ind w:firstLine="720"/>
        <w:jc w:val="both"/>
        <w:rPr>
          <w:rFonts w:eastAsia="Calibri"/>
        </w:rPr>
      </w:pPr>
      <w:r w:rsidRPr="00A831E7">
        <w:rPr>
          <w:rFonts w:eastAsia="Calibri"/>
        </w:rPr>
        <w:t xml:space="preserve">Αντίθετα τα εξωκυτταρικά κυστίδια (EVs) παρουσιάζουν </w:t>
      </w:r>
      <w:r w:rsidRPr="00A831E7">
        <w:rPr>
          <w:rFonts w:eastAsia="Calibri"/>
          <w:b/>
          <w:bCs/>
        </w:rPr>
        <w:t xml:space="preserve">υψηλή ευαισθησία </w:t>
      </w:r>
      <w:r w:rsidRPr="00A831E7">
        <w:rPr>
          <w:rFonts w:eastAsia="Calibri"/>
        </w:rPr>
        <w:t xml:space="preserve">και </w:t>
      </w:r>
      <w:r w:rsidRPr="00A831E7">
        <w:rPr>
          <w:rFonts w:eastAsia="Calibri"/>
          <w:b/>
          <w:bCs/>
        </w:rPr>
        <w:t>ειδικότητα</w:t>
      </w:r>
      <w:r w:rsidRPr="00A831E7">
        <w:rPr>
          <w:rFonts w:eastAsia="Calibri"/>
        </w:rPr>
        <w:t xml:space="preserve"> μεταφέροντας αναλλοίωτο </w:t>
      </w:r>
      <w:r w:rsidRPr="00A831E7">
        <w:rPr>
          <w:rFonts w:eastAsia="Calibri"/>
          <w:b/>
          <w:bCs/>
        </w:rPr>
        <w:t>μοριακό φορτίο</w:t>
      </w:r>
      <w:r w:rsidRPr="00A831E7">
        <w:rPr>
          <w:rFonts w:eastAsia="Calibri"/>
        </w:rPr>
        <w:t xml:space="preserve"> (πχ. miRNAs, πρωτεΐνες), που έχει άμεση σχέση με το νευραγγειακό σύστημα (NVU)</w:t>
      </w:r>
      <w:r w:rsidR="007D4BCD" w:rsidRPr="00A831E7">
        <w:rPr>
          <w:rFonts w:eastAsia="Calibri"/>
        </w:rPr>
        <w:t xml:space="preserve">, </w:t>
      </w:r>
      <w:r w:rsidRPr="00A831E7">
        <w:rPr>
          <w:rFonts w:eastAsia="Calibri"/>
        </w:rPr>
        <w:t>προσφέροντας</w:t>
      </w:r>
      <w:r w:rsidR="007D4BCD" w:rsidRPr="00A831E7">
        <w:rPr>
          <w:rFonts w:eastAsia="Calibri"/>
        </w:rPr>
        <w:t xml:space="preserve"> τελικά</w:t>
      </w:r>
      <w:r w:rsidRPr="00A831E7">
        <w:rPr>
          <w:rFonts w:eastAsia="Calibri"/>
        </w:rPr>
        <w:t xml:space="preserve"> </w:t>
      </w:r>
      <w:r w:rsidRPr="00A831E7">
        <w:rPr>
          <w:rFonts w:eastAsia="Calibri"/>
          <w:b/>
          <w:bCs/>
        </w:rPr>
        <w:t>υψηλή ακρίβεια</w:t>
      </w:r>
      <w:r w:rsidRPr="00A831E7">
        <w:rPr>
          <w:rFonts w:eastAsia="Calibri"/>
        </w:rPr>
        <w:t xml:space="preserve"> στην ταξινόμηση εγκεφαλικών επεισοδίων.</w:t>
      </w:r>
      <w:r w:rsidR="007D4BCD" w:rsidRPr="00A831E7">
        <w:rPr>
          <w:b/>
          <w:bCs/>
          <w:lang w:eastAsia="en-US"/>
        </w:rPr>
        <w:t xml:space="preserve"> </w:t>
      </w:r>
      <w:r w:rsidR="007D4BCD" w:rsidRPr="00A831E7">
        <w:rPr>
          <w:rFonts w:eastAsia="Calibri"/>
        </w:rPr>
        <w:t>Ενσωματώνονται εύκολα σε διαγνωστικά πρωτόκολλα που βασίζονται σε βιοδείκτες ενώ έχουν καλύτερες προοπτικές για ομαδοποίηση και</w:t>
      </w:r>
      <w:r w:rsidR="007D4BCD" w:rsidRPr="00A831E7">
        <w:rPr>
          <w:rFonts w:eastAsia="Calibri"/>
          <w:b/>
          <w:bCs/>
        </w:rPr>
        <w:t xml:space="preserve"> ανάλυση με αλγόριθμους ML</w:t>
      </w:r>
      <w:r w:rsidR="007D4BCD" w:rsidRPr="00A831E7">
        <w:rPr>
          <w:rFonts w:eastAsia="Calibri"/>
        </w:rPr>
        <w:t xml:space="preserve">. Ωστόσο, </w:t>
      </w:r>
      <w:r w:rsidR="00771978" w:rsidRPr="00A831E7">
        <w:rPr>
          <w:rFonts w:eastAsia="Calibri"/>
        </w:rPr>
        <w:t xml:space="preserve">τα αξιόπιστα ML μοντέλα χρειάζονται μεγάλες, τυποποιημένες βάσεις δεδομένων EVs ή miRNAs όπως η exRNA-atlas, οι οποίες παραμένουν περιορισμένες </w:t>
      </w:r>
      <w:r w:rsidR="00771978" w:rsidRPr="00A831E7">
        <w:rPr>
          <w:rFonts w:eastAsia="Calibri"/>
        </w:rPr>
        <w:fldChar w:fldCharType="begin"/>
      </w:r>
      <w:r w:rsidR="00771978" w:rsidRPr="00A831E7">
        <w:rPr>
          <w:rFonts w:eastAsia="Calibri"/>
        </w:rPr>
        <w:instrText xml:space="preserve"> ADDIN ZOTERO_ITEM CSL_CITATION {"citationID":"sfQOCLkB","properties":{"formattedCitation":"[10]","plainCitation":"[10]","noteIndex":0},"citationItems":[{"id":1084,"uris":["http://zotero.org/users/local/mfHf28QG/items/UDN8SAAT"],"itemData":{"id":1084,"type":"article-journal","abstract":"Rapid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Van"}],"issued":{"date-parts":[["2020",1,24]]}}}],"schema":"https://github.com/citation-style-language/schema/raw/master/csl-citation.json"} </w:instrText>
      </w:r>
      <w:r w:rsidR="00771978" w:rsidRPr="00A831E7">
        <w:rPr>
          <w:rFonts w:eastAsia="Calibri"/>
        </w:rPr>
        <w:fldChar w:fldCharType="separate"/>
      </w:r>
      <w:r w:rsidR="00771978" w:rsidRPr="00A831E7">
        <w:rPr>
          <w:rFonts w:eastAsia="Calibri"/>
        </w:rPr>
        <w:t>[10]</w:t>
      </w:r>
      <w:r w:rsidR="00771978" w:rsidRPr="00A831E7">
        <w:rPr>
          <w:rFonts w:eastAsia="Calibri"/>
        </w:rPr>
        <w:fldChar w:fldCharType="end"/>
      </w:r>
      <w:r w:rsidR="00771978" w:rsidRPr="00A831E7">
        <w:rPr>
          <w:rFonts w:eastAsia="Calibri"/>
        </w:rPr>
        <w:t>.</w:t>
      </w:r>
      <w:r w:rsidR="002A765B">
        <w:rPr>
          <w:rFonts w:eastAsia="Calibri"/>
        </w:rPr>
        <w:t xml:space="preserve"> Παρά την ταχύτητα επεξεργασίας των </w:t>
      </w:r>
      <w:r w:rsidR="002A765B">
        <w:rPr>
          <w:rFonts w:eastAsia="Calibri"/>
          <w:lang w:val="en-US"/>
        </w:rPr>
        <w:t>ML</w:t>
      </w:r>
      <w:r w:rsidR="002A765B" w:rsidRPr="002A765B">
        <w:rPr>
          <w:rFonts w:eastAsia="Calibri"/>
        </w:rPr>
        <w:t xml:space="preserve"> </w:t>
      </w:r>
      <w:r w:rsidR="002A765B">
        <w:rPr>
          <w:rFonts w:eastAsia="Calibri"/>
        </w:rPr>
        <w:t xml:space="preserve">μοντέλων, σε μια </w:t>
      </w:r>
      <w:r w:rsidR="002A765B">
        <w:rPr>
          <w:rFonts w:eastAsia="Calibri"/>
          <w:lang w:val="en-US"/>
        </w:rPr>
        <w:t>PoC</w:t>
      </w:r>
      <w:r w:rsidR="002A765B" w:rsidRPr="002A765B">
        <w:rPr>
          <w:rFonts w:eastAsia="Calibri"/>
        </w:rPr>
        <w:t xml:space="preserve"> </w:t>
      </w:r>
      <w:r w:rsidR="002A765B">
        <w:rPr>
          <w:rFonts w:eastAsia="Calibri"/>
        </w:rPr>
        <w:t xml:space="preserve">υλοποίηση θα προέκυπταν σημαντικές </w:t>
      </w:r>
      <w:r w:rsidR="002A765B" w:rsidRPr="002A765B">
        <w:rPr>
          <w:rFonts w:eastAsia="Calibri"/>
          <w:b/>
          <w:bCs/>
        </w:rPr>
        <w:t>καθυστερήσεις</w:t>
      </w:r>
      <w:r w:rsidR="002A765B">
        <w:rPr>
          <w:rFonts w:eastAsia="Calibri"/>
        </w:rPr>
        <w:t xml:space="preserve"> λόγω των χρονοβόρων διαδικασιών που χρειάζονται για την </w:t>
      </w:r>
      <w:r w:rsidR="002A765B" w:rsidRPr="002A765B">
        <w:rPr>
          <w:rFonts w:eastAsia="Calibri"/>
          <w:b/>
          <w:bCs/>
        </w:rPr>
        <w:t>προετοιμασία</w:t>
      </w:r>
      <w:r w:rsidR="002A765B">
        <w:rPr>
          <w:rFonts w:eastAsia="Calibri"/>
        </w:rPr>
        <w:t xml:space="preserve"> των δειγμάτων από εξωκυτταρικά κυστίδια (</w:t>
      </w:r>
      <w:r w:rsidR="002A765B">
        <w:rPr>
          <w:rFonts w:eastAsia="Calibri"/>
          <w:lang w:val="en-US"/>
        </w:rPr>
        <w:t>EVs</w:t>
      </w:r>
      <w:r w:rsidR="002A765B">
        <w:rPr>
          <w:rFonts w:eastAsia="Calibri"/>
        </w:rPr>
        <w:t xml:space="preserve">). </w:t>
      </w:r>
    </w:p>
    <w:p w14:paraId="3BFE5BC5" w14:textId="77777777" w:rsidR="00B715B7" w:rsidRPr="002A765B" w:rsidRDefault="00B715B7" w:rsidP="00B715B7">
      <w:pPr>
        <w:spacing w:line="360" w:lineRule="auto"/>
        <w:jc w:val="both"/>
        <w:rPr>
          <w:rFonts w:eastAsia="Calibri"/>
        </w:rPr>
      </w:pPr>
    </w:p>
    <w:p w14:paraId="7B46370D" w14:textId="2E2DF110" w:rsidR="002F57BD" w:rsidRPr="008F5904" w:rsidRDefault="002F57BD" w:rsidP="008F5904">
      <w:pPr>
        <w:pStyle w:val="4"/>
        <w:spacing w:line="360" w:lineRule="auto"/>
        <w:rPr>
          <w:b w:val="0"/>
        </w:rPr>
      </w:pPr>
      <w:r w:rsidRPr="008F5904">
        <w:t>Προτάσεις</w:t>
      </w:r>
    </w:p>
    <w:p w14:paraId="0F5D7683" w14:textId="08F72505" w:rsidR="002F57BD" w:rsidRPr="00A831E7" w:rsidRDefault="002F57BD" w:rsidP="00134CE7">
      <w:pPr>
        <w:spacing w:line="360" w:lineRule="auto"/>
        <w:ind w:firstLine="720"/>
        <w:jc w:val="both"/>
        <w:rPr>
          <w:rFonts w:eastAsia="Calibri"/>
        </w:rPr>
      </w:pPr>
      <w:r w:rsidRPr="00A831E7">
        <w:rPr>
          <w:rFonts w:eastAsia="Calibri"/>
        </w:rPr>
        <w:t xml:space="preserve">Οι νεότερες εξελίξεις στη διάγνωση εγκεφαλικού με βιοδείκτες, επικεντρώνονται στη βελτίωση της ευαισθησίας και της ειδικότητας με την ανάπτυξη </w:t>
      </w:r>
      <w:r w:rsidRPr="00C02F94">
        <w:rPr>
          <w:rFonts w:eastAsia="Calibri"/>
          <w:b/>
          <w:bCs/>
        </w:rPr>
        <w:t>πολυ-βιοδεικτικών πάνελ</w:t>
      </w:r>
      <w:r w:rsidRPr="00A831E7">
        <w:rPr>
          <w:rFonts w:eastAsia="Calibri"/>
        </w:rPr>
        <w:t xml:space="preserve">, τα οποία επιτρέπουν </w:t>
      </w:r>
      <w:r w:rsidRPr="00C02F94">
        <w:rPr>
          <w:rFonts w:eastAsia="Calibri"/>
          <w:b/>
          <w:bCs/>
        </w:rPr>
        <w:t>ακριβέστερη διαφοροποίηση</w:t>
      </w:r>
      <w:r w:rsidRPr="00A831E7">
        <w:rPr>
          <w:rFonts w:eastAsia="Calibri"/>
        </w:rPr>
        <w:t xml:space="preserve"> μεταξύ ισχαιμικών και αιμορραγικών εγκεφαλικών επεισοδίων </w:t>
      </w:r>
      <w:r w:rsidRPr="00A831E7">
        <w:rPr>
          <w:rFonts w:eastAsia="Calibri"/>
        </w:rPr>
        <w:fldChar w:fldCharType="begin"/>
      </w:r>
      <w:r w:rsidRPr="00A831E7">
        <w:rPr>
          <w:rFonts w:eastAsia="Calibri"/>
        </w:rPr>
        <w:instrText xml:space="preserve"> ADDIN ZOTERO_ITEM CSL_CITATION {"citationID":"BMW64WAj","properties":{"formattedCitation":"[75]","plainCitation":"[75]","noteIndex":0},"citationItems":[{"id":298,"uris":["http://zotero.org/users/local/mfHf28QG/items/5V7SWQNA"],"itemData":{"id":298,"type":"article-journal","abstract":"Intracerebral hemorrhage (ICH) is a severe stroke subtype with high morbidity, disability, and mortality rates. Currently, no biomarkers for ICH are available for use in clinical practice. We aimed to explore the roles of RNAs in ICH pathogenesis ...","container-title":"Frontiers in Immunology","DOI":"10.3389/fimmu.2024.1421942","language":"en","note":"PMID: 39281688","page":"1421942","source":"pmc.ncbi.nlm.nih.gov","title":"Identification of immune-related biomarkers for intracerebral hemorrhage diagnosis based on RNA sequencing and machine learning","volume":"15","author":[{"family":"Bai","given":"Congxia"},{"family":"Liu","given":"Xinran"},{"family":"Wang","given":"Fengjuan"},{"family":"Sun","given":"Yingying"},{"family":"Wang","given":"Jing"},{"family":"Liu","given":"Jing"},{"family":"Hao","given":"Xiaoyan"},{"family":"Zhou","given":"Lei"},{"family":"Yuan","given":"Yu"},{"family":"Liu","given":"Jiayun"}],"issued":{"date-parts":[["2024",8,30]]}}}],"schema":"https://github.com/citation-style-language/schema/raw/master/csl-citation.json"} </w:instrText>
      </w:r>
      <w:r w:rsidRPr="00A831E7">
        <w:rPr>
          <w:rFonts w:eastAsia="Calibri"/>
        </w:rPr>
        <w:fldChar w:fldCharType="separate"/>
      </w:r>
      <w:r w:rsidRPr="00A831E7">
        <w:rPr>
          <w:rFonts w:eastAsia="Calibri"/>
        </w:rPr>
        <w:t>[75]</w:t>
      </w:r>
      <w:r w:rsidRPr="00A831E7">
        <w:rPr>
          <w:rFonts w:eastAsia="Calibri"/>
        </w:rPr>
        <w:fldChar w:fldCharType="end"/>
      </w:r>
      <w:r w:rsidRPr="00A831E7">
        <w:rPr>
          <w:rFonts w:eastAsia="Calibri"/>
        </w:rPr>
        <w:t>. Παράλληλα, η ενσωμάτωση αλγορίθμων μηχανικής μάθησης (</w:t>
      </w:r>
      <w:r w:rsidRPr="00C02F94">
        <w:rPr>
          <w:rFonts w:eastAsia="Calibri"/>
          <w:b/>
          <w:bCs/>
        </w:rPr>
        <w:t>ML</w:t>
      </w:r>
      <w:r w:rsidRPr="00A831E7">
        <w:rPr>
          <w:rFonts w:eastAsia="Calibri"/>
        </w:rPr>
        <w:t xml:space="preserve">) βελτιώνει την αναγνώριση μοριακών </w:t>
      </w:r>
      <w:r w:rsidR="00605F8C" w:rsidRPr="00C02F94">
        <w:rPr>
          <w:rFonts w:eastAsia="Calibri"/>
          <w:b/>
          <w:bCs/>
        </w:rPr>
        <w:t>μοτίβων</w:t>
      </w:r>
      <w:r w:rsidRPr="00A831E7">
        <w:rPr>
          <w:rFonts w:eastAsia="Calibri"/>
        </w:rPr>
        <w:t xml:space="preserve">, ενισχύοντας την </w:t>
      </w:r>
      <w:r w:rsidRPr="00C02F94">
        <w:rPr>
          <w:rFonts w:eastAsia="Calibri"/>
          <w:b/>
          <w:bCs/>
        </w:rPr>
        <w:t>αξιοπιστία</w:t>
      </w:r>
      <w:r w:rsidRPr="00A831E7">
        <w:rPr>
          <w:rFonts w:eastAsia="Calibri"/>
        </w:rPr>
        <w:t xml:space="preserve"> της διάγνωσης. Για την πρακτική </w:t>
      </w:r>
      <w:r w:rsidRPr="00A831E7">
        <w:rPr>
          <w:rFonts w:eastAsia="Calibri"/>
        </w:rPr>
        <w:lastRenderedPageBreak/>
        <w:t xml:space="preserve">εφαρμογή τους στην κλινική πράξη, οι βιοδείκτες πρέπει να ενσωματωθούν σε φορητούς βιοαισθητήρες ή συσκευές </w:t>
      </w:r>
      <w:r w:rsidRPr="00C02F94">
        <w:rPr>
          <w:rFonts w:eastAsia="Calibri"/>
          <w:b/>
          <w:bCs/>
        </w:rPr>
        <w:t>lab-on-a-chip</w:t>
      </w:r>
      <w:r w:rsidRPr="00C02F94">
        <w:rPr>
          <w:rFonts w:eastAsia="Calibri"/>
        </w:rPr>
        <w:t>,</w:t>
      </w:r>
      <w:r w:rsidRPr="00A831E7">
        <w:rPr>
          <w:rFonts w:eastAsia="Calibri"/>
        </w:rPr>
        <w:t xml:space="preserve"> προσφέροντας ταχεία «bedside» εξέταση </w:t>
      </w:r>
      <w:r w:rsidR="00605F8C" w:rsidRPr="00A831E7">
        <w:rPr>
          <w:rFonts w:eastAsia="Calibri"/>
        </w:rPr>
        <w:t xml:space="preserve">όπως το SRP-chip  στη μελέτη Harpaz </w:t>
      </w:r>
      <w:r w:rsidR="00605F8C" w:rsidRPr="00A831E7">
        <w:rPr>
          <w:rFonts w:eastAsia="Calibri"/>
          <w:i/>
          <w:iCs/>
        </w:rPr>
        <w:t>et al.</w:t>
      </w:r>
      <w:r w:rsidR="00605F8C" w:rsidRPr="00A831E7">
        <w:rPr>
          <w:rFonts w:eastAsia="Calibri"/>
        </w:rPr>
        <w:t xml:space="preserve"> </w:t>
      </w:r>
      <w:r w:rsidR="00605F8C" w:rsidRPr="00A831E7">
        <w:rPr>
          <w:rFonts w:eastAsia="Calibri"/>
        </w:rPr>
        <w:fldChar w:fldCharType="begin"/>
      </w:r>
      <w:r w:rsidR="00605F8C" w:rsidRPr="00A831E7">
        <w:rPr>
          <w:rFonts w:eastAsia="Calibri"/>
        </w:rPr>
        <w:instrText xml:space="preserve"> ADDIN ZOTERO_ITEM CSL_CITATION {"citationID":"Tbe0B6fj","properties":{"formattedCitation":"[64]","plainCitation":"[64]","noteIndex":0},"citationItems":[{"id":355,"uris":["http://zotero.org/users/local/mfHf28QG/items/ZGPB4CMC"],"itemData":{"id":355,"type":"article-journal","abstract":"Surface-plasmon-resonance (SPR) is a quantum-electromagnetic phenomenon arising from the interaction of light with free electrons at a metal-dielectric interface. At a specific angle/wavelength of light, the photon’s energy is transferred to excite ...","container-title":"Sensors (Basel, Switzerland)","DOI":"10.3390/s19112533","issue":"11","language":"en","note":"PMID: 31163612","page":"2533","source":"pmc.ncbi.nlm.nih.gov","title":"Point-of-Care Surface Plasmon Resonance Biosensor for Stroke Biomarkers NT-proBNP and S100β Using a Functionalized Gold Chip with Specific Antibody","volume":"19","author":[{"family":"Harpaz","given":"Dorin"},{"family":"Koh","given":"Brescia"},{"family":"Marks","given":"Robert S."},{"family":"Seet","given":"Raymond CS"},{"family":"Abdulhalim","given":"Ibrahim"},{"family":"Tok","given":"Alfred IY"}],"issued":{"date-parts":[["2019",6,3]]}}}],"schema":"https://github.com/citation-style-language/schema/raw/master/csl-citation.json"} </w:instrText>
      </w:r>
      <w:r w:rsidR="00605F8C" w:rsidRPr="00A831E7">
        <w:rPr>
          <w:rFonts w:eastAsia="Calibri"/>
        </w:rPr>
        <w:fldChar w:fldCharType="separate"/>
      </w:r>
      <w:r w:rsidR="00605F8C" w:rsidRPr="00A831E7">
        <w:rPr>
          <w:rFonts w:eastAsia="Calibri"/>
        </w:rPr>
        <w:t>[64]</w:t>
      </w:r>
      <w:r w:rsidR="00605F8C" w:rsidRPr="00A831E7">
        <w:rPr>
          <w:rFonts w:eastAsia="Calibri"/>
        </w:rPr>
        <w:fldChar w:fldCharType="end"/>
      </w:r>
      <w:r w:rsidRPr="00A831E7">
        <w:rPr>
          <w:rFonts w:eastAsia="Calibri"/>
        </w:rPr>
        <w:t xml:space="preserve">. </w:t>
      </w:r>
    </w:p>
    <w:p w14:paraId="17A7A26F" w14:textId="0BAE23D0" w:rsidR="001D2FE3" w:rsidRPr="00A831E7" w:rsidRDefault="002F57BD" w:rsidP="00134CE7">
      <w:pPr>
        <w:spacing w:line="360" w:lineRule="auto"/>
        <w:ind w:firstLine="720"/>
        <w:jc w:val="both"/>
        <w:rPr>
          <w:rFonts w:eastAsia="Calibri"/>
        </w:rPr>
      </w:pPr>
      <w:r w:rsidRPr="00A831E7">
        <w:rPr>
          <w:rFonts w:eastAsia="Calibri"/>
        </w:rPr>
        <w:t xml:space="preserve">Αντίστοιχα, η </w:t>
      </w:r>
      <w:r w:rsidRPr="00A831E7">
        <w:rPr>
          <w:rFonts w:eastAsia="Calibri"/>
          <w:b/>
          <w:bCs/>
        </w:rPr>
        <w:t xml:space="preserve">βελτιστοποίηση </w:t>
      </w:r>
      <w:r w:rsidRPr="00A831E7">
        <w:rPr>
          <w:rFonts w:eastAsia="Calibri"/>
        </w:rPr>
        <w:t>της</w:t>
      </w:r>
      <w:r w:rsidRPr="00A831E7">
        <w:rPr>
          <w:rFonts w:eastAsia="Calibri"/>
          <w:b/>
          <w:bCs/>
        </w:rPr>
        <w:t xml:space="preserve"> επεξεργασίας</w:t>
      </w:r>
      <w:r w:rsidRPr="00A831E7">
        <w:rPr>
          <w:rFonts w:eastAsia="Calibri"/>
        </w:rPr>
        <w:t xml:space="preserve"> </w:t>
      </w:r>
      <w:r w:rsidR="00DB30F9" w:rsidRPr="00A831E7">
        <w:rPr>
          <w:rFonts w:eastAsia="Calibri"/>
        </w:rPr>
        <w:t>εξωκυτταρι</w:t>
      </w:r>
      <w:r w:rsidR="00DB30F9">
        <w:rPr>
          <w:rFonts w:eastAsia="Calibri"/>
        </w:rPr>
        <w:t>κ</w:t>
      </w:r>
      <w:r w:rsidR="00DB30F9" w:rsidRPr="00A831E7">
        <w:rPr>
          <w:rFonts w:eastAsia="Calibri"/>
        </w:rPr>
        <w:t>ών</w:t>
      </w:r>
      <w:r w:rsidRPr="00A831E7">
        <w:rPr>
          <w:rFonts w:eastAsia="Calibri"/>
        </w:rPr>
        <w:t xml:space="preserve"> κυστιδίων (</w:t>
      </w:r>
      <w:r w:rsidRPr="00A831E7">
        <w:rPr>
          <w:rFonts w:eastAsia="Calibri"/>
          <w:b/>
          <w:bCs/>
        </w:rPr>
        <w:t>EVs</w:t>
      </w:r>
      <w:r w:rsidRPr="00A831E7">
        <w:rPr>
          <w:rFonts w:eastAsia="Calibri"/>
        </w:rPr>
        <w:t xml:space="preserve">) αποτελεί κρίσιμο στόχο για τη βελτίωση των PoC εφαρμογών, ώστε να επιταχυνθεί η ανάλυση δειγμάτων σε διαγνωστικές εφαρμογές. </w:t>
      </w:r>
      <w:r w:rsidR="00605F8C" w:rsidRPr="00A831E7">
        <w:rPr>
          <w:rFonts w:eastAsia="Calibri"/>
        </w:rPr>
        <w:t>Μέχρι σήμερα το μεγαλύτερο εμπόδιο στην αξιοποίηση των EVs σε PoC εφαρμογές είναι οι χρονικοί περιορισμοί γύρω από την επεξεργασία αυτών. Οι πρόσφατες εξελίξεις σε μελέτες</w:t>
      </w:r>
      <w:r w:rsidR="008E382E">
        <w:rPr>
          <w:rFonts w:eastAsia="Calibri"/>
        </w:rPr>
        <w:t xml:space="preserve"> μικρορευστομηχανικής (</w:t>
      </w:r>
      <w:r w:rsidR="008E382E" w:rsidRPr="00A831E7">
        <w:rPr>
          <w:rFonts w:eastAsia="Calibri"/>
          <w:b/>
          <w:bCs/>
        </w:rPr>
        <w:t>microfluidics</w:t>
      </w:r>
      <w:r w:rsidR="008E382E" w:rsidRPr="008E382E">
        <w:rPr>
          <w:rFonts w:eastAsia="Calibri"/>
        </w:rPr>
        <w:t>)</w:t>
      </w:r>
      <w:r w:rsidR="00605F8C" w:rsidRPr="00A831E7">
        <w:rPr>
          <w:rFonts w:eastAsia="Calibri"/>
        </w:rPr>
        <w:t xml:space="preserve">, έχουν αναδείξει μεθόδους που θα μπορούσαν να </w:t>
      </w:r>
      <w:r w:rsidR="00605F8C" w:rsidRPr="00A831E7">
        <w:rPr>
          <w:rFonts w:eastAsia="Calibri"/>
          <w:b/>
          <w:bCs/>
        </w:rPr>
        <w:t>αυτοματοποιήσουν</w:t>
      </w:r>
      <w:r w:rsidR="00605F8C" w:rsidRPr="00A831E7">
        <w:rPr>
          <w:rFonts w:eastAsia="Calibri"/>
        </w:rPr>
        <w:t xml:space="preserve"> την </w:t>
      </w:r>
      <w:r w:rsidR="00605F8C" w:rsidRPr="00A831E7">
        <w:rPr>
          <w:rFonts w:eastAsia="Calibri"/>
          <w:b/>
          <w:bCs/>
        </w:rPr>
        <w:t>απομόνωση</w:t>
      </w:r>
      <w:r w:rsidR="00605F8C" w:rsidRPr="00A831E7">
        <w:rPr>
          <w:rFonts w:eastAsia="Calibri"/>
        </w:rPr>
        <w:t xml:space="preserve"> των EVs και να μειώσουν τον χρόνο που απαιτεί η διαδικασία </w:t>
      </w:r>
      <w:r w:rsidR="00605F8C" w:rsidRPr="00A831E7">
        <w:rPr>
          <w:rFonts w:eastAsia="Calibri"/>
        </w:rPr>
        <w:fldChar w:fldCharType="begin"/>
      </w:r>
      <w:r w:rsidR="00732373">
        <w:rPr>
          <w:rFonts w:eastAsia="Calibri"/>
        </w:rPr>
        <w:instrText xml:space="preserve"> ADDIN ZOTERO_ITEM CSL_CITATION {"citationID":"X2HIIGyW","properties":{"formattedCitation":"[120], [121]","plainCitation":"[120], [121]","noteIndex":0},"citationItems":[{"id":1062,"uris":["http://zotero.org/users/local/mfHf28QG/items/VLMIPA5T"],"itemData":{"id":1062,"type":"article-journal","abstract":"Exosomes are nanoscale extracellular vesicles that play an important role in many biological processes, including intercellular communications, antigen presentation, and the transport of proteins, RNA, and other molecules. Recently there has been significant interest in exosome-related fundamental research, seeking new exosome-based biomarkers for health monitoring and disease diagnoses. Here, we report a separation method based on acoustofluidics (i.e., the integration of acoustics and microfluidics) to isolate exosomes directly from whole blood in a label-free and contact-free manner. This acoustofluidic platform consists of two modules: a microscale cell-removal module that first removes larger blood components, followed by extracellular vesicle subgroup separation in the exosome-isolation module. In the cell-removal module, we demonstrate the isolation of 110-nm particles from a mixture of micro- and nanosized particles with a yield greater than 99%. In the exosome-isolation module, we isolate exosomes from an extracellular vesicle mixture with a purity of 98.4%. Integrating the two acoustofluidic modules onto a single chip, we isolated exosomes from whole blood with a blood cell removal rate of over 99.999%. With its ability to perform rapid, biocompatible, label-free, contact-free, and continuous-flow exosome isolation, the integrated acoustofluidic device offers a unique approach to investigate the role of exosomes in the onset and progression of human diseases with potential applications in health monitoring, medical diagnosis, targeted drug delivery, and personalized medicine.","container-title":"Proceedings of the National Academy of Sciences","DOI":"10.1073/pnas.1709210114","issue":"40","note":"publisher: Proceedings of the National Academy of Sciences","page":"10584-10589","source":"pnas.org (Atypon)","title":"Isolation of exosomes from whole blood by integrating acoustics and microfluidics","volume":"114","author":[{"family":"Wu","given":"Mengxi"},{"family":"Ouyang","given":"Yingshi"},{"family":"Wang","given":"Zeyu"},{"family":"Zhang","given":"Rui"},{"family":"Huang","given":"Po-Hsun"},{"family":"Chen","given":"Chuyi"},{"family":"Li","given":"Hui"},{"family":"Li","given":"Peng"},{"family":"Quinn","given":"David"},{"family":"Dao","given":"Ming"},{"family":"Suresh","given":"Subra"},{"family":"Sadovsky","given":"Yoel"},{"family":"Huang","given":"Tony Jun"}],"issued":{"date-parts":[["2017",10,3]]}}},{"id":1856,"uris":["http://zotero.org/users/local/mfHf28QG/items/W87U75D9"],"itemData":{"id":1856,"type":"article-journal","abstract":"There is a great need for techniques which enable reproducible separation of extracellular vesicles (EVs) from biofluids with high recovery, purity and throughput. The development of new techniques for isolation of EVs from minute sample volumes is instrumental in enabling EV-based biomarker profiling in large biobank cohorts and paves the way to improved diagnostic profiles in precision medicine. Recent advances in microfluidics-based devices offer a toolbox for separating EVs from small sample volumes. Microfluidic devices that have been used in EV isolation utilise different fundamental principles and rely largely on benefits of scaling laws as the biofluid processing is miniaturised to chip level. Here, we review the progress in the practicality and performance of both passive devices (such as mechanical filtering and hydrodynamic focusing) and active devices (using magnetic, electric or acoustic fields). As it stands, many microfluidic devices isolate intact EV populations at higher purities than centrifugation, precipitation or size-exclusion chromatography. However, this comes at a cost. We address challenges (in particular low throughput, clogging risks and ability to process biofluids) and highlight the need for more improvements in microfluidic devices. Finally, we conclude that there is a need to refine and standardise these lab-on-a-chip techniques to meet the growing interest in the diagnostic and therapeutic value of purified EVs.","container-title":"Analytical and Bioanalytical Chemistry","DOI":"10.1007/s00216-022-04362-3","ISSN":"1618-2650","issue":"7","journalAbbreviation":"Anal Bioanal Chem","language":"en","page":"1265-1285","source":"Springer Link","title":"Advancement and obstacles in microfluidics-based isolation of extracellular vesicles","volume":"415","author":[{"family":"Havers","given":"Megan"},{"family":"Broman","given":"Axel"},{"family":"Lenshof","given":"Andreas"},{"family":"Laurell","given":"Thomas"}],"issued":{"date-parts":[["2023",3,1]]}}}],"schema":"https://github.com/citation-style-language/schema/raw/master/csl-citation.json"} </w:instrText>
      </w:r>
      <w:r w:rsidR="00605F8C" w:rsidRPr="00A831E7">
        <w:rPr>
          <w:rFonts w:eastAsia="Calibri"/>
        </w:rPr>
        <w:fldChar w:fldCharType="separate"/>
      </w:r>
      <w:r w:rsidR="00732373" w:rsidRPr="00732373">
        <w:rPr>
          <w:rFonts w:eastAsia="Calibri"/>
        </w:rPr>
        <w:t>[120], [121]</w:t>
      </w:r>
      <w:r w:rsidR="00605F8C" w:rsidRPr="00A831E7">
        <w:rPr>
          <w:rFonts w:eastAsia="Calibri"/>
        </w:rPr>
        <w:fldChar w:fldCharType="end"/>
      </w:r>
      <w:r w:rsidR="00605F8C" w:rsidRPr="00A831E7">
        <w:rPr>
          <w:rFonts w:eastAsia="Calibri"/>
        </w:rPr>
        <w:t xml:space="preserve">. Τέτοιες εφαρμογές </w:t>
      </w:r>
      <w:r w:rsidR="00C02F94">
        <w:rPr>
          <w:rFonts w:eastAsia="Calibri"/>
        </w:rPr>
        <w:t>προσφέρουν</w:t>
      </w:r>
      <w:r w:rsidRPr="00A831E7">
        <w:rPr>
          <w:rFonts w:eastAsia="Calibri"/>
        </w:rPr>
        <w:t xml:space="preserve"> τ</w:t>
      </w:r>
      <w:r w:rsidR="00C02F94">
        <w:rPr>
          <w:rFonts w:eastAsia="Calibri"/>
        </w:rPr>
        <w:t>αχύτητα στην</w:t>
      </w:r>
      <w:r w:rsidRPr="00A831E7">
        <w:rPr>
          <w:rFonts w:eastAsia="Calibri"/>
          <w:b/>
          <w:bCs/>
        </w:rPr>
        <w:t xml:space="preserve"> </w:t>
      </w:r>
      <w:r w:rsidRPr="00A831E7">
        <w:rPr>
          <w:rFonts w:eastAsia="Calibri"/>
        </w:rPr>
        <w:t>απομόνωση και</w:t>
      </w:r>
      <w:r w:rsidR="00C02F94">
        <w:rPr>
          <w:rFonts w:eastAsia="Calibri"/>
        </w:rPr>
        <w:t xml:space="preserve"> στον </w:t>
      </w:r>
      <w:r w:rsidRPr="00A831E7">
        <w:rPr>
          <w:rFonts w:eastAsia="Calibri"/>
        </w:rPr>
        <w:t xml:space="preserve">χαρακτηρισμό </w:t>
      </w:r>
      <w:r w:rsidR="00605F8C" w:rsidRPr="00A831E7">
        <w:rPr>
          <w:rFonts w:eastAsia="Calibri"/>
        </w:rPr>
        <w:t xml:space="preserve">των </w:t>
      </w:r>
      <w:r w:rsidRPr="00A831E7">
        <w:rPr>
          <w:rFonts w:eastAsia="Calibri"/>
        </w:rPr>
        <w:t xml:space="preserve">EVs, μειώνοντας τον χρόνο επεξεργασίας συγκριτικά με παραδοσιακές τεχνικές </w:t>
      </w:r>
      <w:r w:rsidR="00605F8C" w:rsidRPr="00A831E7">
        <w:rPr>
          <w:rFonts w:eastAsia="Calibri"/>
        </w:rPr>
        <w:fldChar w:fldCharType="begin"/>
      </w:r>
      <w:r w:rsidR="00B61252">
        <w:rPr>
          <w:rFonts w:eastAsia="Calibri"/>
        </w:rPr>
        <w:instrText xml:space="preserve"> ADDIN ZOTERO_ITEM CSL_CITATION {"citationID":"13rLj1OB","properties":{"formattedCitation":"[10], [101], [120]","plainCitation":"[10], [101], [120]","noteIndex":0},"citationItems":[{"id":1084,"uris":["http://zotero.org/users/local/mfHf28QG/items/UDN8SAAT"],"itemData":{"id":1084,"type":"article-journal","abstract":"Rapid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S."}],"issued":{"date-parts":[["2024",6,12]]}}},{"id":1062,"uris":["http://zotero.org/users/local/mfHf28QG/items/VLMIPA5T"],"itemData":{"id":1062,"type":"article-journal","abstract":"Exosomes are nanoscale extracellular vesicles that play an important role in many biological processes, including intercellular communications, antigen presentation, and the transport of proteins, RNA, and other molecules. Recently there has been significant interest in exosome-related fundamental research, seeking new exosome-based biomarkers for health monitoring and disease diagnoses. Here, we report a separation method based on acoustofluidics (i.e., the integration of acoustics and microfluidics) to isolate exosomes directly from whole blood in a label-free and contact-free manner. This acoustofluidic platform consists of two modules: a microscale cell-removal module that first removes larger blood components, followed by extracellular vesicle subgroup separation in the exosome-isolation module. In the cell-removal module, we demonstrate the isolation of 110-nm particles from a mixture of micro- and nanosized particles with a yield greater than 99%. In the exosome-isolation module, we isolate exosomes from an extracellular vesicle mixture with a purity of 98.4%. Integrating the two acoustofluidic modules onto a single chip, we isolated exosomes from whole blood with a blood cell removal rate of over 99.999%. With its ability to perform rapid, biocompatible, label-free, contact-free, and continuous-flow exosome isolation, the integrated acoustofluidic device offers a unique approach to investigate the role of exosomes in the onset and progression of human diseases with potential applications in health monitoring, medical diagnosis, targeted drug delivery, and personalized medicine.","container-title":"Proceedings of the National Academy of Sciences","DOI":"10.1073/pnas.1709210114","issue":"40","note":"publisher: Proceedings of the National Academy of Sciences","page":"10584-10589","source":"pnas.org (Atypon)","title":"Isolation of exosomes from whole blood by integrating acoustics and microfluidics","volume":"114","author":[{"family":"Wu","given":"Mengxi"},{"family":"Ouyang","given":"Yingshi"},{"family":"Wang","given":"Zeyu"},{"family":"Zhang","given":"Rui"},{"family":"Huang","given":"Po-Hsun"},{"family":"Chen","given":"Chuyi"},{"family":"Li","given":"Hui"},{"family":"Li","given":"Peng"},{"family":"Quinn","given":"David"},{"family":"Dao","given":"Ming"},{"family":"Suresh","given":"Subra"},{"family":"Sadovsky","given":"Yoel"},{"family":"Huang","given":"Tony Jun"}],"issued":{"date-parts":[["2017",10,3]]}}}],"schema":"https://github.com/citation-style-language/schema/raw/master/csl-citation.json"} </w:instrText>
      </w:r>
      <w:r w:rsidR="00605F8C" w:rsidRPr="00A831E7">
        <w:rPr>
          <w:rFonts w:eastAsia="Calibri"/>
        </w:rPr>
        <w:fldChar w:fldCharType="separate"/>
      </w:r>
      <w:r w:rsidR="00B61252" w:rsidRPr="00B61252">
        <w:rPr>
          <w:rFonts w:eastAsia="Calibri"/>
        </w:rPr>
        <w:t>[10], [101], [120]</w:t>
      </w:r>
      <w:r w:rsidR="00605F8C" w:rsidRPr="00A831E7">
        <w:rPr>
          <w:rFonts w:eastAsia="Calibri"/>
        </w:rPr>
        <w:fldChar w:fldCharType="end"/>
      </w:r>
      <w:r w:rsidRPr="00A831E7">
        <w:rPr>
          <w:rFonts w:eastAsia="Calibri"/>
        </w:rPr>
        <w:t>. Αυτές οι τεχνολογικές βελτιώσεις θα συμβάλουν καθοριστικά στην ευρεία υιοθέτηση EVs στη</w:t>
      </w:r>
      <w:r w:rsidR="001D2FE3" w:rsidRPr="00A831E7">
        <w:rPr>
          <w:rFonts w:eastAsia="Calibri"/>
        </w:rPr>
        <w:t>ν point-of-care</w:t>
      </w:r>
      <w:r w:rsidRPr="00A831E7">
        <w:rPr>
          <w:rFonts w:eastAsia="Calibri"/>
        </w:rPr>
        <w:t xml:space="preserve"> διάγνωση εγκεφαλικών επεισοδίων, ενισχύοντας τη διαγνωστική ακρίβεια και την πρόσβαση σε γρήγορες, ελάχιστα επεμβατικές μεθόδους.</w:t>
      </w:r>
    </w:p>
    <w:p w14:paraId="69839D8F" w14:textId="72C73446" w:rsidR="00B07E2B" w:rsidRDefault="001D2FE3" w:rsidP="00134CE7">
      <w:pPr>
        <w:spacing w:line="360" w:lineRule="auto"/>
        <w:jc w:val="both"/>
        <w:rPr>
          <w:rFonts w:eastAsia="Calibri"/>
        </w:rPr>
      </w:pPr>
      <w:r w:rsidRPr="00A831E7">
        <w:rPr>
          <w:rFonts w:eastAsia="Calibri"/>
        </w:rPr>
        <w:tab/>
        <w:t xml:space="preserve">Συνοψίζοντας, οι πρόσφατες εξελίξεις στη χρήση βιοδεικτών και εξωκυτταρικών κυστιδίων (EVs) για τη διάγνωση εγκεφαλικού επεισοδίου έχουν ανοίξει νέους δρόμους για ταχύτερη και ακριβέστερη αξιολόγηση των ασθενών, ειδικά σε προνοσοκομειακές συνθήκες. Παρόλο που υπάρχουν τεχνικές και κλινικές προκλήσεις που πρέπει να αντιμετωπιστούν </w:t>
      </w:r>
      <w:r w:rsidR="00957936" w:rsidRPr="00A831E7">
        <w:rPr>
          <w:rFonts w:eastAsia="Calibri"/>
        </w:rPr>
        <w:t>–</w:t>
      </w:r>
      <w:r w:rsidRPr="00A831E7">
        <w:rPr>
          <w:rFonts w:eastAsia="Calibri"/>
        </w:rPr>
        <w:t xml:space="preserve"> όπως η βελτίωση της ευαισθησίας των βιοδεικτών και η επιτάχυνση της απομόνωσης των EVs </w:t>
      </w:r>
      <w:r w:rsidR="00957936" w:rsidRPr="00A831E7">
        <w:rPr>
          <w:rFonts w:eastAsia="Calibri"/>
        </w:rPr>
        <w:t>–</w:t>
      </w:r>
      <w:r w:rsidRPr="00A831E7">
        <w:rPr>
          <w:rFonts w:eastAsia="Calibri"/>
        </w:rPr>
        <w:t xml:space="preserve"> οι </w:t>
      </w:r>
      <w:r w:rsidR="00134CE7" w:rsidRPr="00A831E7">
        <w:rPr>
          <w:rFonts w:eastAsia="Calibri"/>
        </w:rPr>
        <w:t>αναδυόμενες τεχνολογίες της</w:t>
      </w:r>
      <w:r w:rsidRPr="00A831E7">
        <w:rPr>
          <w:rFonts w:eastAsia="Calibri"/>
        </w:rPr>
        <w:t xml:space="preserve"> βιβλιογραφία</w:t>
      </w:r>
      <w:r w:rsidR="00134CE7" w:rsidRPr="00A831E7">
        <w:rPr>
          <w:rFonts w:eastAsia="Calibri"/>
        </w:rPr>
        <w:t>ς</w:t>
      </w:r>
      <w:r w:rsidRPr="00A831E7">
        <w:rPr>
          <w:rFonts w:eastAsia="Calibri"/>
        </w:rPr>
        <w:t xml:space="preserve"> προσφέρουν σημαντική προοπτική για βελτίωση </w:t>
      </w:r>
      <w:r w:rsidR="00134CE7" w:rsidRPr="00A831E7">
        <w:rPr>
          <w:rFonts w:eastAsia="Calibri"/>
        </w:rPr>
        <w:t>του τομέα της διάγνωσης</w:t>
      </w:r>
      <w:r w:rsidRPr="00A831E7">
        <w:rPr>
          <w:rFonts w:eastAsia="Calibri"/>
        </w:rPr>
        <w:t xml:space="preserve"> εγκεφαλικών επεισοδίων. Με την ενσωμάτωση αλγορίθμων μηχανικής μάθησης </w:t>
      </w:r>
      <w:r w:rsidR="00134CE7" w:rsidRPr="00A831E7">
        <w:rPr>
          <w:rFonts w:eastAsia="Calibri"/>
        </w:rPr>
        <w:t>(</w:t>
      </w:r>
      <w:r w:rsidRPr="00A831E7">
        <w:rPr>
          <w:rFonts w:eastAsia="Calibri"/>
        </w:rPr>
        <w:t>ML</w:t>
      </w:r>
      <w:r w:rsidR="00134CE7" w:rsidRPr="00A831E7">
        <w:rPr>
          <w:rFonts w:eastAsia="Calibri"/>
        </w:rPr>
        <w:t>)</w:t>
      </w:r>
      <w:r w:rsidRPr="00A831E7">
        <w:rPr>
          <w:rFonts w:eastAsia="Calibri"/>
        </w:rPr>
        <w:t>, την ανάπτυξη νέων PoC</w:t>
      </w:r>
      <w:r w:rsidR="00134CE7" w:rsidRPr="00A831E7">
        <w:rPr>
          <w:rFonts w:eastAsia="Calibri"/>
        </w:rPr>
        <w:t xml:space="preserve"> εφαρμογών</w:t>
      </w:r>
      <w:r w:rsidRPr="00A831E7">
        <w:rPr>
          <w:rFonts w:eastAsia="Calibri"/>
        </w:rPr>
        <w:t xml:space="preserve"> και την εξασφάλιση τυποποιημένων βάσεων δεδομένων, η ικανότητα για</w:t>
      </w:r>
      <w:r w:rsidR="00134CE7" w:rsidRPr="00A831E7">
        <w:rPr>
          <w:rFonts w:eastAsia="Calibri"/>
        </w:rPr>
        <w:t xml:space="preserve"> </w:t>
      </w:r>
      <w:r w:rsidR="00134CE7" w:rsidRPr="00A831E7">
        <w:rPr>
          <w:rFonts w:eastAsia="Calibri"/>
          <w:b/>
          <w:bCs/>
        </w:rPr>
        <w:t>έγκαιρη</w:t>
      </w:r>
      <w:r w:rsidRPr="00A831E7">
        <w:rPr>
          <w:rFonts w:eastAsia="Calibri"/>
          <w:b/>
          <w:bCs/>
        </w:rPr>
        <w:t xml:space="preserve"> διάγνωση</w:t>
      </w:r>
      <w:r w:rsidRPr="00A831E7">
        <w:rPr>
          <w:rFonts w:eastAsia="Calibri"/>
        </w:rPr>
        <w:t xml:space="preserve"> και </w:t>
      </w:r>
      <w:r w:rsidR="00134CE7" w:rsidRPr="00A831E7">
        <w:rPr>
          <w:rFonts w:eastAsia="Calibri"/>
        </w:rPr>
        <w:t xml:space="preserve">παροχή </w:t>
      </w:r>
      <w:r w:rsidRPr="00A831E7">
        <w:rPr>
          <w:rFonts w:eastAsia="Calibri"/>
        </w:rPr>
        <w:t>εξατομικευμένη</w:t>
      </w:r>
      <w:r w:rsidR="00134CE7" w:rsidRPr="00A831E7">
        <w:rPr>
          <w:rFonts w:eastAsia="Calibri"/>
        </w:rPr>
        <w:t>ς</w:t>
      </w:r>
      <w:r w:rsidRPr="00A831E7">
        <w:rPr>
          <w:rFonts w:eastAsia="Calibri"/>
        </w:rPr>
        <w:t xml:space="preserve"> θεραπεία</w:t>
      </w:r>
      <w:r w:rsidR="00134CE7" w:rsidRPr="00A831E7">
        <w:rPr>
          <w:rFonts w:eastAsia="Calibri"/>
        </w:rPr>
        <w:t xml:space="preserve">ς </w:t>
      </w:r>
      <w:r w:rsidR="00957936" w:rsidRPr="00A831E7">
        <w:rPr>
          <w:rFonts w:eastAsia="Calibri"/>
        </w:rPr>
        <w:t>–</w:t>
      </w:r>
      <w:r w:rsidR="00134CE7" w:rsidRPr="00A831E7">
        <w:rPr>
          <w:rFonts w:eastAsia="Calibri"/>
        </w:rPr>
        <w:t xml:space="preserve"> μετά από επιτυχή κατάταξη εγκεφαλικού επεισοδίου </w:t>
      </w:r>
      <w:r w:rsidR="00957936" w:rsidRPr="00A831E7">
        <w:rPr>
          <w:rFonts w:eastAsia="Calibri"/>
        </w:rPr>
        <w:t>–</w:t>
      </w:r>
      <w:r w:rsidRPr="00A831E7">
        <w:rPr>
          <w:rFonts w:eastAsia="Calibri"/>
        </w:rPr>
        <w:t xml:space="preserve"> θα μπορούσε να εξελιχθεί σημαντικά τα επόμενα χρόνια, οδηγώντας σε βελτιωμένα θεραπευτικά αποτελέσματα και</w:t>
      </w:r>
      <w:r w:rsidR="00134CE7" w:rsidRPr="00A831E7">
        <w:rPr>
          <w:rFonts w:eastAsia="Calibri"/>
        </w:rPr>
        <w:t xml:space="preserve"> προηγμένες</w:t>
      </w:r>
      <w:r w:rsidRPr="00A831E7">
        <w:rPr>
          <w:rFonts w:eastAsia="Calibri"/>
        </w:rPr>
        <w:t xml:space="preserve"> διαγνωστικές λύσεις.</w:t>
      </w:r>
      <w:r w:rsidR="00B07E2B">
        <w:rPr>
          <w:rFonts w:eastAsia="Calibri"/>
        </w:rPr>
        <w:br w:type="page"/>
      </w:r>
    </w:p>
    <w:p w14:paraId="1A595772" w14:textId="03B1A4F7" w:rsidR="00966BBE" w:rsidRPr="00EE0F79" w:rsidRDefault="00BC3BD1" w:rsidP="008641F1">
      <w:pPr>
        <w:pStyle w:val="1"/>
        <w:rPr>
          <w:rFonts w:ascii="Times New Roman" w:eastAsia="Calibri" w:hAnsi="Times New Roman" w:cs="Times New Roman"/>
          <w:b/>
          <w:bCs/>
          <w:color w:val="auto"/>
          <w:sz w:val="32"/>
          <w:szCs w:val="32"/>
        </w:rPr>
      </w:pPr>
      <w:bookmarkStart w:id="162" w:name="_Παράρτημα"/>
      <w:bookmarkStart w:id="163" w:name="_Παράρτημα_Πινάκων_και"/>
      <w:bookmarkStart w:id="164" w:name="_Toc199787422"/>
      <w:bookmarkStart w:id="165" w:name="_Toc199946493"/>
      <w:bookmarkEnd w:id="162"/>
      <w:bookmarkEnd w:id="163"/>
      <w:r w:rsidRPr="00EE0F79">
        <w:rPr>
          <w:rFonts w:ascii="Times New Roman" w:eastAsia="Calibri" w:hAnsi="Times New Roman" w:cs="Times New Roman"/>
          <w:b/>
          <w:bCs/>
          <w:color w:val="auto"/>
          <w:sz w:val="32"/>
          <w:szCs w:val="32"/>
        </w:rPr>
        <w:lastRenderedPageBreak/>
        <w:t>Παράρτημα</w:t>
      </w:r>
      <w:r w:rsidR="00DC3E03" w:rsidRPr="00EE0F79">
        <w:rPr>
          <w:rFonts w:ascii="Times New Roman" w:eastAsia="Calibri" w:hAnsi="Times New Roman" w:cs="Times New Roman"/>
          <w:b/>
          <w:bCs/>
          <w:color w:val="auto"/>
          <w:sz w:val="32"/>
          <w:szCs w:val="32"/>
        </w:rPr>
        <w:t xml:space="preserve"> Πινάκων και Εικόνων</w:t>
      </w:r>
      <w:bookmarkEnd w:id="164"/>
      <w:bookmarkEnd w:id="165"/>
    </w:p>
    <w:p w14:paraId="07D302B2" w14:textId="4CCBD77D" w:rsidR="00BC3BD1" w:rsidRPr="00A831E7" w:rsidRDefault="00BC3BD1" w:rsidP="00BC3BD1">
      <w:pPr>
        <w:rPr>
          <w:rFonts w:eastAsia="Calibri"/>
        </w:rPr>
      </w:pPr>
      <w:r w:rsidRPr="00A831E7">
        <w:rPr>
          <w:rFonts w:eastAsia="Calibri"/>
        </w:rPr>
        <w:br/>
      </w:r>
    </w:p>
    <w:p w14:paraId="0FCACF8D" w14:textId="4E40D3DF" w:rsidR="00966BBE" w:rsidRPr="00A831E7" w:rsidRDefault="00BC3BD1" w:rsidP="00966BBE">
      <w:pPr>
        <w:jc w:val="center"/>
        <w:rPr>
          <w:b/>
          <w:bCs/>
        </w:rPr>
      </w:pPr>
      <w:r w:rsidRPr="00A831E7">
        <w:rPr>
          <w:b/>
          <w:bCs/>
          <w:noProof/>
        </w:rPr>
        <w:drawing>
          <wp:inline distT="0" distB="0" distL="0" distR="0" wp14:anchorId="4C9F2EAD" wp14:editId="3A98D4D4">
            <wp:extent cx="5278120" cy="1545771"/>
            <wp:effectExtent l="0" t="0" r="0" b="0"/>
            <wp:docPr id="1341952213" name="Εικόνα 1" descr="Εικόνα που περιέχει κείμενο, στιγμιότυπο οθόνης,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30" name="Εικόνα 1" descr="Εικόνα που περιέχει κείμενο, στιγμιότυπο οθόνης, γραμμή&#10;&#10;Το περιεχόμενο που δημιουργείται από τεχνολογία AI ενδέχεται να είναι εσφαλμένο."/>
                    <pic:cNvPicPr/>
                  </pic:nvPicPr>
                  <pic:blipFill>
                    <a:blip r:embed="rId34"/>
                    <a:stretch>
                      <a:fillRect/>
                    </a:stretch>
                  </pic:blipFill>
                  <pic:spPr>
                    <a:xfrm>
                      <a:off x="0" y="0"/>
                      <a:ext cx="5278120" cy="1545771"/>
                    </a:xfrm>
                    <a:prstGeom prst="rect">
                      <a:avLst/>
                    </a:prstGeom>
                  </pic:spPr>
                </pic:pic>
              </a:graphicData>
            </a:graphic>
          </wp:inline>
        </w:drawing>
      </w:r>
    </w:p>
    <w:p w14:paraId="73CC7F29" w14:textId="6A13787C" w:rsidR="00630709" w:rsidRPr="00730D74" w:rsidRDefault="00BC3BD1" w:rsidP="00DC3E03">
      <w:pPr>
        <w:jc w:val="both"/>
        <w:rPr>
          <w:i/>
          <w:iCs/>
          <w:sz w:val="18"/>
          <w:szCs w:val="18"/>
          <w:lang w:val="en-US"/>
        </w:rPr>
      </w:pPr>
      <w:r w:rsidRPr="00A831E7">
        <w:rPr>
          <w:rFonts w:eastAsia="Calibri"/>
          <w:b/>
          <w:bCs/>
          <w:i/>
          <w:iCs/>
          <w:sz w:val="20"/>
          <w:szCs w:val="20"/>
        </w:rPr>
        <w:t>Εικόνα</w:t>
      </w:r>
      <w:r w:rsidRPr="00730D74">
        <w:rPr>
          <w:rFonts w:eastAsia="Calibri"/>
          <w:b/>
          <w:bCs/>
          <w:i/>
          <w:iCs/>
          <w:sz w:val="20"/>
          <w:szCs w:val="20"/>
          <w:lang w:val="en-US"/>
        </w:rPr>
        <w:t xml:space="preserve"> 1</w:t>
      </w:r>
      <w:r w:rsidRPr="00730D74">
        <w:rPr>
          <w:b/>
          <w:bCs/>
          <w:i/>
          <w:iCs/>
          <w:sz w:val="20"/>
          <w:szCs w:val="20"/>
          <w:lang w:val="en-US"/>
        </w:rPr>
        <w:t xml:space="preserve"> </w:t>
      </w:r>
      <w:r w:rsidR="00DC3E03" w:rsidRPr="00730D74">
        <w:rPr>
          <w:b/>
          <w:bCs/>
          <w:i/>
          <w:iCs/>
          <w:sz w:val="20"/>
          <w:szCs w:val="20"/>
          <w:lang w:val="en-US"/>
        </w:rPr>
        <w:t>:</w:t>
      </w:r>
      <w:r w:rsidR="00DC3E03" w:rsidRPr="00730D74">
        <w:rPr>
          <w:i/>
          <w:iCs/>
          <w:sz w:val="18"/>
          <w:szCs w:val="18"/>
          <w:lang w:val="en-US"/>
        </w:rPr>
        <w:t xml:space="preserve"> Differential antibody binding across the top 17 probes.  Antibody binding intensities of the top 17 probes associated with samples from ischemic stroke patients, hemorrhagic stroke patients, and stroke mimics. Binding intensities were statistically compared using oneway ANOVA and P values were corrected for multiple comparisons using the Benjamini-Hochberg method. Probes were hierarchically clustered by  similarity in binding intensities as assessed by Spearman’s rho </w:t>
      </w:r>
      <w:r w:rsidR="00DC3E03" w:rsidRPr="00A831E7">
        <w:rPr>
          <w:i/>
          <w:iCs/>
          <w:sz w:val="18"/>
          <w:szCs w:val="18"/>
        </w:rPr>
        <w:fldChar w:fldCharType="begin"/>
      </w:r>
      <w:r w:rsidR="00B22777" w:rsidRPr="00730D74">
        <w:rPr>
          <w:i/>
          <w:iCs/>
          <w:sz w:val="18"/>
          <w:szCs w:val="18"/>
          <w:lang w:val="en-US"/>
        </w:rPr>
        <w:instrText xml:space="preserve"> ADDIN ZOTERO_ITEM CSL_CITATION {"citationID":"IwuETpcb","properties":{"formattedCitation":"[74]","plainCitation":"[74]","noteIndex":0},"citationItems":[{"id":122,"uris":["http://zotero.org/users/local/mfHf28QG/items/6MA7QMM2"],"itemData":{"id":122,"type":"article-journal","abstract":"Accurate stroke recognition during triage can streamline care and afford patients earlier access to life-saving interventions. However, the tools currently available to clinicians for prehospital and early in-hospital identification of stroke are ...","container-title":"Neurotherapeutics","DOI":"10.1007/s13311-019-00720-9","issue":"3","language":"en","note":"PMID: 30783962","page":"868","source":"pmc.ncbi.nlm.nih.gov","title":"High-Throughput Profiling of Circulating Antibody Signatures for Stroke Diagnosis Using Small Volumes of Whole Blood","volume":"16","author":[{"family":"O’Connell","given":"Grant C."},{"family":"Stafford","given":"Phillip"},{"family":"Walsh","given":"Kyle B."},{"family":"Adeoye","given":"Opeolu"},{"family":"Barr","given":"Taura L."}],"issued":{"date-parts":[["2019",2,19]]}}}],"schema":"https://github.com/citation-style-language/schema/raw/master/csl-citation.json"} </w:instrText>
      </w:r>
      <w:r w:rsidR="00DC3E03" w:rsidRPr="00A831E7">
        <w:rPr>
          <w:i/>
          <w:iCs/>
          <w:sz w:val="18"/>
          <w:szCs w:val="18"/>
        </w:rPr>
        <w:fldChar w:fldCharType="separate"/>
      </w:r>
      <w:r w:rsidR="00B22777" w:rsidRPr="00730D74">
        <w:rPr>
          <w:sz w:val="18"/>
          <w:lang w:val="en-US"/>
        </w:rPr>
        <w:t>[74]</w:t>
      </w:r>
      <w:r w:rsidR="00DC3E03" w:rsidRPr="00A831E7">
        <w:rPr>
          <w:i/>
          <w:iCs/>
          <w:sz w:val="18"/>
          <w:szCs w:val="18"/>
        </w:rPr>
        <w:fldChar w:fldCharType="end"/>
      </w:r>
      <w:r w:rsidR="00DC3E03" w:rsidRPr="00730D74">
        <w:rPr>
          <w:i/>
          <w:iCs/>
          <w:sz w:val="18"/>
          <w:szCs w:val="18"/>
          <w:lang w:val="en-US"/>
        </w:rPr>
        <w:t>.</w:t>
      </w:r>
    </w:p>
    <w:p w14:paraId="235ECD6D" w14:textId="07374361" w:rsidR="001F070D" w:rsidRPr="00730D74" w:rsidRDefault="00DC3E03" w:rsidP="00630709">
      <w:pPr>
        <w:jc w:val="both"/>
        <w:rPr>
          <w:i/>
          <w:iCs/>
          <w:sz w:val="18"/>
          <w:szCs w:val="18"/>
          <w:lang w:val="en-US"/>
        </w:rPr>
      </w:pPr>
      <w:r w:rsidRPr="00730D74">
        <w:rPr>
          <w:i/>
          <w:iCs/>
          <w:sz w:val="18"/>
          <w:szCs w:val="18"/>
          <w:lang w:val="en-US"/>
        </w:rPr>
        <w:br/>
      </w:r>
    </w:p>
    <w:p w14:paraId="22CC9710" w14:textId="7E8A18F2" w:rsidR="00966BBE" w:rsidRPr="00A831E7" w:rsidRDefault="00DC3E03" w:rsidP="0057069D">
      <w:pPr>
        <w:spacing w:line="360" w:lineRule="auto"/>
        <w:jc w:val="center"/>
        <w:rPr>
          <w:b/>
          <w:bCs/>
          <w:i/>
          <w:iCs/>
          <w:sz w:val="20"/>
          <w:szCs w:val="20"/>
        </w:rPr>
      </w:pPr>
      <w:r w:rsidRPr="00A831E7">
        <w:rPr>
          <w:b/>
          <w:bCs/>
          <w:i/>
          <w:iCs/>
          <w:sz w:val="20"/>
          <w:szCs w:val="20"/>
        </w:rPr>
        <w:t xml:space="preserve">Πίνακας 1: Top 10 DEMs </w:t>
      </w:r>
      <w:r w:rsidR="0048658B" w:rsidRPr="00A831E7">
        <w:rPr>
          <w:b/>
          <w:bCs/>
          <w:i/>
          <w:iCs/>
          <w:sz w:val="20"/>
          <w:szCs w:val="20"/>
        </w:rPr>
        <w:fldChar w:fldCharType="begin"/>
      </w:r>
      <w:r w:rsidR="00B61252">
        <w:rPr>
          <w:b/>
          <w:bCs/>
          <w:i/>
          <w:iCs/>
          <w:sz w:val="20"/>
          <w:szCs w:val="20"/>
        </w:rPr>
        <w:instrText xml:space="preserve"> ADDIN ZOTERO_ITEM CSL_CITATION {"citationID":"EKtrR60e","properties":{"formattedCitation":"[100]","plainCitation":"[100]","noteIndex":0},"citationItems":[{"id":1079,"uris":["http://zotero.org/users/local/mfHf28QG/items/RYIDQXHY"],"itemData":{"id":1079,"type":"article-journal","abstract":"Ischemic stroke is a major cause of mortality worldwide. Proper etiological subtyping of ischemic stroke is crucial for tailoring treatment strategies. This study explored the utility of circulating microRNAs encapsulated in extracellular vesicles ...","container-title":"International Journal of Molecular Sciences","DOI":"10.3390/ijms25126761","issue":"12","language":"en","note":"number: 12\nPMID: 38928481","page":"6761","source":"pmc.ncbi.nlm.nih.gov","title":"Machine Learning-Based Etiologic Subtyping of Ischemic Stroke Using Circulating Exosomal microRNAs","volume":"25","author":[{"family":"Bang","given":"Ji Hoon"},{"family":"Kim","given":"Eun Hee"},{"family":"Kim","given":"Hyung Jun"},{"family":"Chung","given":"Jong-Won"},{"family":"Seo","given":"Woo-Keun"},{"family":"Kim","given":"Gyeong-Moon"},{"family":"Lee","given":"Dong-Ho"},{"family":"Kim","given":"Heewon"},{"family":"Bang","given":"Oh Young"}],"issued":{"date-parts":[["2024",6,20]]}}}],"schema":"https://github.com/citation-style-language/schema/raw/master/csl-citation.json"} </w:instrText>
      </w:r>
      <w:r w:rsidR="0048658B" w:rsidRPr="00A831E7">
        <w:rPr>
          <w:b/>
          <w:bCs/>
          <w:i/>
          <w:iCs/>
          <w:sz w:val="20"/>
          <w:szCs w:val="20"/>
        </w:rPr>
        <w:fldChar w:fldCharType="separate"/>
      </w:r>
      <w:r w:rsidR="00B61252" w:rsidRPr="00B61252">
        <w:rPr>
          <w:sz w:val="20"/>
        </w:rPr>
        <w:t>[100]</w:t>
      </w:r>
      <w:r w:rsidR="0048658B" w:rsidRPr="00A831E7">
        <w:rPr>
          <w:b/>
          <w:bCs/>
          <w:i/>
          <w:iCs/>
          <w:sz w:val="20"/>
          <w:szCs w:val="20"/>
        </w:rPr>
        <w:fldChar w:fldCharType="end"/>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63"/>
        <w:gridCol w:w="2763"/>
        <w:gridCol w:w="2766"/>
      </w:tblGrid>
      <w:tr w:rsidR="00966BBE" w:rsidRPr="00A831E7" w14:paraId="70AA147D" w14:textId="77777777" w:rsidTr="0057069D">
        <w:trPr>
          <w:trHeight w:val="20"/>
        </w:trPr>
        <w:tc>
          <w:tcPr>
            <w:tcW w:w="1666" w:type="pct"/>
            <w:shd w:val="clear" w:color="auto" w:fill="D9D9D9" w:themeFill="background1" w:themeFillShade="D9"/>
          </w:tcPr>
          <w:p w14:paraId="5B6D3CE1" w14:textId="77777777" w:rsidR="00966BBE" w:rsidRPr="00A831E7" w:rsidRDefault="00966BBE" w:rsidP="00BF2D0F">
            <w:pPr>
              <w:rPr>
                <w:sz w:val="20"/>
                <w:szCs w:val="20"/>
              </w:rPr>
            </w:pPr>
            <w:r w:rsidRPr="00A831E7">
              <w:rPr>
                <w:sz w:val="20"/>
                <w:szCs w:val="20"/>
              </w:rPr>
              <w:t xml:space="preserve">LAA </w:t>
            </w:r>
          </w:p>
        </w:tc>
        <w:tc>
          <w:tcPr>
            <w:tcW w:w="1666" w:type="pct"/>
            <w:shd w:val="clear" w:color="auto" w:fill="D9D9D9" w:themeFill="background1" w:themeFillShade="D9"/>
          </w:tcPr>
          <w:p w14:paraId="08C56F1D" w14:textId="77777777" w:rsidR="00966BBE" w:rsidRPr="00A831E7" w:rsidRDefault="00966BBE" w:rsidP="00BF2D0F">
            <w:pPr>
              <w:rPr>
                <w:sz w:val="20"/>
                <w:szCs w:val="20"/>
              </w:rPr>
            </w:pPr>
            <w:r w:rsidRPr="00A831E7">
              <w:rPr>
                <w:sz w:val="20"/>
                <w:szCs w:val="20"/>
              </w:rPr>
              <w:t xml:space="preserve">SAO </w:t>
            </w:r>
          </w:p>
        </w:tc>
        <w:tc>
          <w:tcPr>
            <w:tcW w:w="1668" w:type="pct"/>
            <w:shd w:val="clear" w:color="auto" w:fill="D9D9D9" w:themeFill="background1" w:themeFillShade="D9"/>
          </w:tcPr>
          <w:p w14:paraId="19446A2E" w14:textId="77777777" w:rsidR="00966BBE" w:rsidRPr="00A831E7" w:rsidRDefault="00966BBE" w:rsidP="00BF2D0F">
            <w:pPr>
              <w:rPr>
                <w:sz w:val="20"/>
                <w:szCs w:val="20"/>
              </w:rPr>
            </w:pPr>
            <w:r w:rsidRPr="00A831E7">
              <w:rPr>
                <w:sz w:val="20"/>
                <w:szCs w:val="20"/>
              </w:rPr>
              <w:t xml:space="preserve">CES </w:t>
            </w:r>
          </w:p>
        </w:tc>
      </w:tr>
      <w:tr w:rsidR="00966BBE" w:rsidRPr="00D17951" w14:paraId="7184F7C3" w14:textId="77777777" w:rsidTr="00DC3E03">
        <w:trPr>
          <w:trHeight w:val="1710"/>
        </w:trPr>
        <w:tc>
          <w:tcPr>
            <w:tcW w:w="1666" w:type="pct"/>
          </w:tcPr>
          <w:p w14:paraId="47E0FEF0" w14:textId="77777777" w:rsidR="00966BBE" w:rsidRPr="00730D74" w:rsidRDefault="00966BBE" w:rsidP="00BF2D0F">
            <w:pPr>
              <w:rPr>
                <w:sz w:val="18"/>
                <w:szCs w:val="18"/>
                <w:lang w:val="en-US"/>
              </w:rPr>
            </w:pPr>
            <w:r w:rsidRPr="00730D74">
              <w:rPr>
                <w:sz w:val="18"/>
                <w:szCs w:val="18"/>
                <w:lang w:val="en-US"/>
              </w:rPr>
              <w:t xml:space="preserve">'hsa-miR-16-5p', </w:t>
            </w:r>
          </w:p>
          <w:p w14:paraId="1DA11D06" w14:textId="77777777" w:rsidR="00966BBE" w:rsidRPr="00730D74" w:rsidRDefault="00966BBE" w:rsidP="00BF2D0F">
            <w:pPr>
              <w:rPr>
                <w:sz w:val="18"/>
                <w:szCs w:val="18"/>
                <w:lang w:val="en-US"/>
              </w:rPr>
            </w:pPr>
            <w:r w:rsidRPr="00730D74">
              <w:rPr>
                <w:sz w:val="18"/>
                <w:szCs w:val="18"/>
                <w:lang w:val="en-US"/>
              </w:rPr>
              <w:t xml:space="preserve">'hsa-miR-223-3p', </w:t>
            </w:r>
          </w:p>
          <w:p w14:paraId="48E32EDE" w14:textId="77777777" w:rsidR="00966BBE" w:rsidRPr="00730D74" w:rsidRDefault="00966BBE" w:rsidP="00BF2D0F">
            <w:pPr>
              <w:rPr>
                <w:sz w:val="18"/>
                <w:szCs w:val="18"/>
                <w:lang w:val="en-US"/>
              </w:rPr>
            </w:pPr>
            <w:r w:rsidRPr="00730D74">
              <w:rPr>
                <w:sz w:val="18"/>
                <w:szCs w:val="18"/>
                <w:lang w:val="en-US"/>
              </w:rPr>
              <w:t xml:space="preserve">'hsa-miR-30d-5p', </w:t>
            </w:r>
          </w:p>
          <w:p w14:paraId="4E89E39F" w14:textId="77777777" w:rsidR="00966BBE" w:rsidRPr="00730D74" w:rsidRDefault="00966BBE" w:rsidP="00BF2D0F">
            <w:pPr>
              <w:rPr>
                <w:sz w:val="18"/>
                <w:szCs w:val="18"/>
                <w:lang w:val="en-US"/>
              </w:rPr>
            </w:pPr>
            <w:r w:rsidRPr="00730D74">
              <w:rPr>
                <w:sz w:val="18"/>
                <w:szCs w:val="18"/>
                <w:lang w:val="en-US"/>
              </w:rPr>
              <w:t xml:space="preserve">'hsa-miR-22-3p', </w:t>
            </w:r>
          </w:p>
          <w:p w14:paraId="1AEE36F6" w14:textId="77777777" w:rsidR="00966BBE" w:rsidRPr="00730D74" w:rsidRDefault="00966BBE" w:rsidP="00BF2D0F">
            <w:pPr>
              <w:rPr>
                <w:sz w:val="18"/>
                <w:szCs w:val="18"/>
                <w:lang w:val="en-US"/>
              </w:rPr>
            </w:pPr>
            <w:r w:rsidRPr="00730D74">
              <w:rPr>
                <w:sz w:val="18"/>
                <w:szCs w:val="18"/>
                <w:lang w:val="en-US"/>
              </w:rPr>
              <w:t xml:space="preserve">'hsa-miR-486-5p', </w:t>
            </w:r>
          </w:p>
          <w:p w14:paraId="3FBF39EF" w14:textId="77777777" w:rsidR="00966BBE" w:rsidRPr="00730D74" w:rsidRDefault="00966BBE" w:rsidP="00BF2D0F">
            <w:pPr>
              <w:rPr>
                <w:sz w:val="18"/>
                <w:szCs w:val="18"/>
                <w:lang w:val="en-US"/>
              </w:rPr>
            </w:pPr>
            <w:r w:rsidRPr="00730D74">
              <w:rPr>
                <w:sz w:val="18"/>
                <w:szCs w:val="18"/>
                <w:lang w:val="en-US"/>
              </w:rPr>
              <w:t xml:space="preserve">'hsa-miR-30c-5p', </w:t>
            </w:r>
          </w:p>
          <w:p w14:paraId="261E5301" w14:textId="77777777" w:rsidR="00966BBE" w:rsidRPr="00730D74" w:rsidRDefault="00966BBE" w:rsidP="00BF2D0F">
            <w:pPr>
              <w:rPr>
                <w:sz w:val="18"/>
                <w:szCs w:val="18"/>
                <w:lang w:val="en-US"/>
              </w:rPr>
            </w:pPr>
            <w:r w:rsidRPr="00730D74">
              <w:rPr>
                <w:sz w:val="18"/>
                <w:szCs w:val="18"/>
                <w:lang w:val="en-US"/>
              </w:rPr>
              <w:t xml:space="preserve">'hsa-miR-126-3p', </w:t>
            </w:r>
          </w:p>
          <w:p w14:paraId="74630448" w14:textId="77777777" w:rsidR="00966BBE" w:rsidRPr="00730D74" w:rsidRDefault="00966BBE" w:rsidP="00BF2D0F">
            <w:pPr>
              <w:rPr>
                <w:sz w:val="18"/>
                <w:szCs w:val="18"/>
                <w:lang w:val="en-US"/>
              </w:rPr>
            </w:pPr>
            <w:r w:rsidRPr="00730D74">
              <w:rPr>
                <w:sz w:val="18"/>
                <w:szCs w:val="18"/>
                <w:lang w:val="en-US"/>
              </w:rPr>
              <w:t xml:space="preserve">'hsa-miR-146a-5p', </w:t>
            </w:r>
          </w:p>
          <w:p w14:paraId="15A843D5" w14:textId="77777777" w:rsidR="00966BBE" w:rsidRPr="00730D74" w:rsidRDefault="00966BBE" w:rsidP="00BF2D0F">
            <w:pPr>
              <w:rPr>
                <w:sz w:val="18"/>
                <w:szCs w:val="18"/>
                <w:lang w:val="en-US"/>
              </w:rPr>
            </w:pPr>
            <w:r w:rsidRPr="00730D74">
              <w:rPr>
                <w:sz w:val="18"/>
                <w:szCs w:val="18"/>
                <w:lang w:val="en-US"/>
              </w:rPr>
              <w:t xml:space="preserve">'hsa-miR-451a', </w:t>
            </w:r>
          </w:p>
          <w:p w14:paraId="733EF7A6" w14:textId="77777777" w:rsidR="00966BBE" w:rsidRPr="00730D74" w:rsidRDefault="00966BBE" w:rsidP="00BF2D0F">
            <w:pPr>
              <w:rPr>
                <w:sz w:val="18"/>
                <w:szCs w:val="18"/>
                <w:lang w:val="en-US"/>
              </w:rPr>
            </w:pPr>
            <w:r w:rsidRPr="00730D74">
              <w:rPr>
                <w:sz w:val="18"/>
                <w:szCs w:val="18"/>
                <w:lang w:val="en-US"/>
              </w:rPr>
              <w:t xml:space="preserve">'hsa-miR-122-5p', </w:t>
            </w:r>
          </w:p>
        </w:tc>
        <w:tc>
          <w:tcPr>
            <w:tcW w:w="1666" w:type="pct"/>
          </w:tcPr>
          <w:p w14:paraId="51AFA120" w14:textId="77777777" w:rsidR="00966BBE" w:rsidRPr="00730D74" w:rsidRDefault="00966BBE" w:rsidP="00BF2D0F">
            <w:pPr>
              <w:rPr>
                <w:sz w:val="18"/>
                <w:szCs w:val="18"/>
                <w:lang w:val="en-US"/>
              </w:rPr>
            </w:pPr>
            <w:r w:rsidRPr="00730D74">
              <w:rPr>
                <w:sz w:val="18"/>
                <w:szCs w:val="18"/>
                <w:lang w:val="en-US"/>
              </w:rPr>
              <w:t xml:space="preserve">'hsa-miR-100-5p', </w:t>
            </w:r>
          </w:p>
          <w:p w14:paraId="59C53259" w14:textId="77777777" w:rsidR="00966BBE" w:rsidRPr="00730D74" w:rsidRDefault="00966BBE" w:rsidP="00BF2D0F">
            <w:pPr>
              <w:rPr>
                <w:sz w:val="18"/>
                <w:szCs w:val="18"/>
                <w:lang w:val="en-US"/>
              </w:rPr>
            </w:pPr>
            <w:r w:rsidRPr="00730D74">
              <w:rPr>
                <w:sz w:val="18"/>
                <w:szCs w:val="18"/>
                <w:lang w:val="en-US"/>
              </w:rPr>
              <w:t xml:space="preserve">'hsa-miR-24-3p', </w:t>
            </w:r>
          </w:p>
          <w:p w14:paraId="7D29657B" w14:textId="77777777" w:rsidR="00966BBE" w:rsidRPr="00730D74" w:rsidRDefault="00966BBE" w:rsidP="00BF2D0F">
            <w:pPr>
              <w:rPr>
                <w:sz w:val="18"/>
                <w:szCs w:val="18"/>
                <w:lang w:val="en-US"/>
              </w:rPr>
            </w:pPr>
            <w:r w:rsidRPr="00730D74">
              <w:rPr>
                <w:sz w:val="18"/>
                <w:szCs w:val="18"/>
                <w:lang w:val="en-US"/>
              </w:rPr>
              <w:t xml:space="preserve">'hsa-miR-103a-3p', </w:t>
            </w:r>
          </w:p>
          <w:p w14:paraId="38272821" w14:textId="77777777" w:rsidR="00966BBE" w:rsidRPr="00730D74" w:rsidRDefault="00966BBE" w:rsidP="00BF2D0F">
            <w:pPr>
              <w:rPr>
                <w:sz w:val="18"/>
                <w:szCs w:val="18"/>
                <w:lang w:val="en-US"/>
              </w:rPr>
            </w:pPr>
            <w:r w:rsidRPr="00730D74">
              <w:rPr>
                <w:sz w:val="18"/>
                <w:szCs w:val="18"/>
                <w:lang w:val="en-US"/>
              </w:rPr>
              <w:t xml:space="preserve">'hsa-miR-23a-3p', </w:t>
            </w:r>
          </w:p>
          <w:p w14:paraId="513B4AFC" w14:textId="77777777" w:rsidR="00966BBE" w:rsidRPr="00730D74" w:rsidRDefault="00966BBE" w:rsidP="00BF2D0F">
            <w:pPr>
              <w:rPr>
                <w:sz w:val="18"/>
                <w:szCs w:val="18"/>
                <w:lang w:val="en-US"/>
              </w:rPr>
            </w:pPr>
            <w:r w:rsidRPr="00730D74">
              <w:rPr>
                <w:sz w:val="18"/>
                <w:szCs w:val="18"/>
                <w:lang w:val="en-US"/>
              </w:rPr>
              <w:t xml:space="preserve">'hsa-let-7b-5p', </w:t>
            </w:r>
          </w:p>
          <w:p w14:paraId="6AB88CF2" w14:textId="77777777" w:rsidR="00966BBE" w:rsidRPr="00730D74" w:rsidRDefault="00966BBE" w:rsidP="00BF2D0F">
            <w:pPr>
              <w:rPr>
                <w:sz w:val="18"/>
                <w:szCs w:val="18"/>
                <w:lang w:val="en-US"/>
              </w:rPr>
            </w:pPr>
            <w:r w:rsidRPr="00730D74">
              <w:rPr>
                <w:sz w:val="18"/>
                <w:szCs w:val="18"/>
                <w:lang w:val="en-US"/>
              </w:rPr>
              <w:t xml:space="preserve">'hsa-miR-146a-5p', </w:t>
            </w:r>
          </w:p>
          <w:p w14:paraId="4504133B" w14:textId="77777777" w:rsidR="00966BBE" w:rsidRPr="00730D74" w:rsidRDefault="00966BBE" w:rsidP="00BF2D0F">
            <w:pPr>
              <w:rPr>
                <w:sz w:val="18"/>
                <w:szCs w:val="18"/>
                <w:lang w:val="en-US"/>
              </w:rPr>
            </w:pPr>
            <w:r w:rsidRPr="00730D74">
              <w:rPr>
                <w:sz w:val="18"/>
                <w:szCs w:val="18"/>
                <w:lang w:val="en-US"/>
              </w:rPr>
              <w:t xml:space="preserve">'hsa-miR-126-3p', </w:t>
            </w:r>
          </w:p>
          <w:p w14:paraId="486286D0" w14:textId="77777777" w:rsidR="00966BBE" w:rsidRPr="00730D74" w:rsidRDefault="00966BBE" w:rsidP="00BF2D0F">
            <w:pPr>
              <w:rPr>
                <w:sz w:val="18"/>
                <w:szCs w:val="18"/>
                <w:lang w:val="en-US"/>
              </w:rPr>
            </w:pPr>
            <w:r w:rsidRPr="00730D74">
              <w:rPr>
                <w:sz w:val="18"/>
                <w:szCs w:val="18"/>
                <w:lang w:val="en-US"/>
              </w:rPr>
              <w:t xml:space="preserve">'hsa-miR-181a-5p', </w:t>
            </w:r>
          </w:p>
          <w:p w14:paraId="06DAC53D" w14:textId="77777777" w:rsidR="00966BBE" w:rsidRPr="00730D74" w:rsidRDefault="00966BBE" w:rsidP="00BF2D0F">
            <w:pPr>
              <w:rPr>
                <w:sz w:val="18"/>
                <w:szCs w:val="18"/>
                <w:lang w:val="en-US"/>
              </w:rPr>
            </w:pPr>
            <w:r w:rsidRPr="00730D74">
              <w:rPr>
                <w:sz w:val="18"/>
                <w:szCs w:val="18"/>
                <w:lang w:val="en-US"/>
              </w:rPr>
              <w:t xml:space="preserve">'hsa-miR-425-5p', </w:t>
            </w:r>
          </w:p>
          <w:p w14:paraId="11CD6950" w14:textId="77777777" w:rsidR="00966BBE" w:rsidRPr="00730D74" w:rsidRDefault="00966BBE" w:rsidP="00BF2D0F">
            <w:pPr>
              <w:rPr>
                <w:sz w:val="18"/>
                <w:szCs w:val="18"/>
                <w:lang w:val="en-US"/>
              </w:rPr>
            </w:pPr>
            <w:r w:rsidRPr="00730D74">
              <w:rPr>
                <w:sz w:val="18"/>
                <w:szCs w:val="18"/>
                <w:lang w:val="en-US"/>
              </w:rPr>
              <w:t xml:space="preserve">'hsa-let-7f-5p', </w:t>
            </w:r>
          </w:p>
        </w:tc>
        <w:tc>
          <w:tcPr>
            <w:tcW w:w="1668" w:type="pct"/>
          </w:tcPr>
          <w:p w14:paraId="104DE5BA" w14:textId="77777777" w:rsidR="00966BBE" w:rsidRPr="00730D74" w:rsidRDefault="00966BBE" w:rsidP="00BF2D0F">
            <w:pPr>
              <w:rPr>
                <w:sz w:val="18"/>
                <w:szCs w:val="18"/>
                <w:lang w:val="en-US"/>
              </w:rPr>
            </w:pPr>
            <w:r w:rsidRPr="00730D74">
              <w:rPr>
                <w:sz w:val="18"/>
                <w:szCs w:val="18"/>
                <w:lang w:val="en-US"/>
              </w:rPr>
              <w:t xml:space="preserve">''hsa-miR-320a-3p', </w:t>
            </w:r>
          </w:p>
          <w:p w14:paraId="1772C4E0" w14:textId="77777777" w:rsidR="00966BBE" w:rsidRPr="00730D74" w:rsidRDefault="00966BBE" w:rsidP="00BF2D0F">
            <w:pPr>
              <w:rPr>
                <w:sz w:val="18"/>
                <w:szCs w:val="18"/>
                <w:lang w:val="en-US"/>
              </w:rPr>
            </w:pPr>
            <w:r w:rsidRPr="00730D74">
              <w:rPr>
                <w:sz w:val="18"/>
                <w:szCs w:val="18"/>
                <w:lang w:val="en-US"/>
              </w:rPr>
              <w:t xml:space="preserve">'hsa-let-7i-5p', </w:t>
            </w:r>
          </w:p>
          <w:p w14:paraId="28F7709C" w14:textId="77777777" w:rsidR="00966BBE" w:rsidRPr="00730D74" w:rsidRDefault="00966BBE" w:rsidP="00BF2D0F">
            <w:pPr>
              <w:rPr>
                <w:sz w:val="18"/>
                <w:szCs w:val="18"/>
                <w:lang w:val="en-US"/>
              </w:rPr>
            </w:pPr>
            <w:r w:rsidRPr="00730D74">
              <w:rPr>
                <w:sz w:val="18"/>
                <w:szCs w:val="18"/>
                <w:lang w:val="en-US"/>
              </w:rPr>
              <w:t xml:space="preserve">'hsa-miR-26b-5p', </w:t>
            </w:r>
          </w:p>
          <w:p w14:paraId="37A7E318" w14:textId="77777777" w:rsidR="00966BBE" w:rsidRPr="00730D74" w:rsidRDefault="00966BBE" w:rsidP="00BF2D0F">
            <w:pPr>
              <w:rPr>
                <w:sz w:val="18"/>
                <w:szCs w:val="18"/>
                <w:lang w:val="en-US"/>
              </w:rPr>
            </w:pPr>
            <w:r w:rsidRPr="00730D74">
              <w:rPr>
                <w:sz w:val="18"/>
                <w:szCs w:val="18"/>
                <w:lang w:val="en-US"/>
              </w:rPr>
              <w:t xml:space="preserve">'hsa-miR-3613-5p', </w:t>
            </w:r>
          </w:p>
          <w:p w14:paraId="3EBFE211" w14:textId="77777777" w:rsidR="00966BBE" w:rsidRPr="00730D74" w:rsidRDefault="00966BBE" w:rsidP="00BF2D0F">
            <w:pPr>
              <w:rPr>
                <w:sz w:val="18"/>
                <w:szCs w:val="18"/>
                <w:lang w:val="en-US"/>
              </w:rPr>
            </w:pPr>
            <w:r w:rsidRPr="00730D74">
              <w:rPr>
                <w:sz w:val="18"/>
                <w:szCs w:val="18"/>
                <w:lang w:val="en-US"/>
              </w:rPr>
              <w:t xml:space="preserve">'hsa-miR-21-5p', </w:t>
            </w:r>
          </w:p>
          <w:p w14:paraId="6250718D" w14:textId="77777777" w:rsidR="00966BBE" w:rsidRPr="00730D74" w:rsidRDefault="00966BBE" w:rsidP="00BF2D0F">
            <w:pPr>
              <w:rPr>
                <w:sz w:val="18"/>
                <w:szCs w:val="18"/>
                <w:lang w:val="en-US"/>
              </w:rPr>
            </w:pPr>
            <w:r w:rsidRPr="00730D74">
              <w:rPr>
                <w:sz w:val="18"/>
                <w:szCs w:val="18"/>
                <w:lang w:val="en-US"/>
              </w:rPr>
              <w:t xml:space="preserve">'hsa-miR-92a-3p', </w:t>
            </w:r>
          </w:p>
          <w:p w14:paraId="43212416" w14:textId="77777777" w:rsidR="00966BBE" w:rsidRPr="00730D74" w:rsidRDefault="00966BBE" w:rsidP="00BF2D0F">
            <w:pPr>
              <w:rPr>
                <w:sz w:val="18"/>
                <w:szCs w:val="18"/>
                <w:lang w:val="en-US"/>
              </w:rPr>
            </w:pPr>
            <w:r w:rsidRPr="00730D74">
              <w:rPr>
                <w:sz w:val="18"/>
                <w:szCs w:val="18"/>
                <w:lang w:val="en-US"/>
              </w:rPr>
              <w:t xml:space="preserve">'hsa-miR-143-3p', </w:t>
            </w:r>
          </w:p>
          <w:p w14:paraId="69722F1D" w14:textId="77777777" w:rsidR="00966BBE" w:rsidRPr="00730D74" w:rsidRDefault="00966BBE" w:rsidP="00BF2D0F">
            <w:pPr>
              <w:rPr>
                <w:sz w:val="18"/>
                <w:szCs w:val="18"/>
                <w:lang w:val="en-US"/>
              </w:rPr>
            </w:pPr>
            <w:r w:rsidRPr="00730D74">
              <w:rPr>
                <w:sz w:val="18"/>
                <w:szCs w:val="18"/>
                <w:lang w:val="en-US"/>
              </w:rPr>
              <w:t xml:space="preserve">'hsa-miR-223-3p', </w:t>
            </w:r>
          </w:p>
          <w:p w14:paraId="5C86648B" w14:textId="77777777" w:rsidR="00966BBE" w:rsidRPr="00730D74" w:rsidRDefault="00966BBE" w:rsidP="00BF2D0F">
            <w:pPr>
              <w:rPr>
                <w:sz w:val="18"/>
                <w:szCs w:val="18"/>
                <w:lang w:val="en-US"/>
              </w:rPr>
            </w:pPr>
            <w:r w:rsidRPr="00730D74">
              <w:rPr>
                <w:sz w:val="18"/>
                <w:szCs w:val="18"/>
                <w:lang w:val="en-US"/>
              </w:rPr>
              <w:t xml:space="preserve">'hsa-miR-150-5p', </w:t>
            </w:r>
          </w:p>
          <w:p w14:paraId="2ACC0FC0" w14:textId="77777777" w:rsidR="00966BBE" w:rsidRPr="00730D74" w:rsidRDefault="00966BBE" w:rsidP="00BF2D0F">
            <w:pPr>
              <w:rPr>
                <w:sz w:val="18"/>
                <w:szCs w:val="18"/>
                <w:lang w:val="en-US"/>
              </w:rPr>
            </w:pPr>
            <w:r w:rsidRPr="00730D74">
              <w:rPr>
                <w:sz w:val="18"/>
                <w:szCs w:val="18"/>
                <w:lang w:val="en-US"/>
              </w:rPr>
              <w:t xml:space="preserve">'hsa-miR-25-3p', </w:t>
            </w:r>
          </w:p>
        </w:tc>
      </w:tr>
    </w:tbl>
    <w:p w14:paraId="513A8B93" w14:textId="219C03B8" w:rsidR="00966BBE" w:rsidRPr="00730D74" w:rsidRDefault="00966BBE" w:rsidP="00DC3E03">
      <w:pPr>
        <w:jc w:val="both"/>
        <w:rPr>
          <w:i/>
          <w:iCs/>
          <w:sz w:val="18"/>
          <w:szCs w:val="18"/>
          <w:lang w:val="en-US"/>
        </w:rPr>
      </w:pPr>
      <w:r w:rsidRPr="00730D74">
        <w:rPr>
          <w:i/>
          <w:iCs/>
          <w:sz w:val="18"/>
          <w:szCs w:val="18"/>
          <w:lang w:val="en-US"/>
        </w:rPr>
        <w:t>Top 10 contribution features:</w:t>
      </w:r>
      <w:r w:rsidR="00DC3E03" w:rsidRPr="00730D74">
        <w:rPr>
          <w:i/>
          <w:iCs/>
          <w:sz w:val="18"/>
          <w:szCs w:val="18"/>
          <w:lang w:val="en-US"/>
        </w:rPr>
        <w:t xml:space="preserve"> The algorithm</w:t>
      </w:r>
      <w:r w:rsidRPr="00730D74">
        <w:rPr>
          <w:i/>
          <w:iCs/>
          <w:sz w:val="18"/>
          <w:szCs w:val="18"/>
          <w:lang w:val="en-US"/>
        </w:rPr>
        <w:t xml:space="preserve"> </w:t>
      </w:r>
      <w:r w:rsidR="00DC3E03" w:rsidRPr="00730D74">
        <w:rPr>
          <w:i/>
          <w:iCs/>
          <w:sz w:val="18"/>
          <w:szCs w:val="18"/>
          <w:lang w:val="en-US"/>
        </w:rPr>
        <w:t>i</w:t>
      </w:r>
      <w:r w:rsidRPr="00730D74">
        <w:rPr>
          <w:i/>
          <w:iCs/>
          <w:sz w:val="18"/>
          <w:szCs w:val="18"/>
          <w:lang w:val="en-US"/>
        </w:rPr>
        <w:t xml:space="preserve">dentifies the most important miRNA features for each class when using 1,251 selected features through logistic regression. </w:t>
      </w:r>
    </w:p>
    <w:p w14:paraId="4E0967F5" w14:textId="0D1968DD" w:rsidR="00966BBE" w:rsidRPr="00730D74" w:rsidRDefault="00966BBE" w:rsidP="0057069D">
      <w:pPr>
        <w:spacing w:line="360" w:lineRule="auto"/>
        <w:jc w:val="center"/>
        <w:rPr>
          <w:b/>
          <w:bCs/>
          <w:lang w:val="en-US"/>
        </w:rPr>
      </w:pPr>
      <w:r w:rsidRPr="00730D74">
        <w:rPr>
          <w:b/>
          <w:bCs/>
          <w:lang w:val="en-US"/>
        </w:rPr>
        <w:br/>
      </w:r>
      <w:r w:rsidR="00D5382B" w:rsidRPr="00A831E7">
        <w:rPr>
          <w:b/>
          <w:bCs/>
          <w:i/>
          <w:iCs/>
          <w:sz w:val="20"/>
          <w:szCs w:val="20"/>
        </w:rPr>
        <w:t>Πίνακας</w:t>
      </w:r>
      <w:r w:rsidR="00D5382B" w:rsidRPr="00730D74">
        <w:rPr>
          <w:b/>
          <w:bCs/>
          <w:i/>
          <w:iCs/>
          <w:sz w:val="20"/>
          <w:szCs w:val="20"/>
          <w:lang w:val="en-US"/>
        </w:rPr>
        <w:t xml:space="preserve"> 2: Differentially expressed exmiRNAs between each of the stroke types </w:t>
      </w:r>
      <w:r w:rsidR="0048658B" w:rsidRPr="00A831E7">
        <w:rPr>
          <w:b/>
          <w:bCs/>
          <w:i/>
          <w:iCs/>
          <w:sz w:val="20"/>
          <w:szCs w:val="20"/>
        </w:rPr>
        <w:fldChar w:fldCharType="begin"/>
      </w:r>
      <w:r w:rsidR="0048658B" w:rsidRPr="00730D74">
        <w:rPr>
          <w:b/>
          <w:bCs/>
          <w:i/>
          <w:iCs/>
          <w:sz w:val="20"/>
          <w:szCs w:val="20"/>
          <w:lang w:val="en-US"/>
        </w:rPr>
        <w:instrText xml:space="preserve"> ADDIN ZOTERO_ITEM CSL_CITATION {"citationID":"3rirtaKr","properties":{"formattedCitation":"[10]","plainCitation":"[10]","noteIndex":0},"citationItems":[{"id":1084,"uris":["http://zotero.org/users/local/mfHf28QG/items/UDN8SAAT"],"itemData":{"id":1084,"type":"article-journal","abstract":"Rapid identification of patients suffering from cerebral ischaemia, while excluding intracerebral haemorrhage, can assist with patient triage and expand patient access to chemical and mechanical revascularization. We sought to identify blood-based, ...","container-title":"Journal of Extracellular Vesicles","DOI":"10.1080/20013078.2020.1713540","issue":"1","language":"en","note":"number: 1\nPMID: 32128071","page":"1713540","source":"pmc.ncbi.nlm.nih.gov","title":"Extracellular microRNAs in blood differentiate between ischaemic and haemorrhagic stroke subtypes","volume":"9","author":[{"family":"Kalani","given":"M. Yashar S."},{"family":"Alsop","given":"Eric"},{"family":"Meechoovet","given":"Bessie"},{"family":"Beecroft","given":"Taylor"},{"family":"Agrawal","given":"Komal"},{"family":"Whitsett","given":"Timothy G."},{"family":"Huentelman","given":"Matthew J."},{"family":"Spetzler","given":"Robert F."},{"family":"Nakaji","given":"Peter"},{"family":"Kim","given":"Seungchan"},{"family":"Keuren-Jensen","given":"Kendall Van"}],"issued":{"date-parts":[["2020",1,24]]}}}],"schema":"https://github.com/citation-style-language/schema/raw/master/csl-citation.json"} </w:instrText>
      </w:r>
      <w:r w:rsidR="0048658B" w:rsidRPr="00A831E7">
        <w:rPr>
          <w:b/>
          <w:bCs/>
          <w:i/>
          <w:iCs/>
          <w:sz w:val="20"/>
          <w:szCs w:val="20"/>
        </w:rPr>
        <w:fldChar w:fldCharType="separate"/>
      </w:r>
      <w:r w:rsidR="0048658B" w:rsidRPr="00730D74">
        <w:rPr>
          <w:sz w:val="20"/>
          <w:lang w:val="en-US"/>
        </w:rPr>
        <w:t>[10]</w:t>
      </w:r>
      <w:r w:rsidR="0048658B" w:rsidRPr="00A831E7">
        <w:rPr>
          <w:b/>
          <w:bCs/>
          <w:i/>
          <w:iCs/>
          <w:sz w:val="20"/>
          <w:szCs w:val="20"/>
        </w:rPr>
        <w:fldChar w:fldCharType="end"/>
      </w:r>
    </w:p>
    <w:tbl>
      <w:tblPr>
        <w:tblStyle w:val="af0"/>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8"/>
        <w:gridCol w:w="1723"/>
        <w:gridCol w:w="1575"/>
        <w:gridCol w:w="1628"/>
        <w:gridCol w:w="1628"/>
      </w:tblGrid>
      <w:tr w:rsidR="00966BBE" w:rsidRPr="00A831E7" w14:paraId="30131098" w14:textId="77777777" w:rsidTr="0057069D">
        <w:trPr>
          <w:trHeight w:val="20"/>
        </w:trPr>
        <w:tc>
          <w:tcPr>
            <w:tcW w:w="1043" w:type="pct"/>
            <w:shd w:val="clear" w:color="auto" w:fill="D9D9D9" w:themeFill="background1" w:themeFillShade="D9"/>
            <w:noWrap/>
            <w:hideMark/>
          </w:tcPr>
          <w:p w14:paraId="3E5AD1B2" w14:textId="77777777" w:rsidR="00966BBE" w:rsidRPr="00A831E7" w:rsidRDefault="00966BBE" w:rsidP="00BF2D0F">
            <w:pPr>
              <w:rPr>
                <w:b/>
                <w:bCs/>
                <w:i/>
                <w:iCs/>
                <w:sz w:val="20"/>
                <w:szCs w:val="20"/>
              </w:rPr>
            </w:pPr>
            <w:r w:rsidRPr="00A831E7">
              <w:rPr>
                <w:b/>
                <w:bCs/>
                <w:i/>
                <w:iCs/>
                <w:sz w:val="20"/>
                <w:szCs w:val="20"/>
              </w:rPr>
              <w:t>IPH-SAH</w:t>
            </w:r>
          </w:p>
        </w:tc>
        <w:tc>
          <w:tcPr>
            <w:tcW w:w="1040" w:type="pct"/>
            <w:shd w:val="clear" w:color="auto" w:fill="D9D9D9" w:themeFill="background1" w:themeFillShade="D9"/>
          </w:tcPr>
          <w:p w14:paraId="3D2B7A52" w14:textId="77777777" w:rsidR="00966BBE" w:rsidRPr="00A831E7" w:rsidRDefault="00966BBE" w:rsidP="00BF2D0F">
            <w:pPr>
              <w:rPr>
                <w:b/>
                <w:bCs/>
                <w:i/>
                <w:iCs/>
                <w:sz w:val="20"/>
                <w:szCs w:val="20"/>
              </w:rPr>
            </w:pPr>
            <w:r w:rsidRPr="00A831E7">
              <w:rPr>
                <w:b/>
                <w:bCs/>
                <w:i/>
                <w:iCs/>
                <w:sz w:val="20"/>
                <w:szCs w:val="20"/>
              </w:rPr>
              <w:t>Stroke-SAH</w:t>
            </w:r>
          </w:p>
        </w:tc>
        <w:tc>
          <w:tcPr>
            <w:tcW w:w="951" w:type="pct"/>
            <w:shd w:val="clear" w:color="auto" w:fill="D9D9D9" w:themeFill="background1" w:themeFillShade="D9"/>
          </w:tcPr>
          <w:p w14:paraId="480081C4" w14:textId="77777777" w:rsidR="00966BBE" w:rsidRPr="00A831E7" w:rsidRDefault="00966BBE" w:rsidP="00BF2D0F">
            <w:pPr>
              <w:rPr>
                <w:b/>
                <w:bCs/>
                <w:i/>
                <w:iCs/>
                <w:sz w:val="20"/>
                <w:szCs w:val="20"/>
              </w:rPr>
            </w:pPr>
            <w:r w:rsidRPr="00A831E7">
              <w:rPr>
                <w:b/>
                <w:bCs/>
                <w:i/>
                <w:iCs/>
                <w:sz w:val="20"/>
                <w:szCs w:val="20"/>
              </w:rPr>
              <w:t>Stroke-IPH</w:t>
            </w:r>
          </w:p>
        </w:tc>
        <w:tc>
          <w:tcPr>
            <w:tcW w:w="983" w:type="pct"/>
            <w:shd w:val="clear" w:color="auto" w:fill="D9D9D9" w:themeFill="background1" w:themeFillShade="D9"/>
          </w:tcPr>
          <w:p w14:paraId="567F1E35" w14:textId="77777777" w:rsidR="00966BBE" w:rsidRPr="00A831E7" w:rsidRDefault="00966BBE" w:rsidP="00BF2D0F">
            <w:pPr>
              <w:rPr>
                <w:b/>
                <w:bCs/>
                <w:i/>
                <w:iCs/>
                <w:sz w:val="20"/>
                <w:szCs w:val="20"/>
              </w:rPr>
            </w:pPr>
            <w:r w:rsidRPr="00A831E7">
              <w:rPr>
                <w:b/>
                <w:bCs/>
                <w:i/>
                <w:iCs/>
                <w:sz w:val="20"/>
                <w:szCs w:val="20"/>
              </w:rPr>
              <w:t>SAH-Stroke&amp;IPH</w:t>
            </w:r>
          </w:p>
        </w:tc>
        <w:tc>
          <w:tcPr>
            <w:tcW w:w="983" w:type="pct"/>
            <w:shd w:val="clear" w:color="auto" w:fill="D9D9D9" w:themeFill="background1" w:themeFillShade="D9"/>
          </w:tcPr>
          <w:p w14:paraId="65B6C792" w14:textId="77777777" w:rsidR="00966BBE" w:rsidRPr="00A831E7" w:rsidRDefault="00966BBE" w:rsidP="00BF2D0F">
            <w:pPr>
              <w:rPr>
                <w:b/>
                <w:bCs/>
                <w:i/>
                <w:iCs/>
                <w:sz w:val="20"/>
                <w:szCs w:val="20"/>
              </w:rPr>
            </w:pPr>
            <w:r w:rsidRPr="00A831E7">
              <w:rPr>
                <w:b/>
                <w:bCs/>
                <w:i/>
                <w:iCs/>
                <w:sz w:val="20"/>
                <w:szCs w:val="20"/>
              </w:rPr>
              <w:t>Stroke-SAH&amp;IPH</w:t>
            </w:r>
          </w:p>
        </w:tc>
      </w:tr>
      <w:tr w:rsidR="00966BBE" w:rsidRPr="00D17951" w14:paraId="0C001E01" w14:textId="77777777" w:rsidTr="00DC3E03">
        <w:trPr>
          <w:trHeight w:val="20"/>
        </w:trPr>
        <w:tc>
          <w:tcPr>
            <w:tcW w:w="1043" w:type="pct"/>
            <w:noWrap/>
            <w:hideMark/>
          </w:tcPr>
          <w:p w14:paraId="667067EA" w14:textId="77777777" w:rsidR="00966BBE" w:rsidRPr="00730D74" w:rsidRDefault="00966BBE" w:rsidP="00BF2D0F">
            <w:pPr>
              <w:rPr>
                <w:sz w:val="18"/>
                <w:szCs w:val="18"/>
                <w:lang w:val="en-US"/>
              </w:rPr>
            </w:pPr>
            <w:r w:rsidRPr="00730D74">
              <w:rPr>
                <w:sz w:val="18"/>
                <w:szCs w:val="18"/>
                <w:lang w:val="en-US"/>
              </w:rPr>
              <w:t>hsa-miR-30a-3p</w:t>
            </w:r>
          </w:p>
          <w:p w14:paraId="014F6DE7" w14:textId="77777777" w:rsidR="00966BBE" w:rsidRPr="00730D74" w:rsidRDefault="00966BBE" w:rsidP="00BF2D0F">
            <w:pPr>
              <w:rPr>
                <w:sz w:val="18"/>
                <w:szCs w:val="18"/>
                <w:lang w:val="en-US"/>
              </w:rPr>
            </w:pPr>
            <w:r w:rsidRPr="00730D74">
              <w:rPr>
                <w:sz w:val="18"/>
                <w:szCs w:val="18"/>
                <w:lang w:val="en-US"/>
              </w:rPr>
              <w:t>hsa-miR-224-5p</w:t>
            </w:r>
          </w:p>
          <w:p w14:paraId="5F37EDFD" w14:textId="77777777" w:rsidR="00966BBE" w:rsidRPr="00730D74" w:rsidRDefault="00966BBE" w:rsidP="00BF2D0F">
            <w:pPr>
              <w:rPr>
                <w:sz w:val="18"/>
                <w:szCs w:val="18"/>
                <w:lang w:val="en-US"/>
              </w:rPr>
            </w:pPr>
            <w:r w:rsidRPr="00730D74">
              <w:rPr>
                <w:sz w:val="18"/>
                <w:szCs w:val="18"/>
                <w:lang w:val="en-US"/>
              </w:rPr>
              <w:t>hsa-miR-629-5p</w:t>
            </w:r>
          </w:p>
          <w:p w14:paraId="7FB1F027" w14:textId="77777777" w:rsidR="00966BBE" w:rsidRPr="00730D74" w:rsidRDefault="00966BBE" w:rsidP="00BF2D0F">
            <w:pPr>
              <w:rPr>
                <w:sz w:val="18"/>
                <w:szCs w:val="18"/>
                <w:lang w:val="en-US"/>
              </w:rPr>
            </w:pPr>
            <w:r w:rsidRPr="00730D74">
              <w:rPr>
                <w:sz w:val="18"/>
                <w:szCs w:val="18"/>
                <w:lang w:val="en-US"/>
              </w:rPr>
              <w:t>hsa-miR-98-3p</w:t>
            </w:r>
          </w:p>
          <w:p w14:paraId="68570D63" w14:textId="77777777" w:rsidR="00966BBE" w:rsidRPr="00730D74" w:rsidRDefault="00966BBE" w:rsidP="00BF2D0F">
            <w:pPr>
              <w:rPr>
                <w:sz w:val="18"/>
                <w:szCs w:val="18"/>
                <w:lang w:val="en-US"/>
              </w:rPr>
            </w:pPr>
            <w:r w:rsidRPr="00730D74">
              <w:rPr>
                <w:sz w:val="18"/>
                <w:szCs w:val="18"/>
                <w:lang w:val="en-US"/>
              </w:rPr>
              <w:t>hsa-miR-598-3p</w:t>
            </w:r>
          </w:p>
          <w:p w14:paraId="6EA98DAB" w14:textId="77777777" w:rsidR="00966BBE" w:rsidRPr="00730D74" w:rsidRDefault="00966BBE" w:rsidP="00BF2D0F">
            <w:pPr>
              <w:rPr>
                <w:sz w:val="18"/>
                <w:szCs w:val="18"/>
                <w:lang w:val="en-US"/>
              </w:rPr>
            </w:pPr>
            <w:r w:rsidRPr="00730D74">
              <w:rPr>
                <w:sz w:val="18"/>
                <w:szCs w:val="18"/>
                <w:lang w:val="en-US"/>
              </w:rPr>
              <w:t>hsa-miR-30e-3p</w:t>
            </w:r>
          </w:p>
          <w:p w14:paraId="79ACB8E0" w14:textId="77777777" w:rsidR="00966BBE" w:rsidRPr="00730D74" w:rsidRDefault="00966BBE" w:rsidP="00BF2D0F">
            <w:pPr>
              <w:rPr>
                <w:sz w:val="18"/>
                <w:szCs w:val="18"/>
                <w:lang w:val="en-US"/>
              </w:rPr>
            </w:pPr>
            <w:r w:rsidRPr="00730D74">
              <w:rPr>
                <w:sz w:val="18"/>
                <w:szCs w:val="18"/>
                <w:lang w:val="en-US"/>
              </w:rPr>
              <w:t>hsa-miR-215-5p</w:t>
            </w:r>
          </w:p>
          <w:p w14:paraId="723D6EF8" w14:textId="77777777" w:rsidR="00966BBE" w:rsidRPr="00730D74" w:rsidRDefault="00966BBE" w:rsidP="00BF2D0F">
            <w:pPr>
              <w:rPr>
                <w:sz w:val="18"/>
                <w:szCs w:val="18"/>
                <w:lang w:val="en-US"/>
              </w:rPr>
            </w:pPr>
            <w:r w:rsidRPr="00730D74">
              <w:rPr>
                <w:sz w:val="18"/>
                <w:szCs w:val="18"/>
                <w:lang w:val="en-US"/>
              </w:rPr>
              <w:t>hsa-miR-625-3p</w:t>
            </w:r>
          </w:p>
          <w:p w14:paraId="39D71B34" w14:textId="77777777" w:rsidR="00966BBE" w:rsidRPr="00730D74" w:rsidRDefault="00966BBE" w:rsidP="00BF2D0F">
            <w:pPr>
              <w:rPr>
                <w:sz w:val="18"/>
                <w:szCs w:val="18"/>
                <w:lang w:val="en-US"/>
              </w:rPr>
            </w:pPr>
            <w:r w:rsidRPr="00730D74">
              <w:rPr>
                <w:sz w:val="18"/>
                <w:szCs w:val="18"/>
                <w:lang w:val="en-US"/>
              </w:rPr>
              <w:t>hsa-miR-148b-5p</w:t>
            </w:r>
          </w:p>
          <w:p w14:paraId="0C3B5E27" w14:textId="77777777" w:rsidR="00966BBE" w:rsidRPr="00730D74" w:rsidRDefault="00966BBE" w:rsidP="00BF2D0F">
            <w:pPr>
              <w:rPr>
                <w:sz w:val="18"/>
                <w:szCs w:val="18"/>
                <w:lang w:val="en-US"/>
              </w:rPr>
            </w:pPr>
            <w:r w:rsidRPr="00730D74">
              <w:rPr>
                <w:sz w:val="18"/>
                <w:szCs w:val="18"/>
                <w:lang w:val="en-US"/>
              </w:rPr>
              <w:t>hsa-let-7c-5p</w:t>
            </w:r>
          </w:p>
          <w:p w14:paraId="5C97C3DA" w14:textId="77777777" w:rsidR="00966BBE" w:rsidRPr="00730D74" w:rsidRDefault="00966BBE" w:rsidP="00BF2D0F">
            <w:pPr>
              <w:rPr>
                <w:sz w:val="18"/>
                <w:szCs w:val="18"/>
                <w:lang w:val="en-US"/>
              </w:rPr>
            </w:pPr>
            <w:r w:rsidRPr="00730D74">
              <w:rPr>
                <w:sz w:val="18"/>
                <w:szCs w:val="18"/>
                <w:lang w:val="en-US"/>
              </w:rPr>
              <w:t>hsa-miR-378c</w:t>
            </w:r>
          </w:p>
          <w:p w14:paraId="45415930" w14:textId="77777777" w:rsidR="00966BBE" w:rsidRPr="00730D74" w:rsidRDefault="00966BBE" w:rsidP="00BF2D0F">
            <w:pPr>
              <w:rPr>
                <w:sz w:val="18"/>
                <w:szCs w:val="18"/>
                <w:lang w:val="en-US"/>
              </w:rPr>
            </w:pPr>
            <w:r w:rsidRPr="00730D74">
              <w:rPr>
                <w:sz w:val="18"/>
                <w:szCs w:val="18"/>
                <w:lang w:val="en-US"/>
              </w:rPr>
              <w:t>hsa-miR-625-5p</w:t>
            </w:r>
          </w:p>
          <w:p w14:paraId="77075BDA" w14:textId="77777777" w:rsidR="00966BBE" w:rsidRPr="00730D74" w:rsidRDefault="00966BBE" w:rsidP="00BF2D0F">
            <w:pPr>
              <w:rPr>
                <w:sz w:val="18"/>
                <w:szCs w:val="18"/>
                <w:lang w:val="en-US"/>
              </w:rPr>
            </w:pPr>
            <w:r w:rsidRPr="00730D74">
              <w:rPr>
                <w:sz w:val="18"/>
                <w:szCs w:val="18"/>
                <w:lang w:val="en-US"/>
              </w:rPr>
              <w:t>hsa-miR-99a-5p</w:t>
            </w:r>
          </w:p>
          <w:p w14:paraId="705BBD18" w14:textId="77777777" w:rsidR="00966BBE" w:rsidRPr="00730D74" w:rsidRDefault="00966BBE" w:rsidP="00BF2D0F">
            <w:pPr>
              <w:rPr>
                <w:sz w:val="18"/>
                <w:szCs w:val="18"/>
                <w:lang w:val="en-US"/>
              </w:rPr>
            </w:pPr>
            <w:r w:rsidRPr="00730D74">
              <w:rPr>
                <w:sz w:val="18"/>
                <w:szCs w:val="18"/>
                <w:lang w:val="en-US"/>
              </w:rPr>
              <w:t>hsa-miR-210-3p</w:t>
            </w:r>
          </w:p>
          <w:p w14:paraId="0A722826" w14:textId="77777777" w:rsidR="00966BBE" w:rsidRPr="00730D74" w:rsidRDefault="00966BBE" w:rsidP="00BF2D0F">
            <w:pPr>
              <w:rPr>
                <w:sz w:val="18"/>
                <w:szCs w:val="18"/>
                <w:lang w:val="en-US"/>
              </w:rPr>
            </w:pPr>
            <w:r w:rsidRPr="00730D74">
              <w:rPr>
                <w:sz w:val="18"/>
                <w:szCs w:val="18"/>
                <w:lang w:val="en-US"/>
              </w:rPr>
              <w:t>hsa-miR-378a-3p</w:t>
            </w:r>
          </w:p>
          <w:p w14:paraId="587AF8F8" w14:textId="77777777" w:rsidR="00966BBE" w:rsidRPr="00730D74" w:rsidRDefault="00966BBE" w:rsidP="00BF2D0F">
            <w:pPr>
              <w:rPr>
                <w:sz w:val="18"/>
                <w:szCs w:val="18"/>
                <w:lang w:val="en-US"/>
              </w:rPr>
            </w:pPr>
            <w:r w:rsidRPr="00730D74">
              <w:rPr>
                <w:sz w:val="18"/>
                <w:szCs w:val="18"/>
                <w:lang w:val="en-US"/>
              </w:rPr>
              <w:t>hsa-miR-133a-3p</w:t>
            </w:r>
          </w:p>
          <w:p w14:paraId="00AE20A8" w14:textId="77777777" w:rsidR="00966BBE" w:rsidRPr="00730D74" w:rsidRDefault="00966BBE" w:rsidP="00BF2D0F">
            <w:pPr>
              <w:rPr>
                <w:sz w:val="18"/>
                <w:szCs w:val="18"/>
                <w:lang w:val="en-US"/>
              </w:rPr>
            </w:pPr>
            <w:r w:rsidRPr="00730D74">
              <w:rPr>
                <w:sz w:val="18"/>
                <w:szCs w:val="18"/>
                <w:lang w:val="en-US"/>
              </w:rPr>
              <w:t>hsa-miR-486-5p</w:t>
            </w:r>
          </w:p>
          <w:p w14:paraId="3327895A" w14:textId="77777777" w:rsidR="00966BBE" w:rsidRPr="00730D74" w:rsidRDefault="00966BBE" w:rsidP="00BF2D0F">
            <w:pPr>
              <w:rPr>
                <w:sz w:val="18"/>
                <w:szCs w:val="18"/>
                <w:lang w:val="en-US"/>
              </w:rPr>
            </w:pPr>
            <w:r w:rsidRPr="00730D74">
              <w:rPr>
                <w:sz w:val="18"/>
                <w:szCs w:val="18"/>
                <w:lang w:val="en-US"/>
              </w:rPr>
              <w:t>hsa-miR-652-3p</w:t>
            </w:r>
          </w:p>
          <w:p w14:paraId="0ECCFDA4" w14:textId="77777777" w:rsidR="00966BBE" w:rsidRPr="00730D74" w:rsidRDefault="00966BBE" w:rsidP="00BF2D0F">
            <w:pPr>
              <w:rPr>
                <w:sz w:val="18"/>
                <w:szCs w:val="18"/>
                <w:lang w:val="en-US"/>
              </w:rPr>
            </w:pPr>
            <w:r w:rsidRPr="00730D74">
              <w:rPr>
                <w:sz w:val="18"/>
                <w:szCs w:val="18"/>
                <w:lang w:val="en-US"/>
              </w:rPr>
              <w:t>hsa-miR-140-3p</w:t>
            </w:r>
          </w:p>
          <w:p w14:paraId="692B478B" w14:textId="77777777" w:rsidR="00966BBE" w:rsidRPr="00730D74" w:rsidRDefault="00966BBE" w:rsidP="00BF2D0F">
            <w:pPr>
              <w:rPr>
                <w:sz w:val="18"/>
                <w:szCs w:val="18"/>
                <w:lang w:val="en-US"/>
              </w:rPr>
            </w:pPr>
            <w:r w:rsidRPr="00730D74">
              <w:rPr>
                <w:sz w:val="18"/>
                <w:szCs w:val="18"/>
                <w:lang w:val="en-US"/>
              </w:rPr>
              <w:t>hsa-miR-320b</w:t>
            </w:r>
          </w:p>
          <w:p w14:paraId="3C648237" w14:textId="77777777" w:rsidR="00966BBE" w:rsidRPr="00730D74" w:rsidRDefault="00966BBE" w:rsidP="00BF2D0F">
            <w:pPr>
              <w:rPr>
                <w:sz w:val="18"/>
                <w:szCs w:val="18"/>
                <w:lang w:val="en-US"/>
              </w:rPr>
            </w:pPr>
            <w:r w:rsidRPr="00730D74">
              <w:rPr>
                <w:sz w:val="18"/>
                <w:szCs w:val="18"/>
                <w:lang w:val="en-US"/>
              </w:rPr>
              <w:t>hsa-miR-23b-3p</w:t>
            </w:r>
          </w:p>
          <w:p w14:paraId="76E44A8C" w14:textId="77777777" w:rsidR="00966BBE" w:rsidRPr="00730D74" w:rsidRDefault="00966BBE" w:rsidP="00BF2D0F">
            <w:pPr>
              <w:rPr>
                <w:sz w:val="18"/>
                <w:szCs w:val="18"/>
                <w:lang w:val="en-US"/>
              </w:rPr>
            </w:pPr>
            <w:r w:rsidRPr="00730D74">
              <w:rPr>
                <w:sz w:val="18"/>
                <w:szCs w:val="18"/>
                <w:lang w:val="en-US"/>
              </w:rPr>
              <w:t>hsa-miR-130b-5p</w:t>
            </w:r>
          </w:p>
          <w:p w14:paraId="2F0CE382" w14:textId="77777777" w:rsidR="00966BBE" w:rsidRPr="00730D74" w:rsidRDefault="00966BBE" w:rsidP="00BF2D0F">
            <w:pPr>
              <w:rPr>
                <w:sz w:val="18"/>
                <w:szCs w:val="18"/>
                <w:lang w:val="en-US"/>
              </w:rPr>
            </w:pPr>
            <w:r w:rsidRPr="00730D74">
              <w:rPr>
                <w:sz w:val="18"/>
                <w:szCs w:val="18"/>
                <w:lang w:val="en-US"/>
              </w:rPr>
              <w:lastRenderedPageBreak/>
              <w:t>hsa-miR-424-3p</w:t>
            </w:r>
          </w:p>
          <w:p w14:paraId="1C80B571" w14:textId="77777777" w:rsidR="00966BBE" w:rsidRPr="00730D74" w:rsidRDefault="00966BBE" w:rsidP="00BF2D0F">
            <w:pPr>
              <w:rPr>
                <w:sz w:val="18"/>
                <w:szCs w:val="18"/>
                <w:lang w:val="en-US"/>
              </w:rPr>
            </w:pPr>
            <w:r w:rsidRPr="00730D74">
              <w:rPr>
                <w:sz w:val="18"/>
                <w:szCs w:val="18"/>
                <w:lang w:val="en-US"/>
              </w:rPr>
              <w:t>hsa-miR-25-5p</w:t>
            </w:r>
          </w:p>
          <w:p w14:paraId="10BD60E8" w14:textId="77777777" w:rsidR="00966BBE" w:rsidRPr="00730D74" w:rsidRDefault="00966BBE" w:rsidP="00BF2D0F">
            <w:pPr>
              <w:rPr>
                <w:sz w:val="18"/>
                <w:szCs w:val="18"/>
                <w:lang w:val="en-US"/>
              </w:rPr>
            </w:pPr>
            <w:r w:rsidRPr="00730D74">
              <w:rPr>
                <w:sz w:val="18"/>
                <w:szCs w:val="18"/>
                <w:lang w:val="en-US"/>
              </w:rPr>
              <w:t>hsa-miR-340-3p</w:t>
            </w:r>
          </w:p>
          <w:p w14:paraId="4C3B683E" w14:textId="77777777" w:rsidR="00966BBE" w:rsidRPr="00730D74" w:rsidRDefault="00966BBE" w:rsidP="00BF2D0F">
            <w:pPr>
              <w:rPr>
                <w:sz w:val="18"/>
                <w:szCs w:val="18"/>
                <w:lang w:val="en-US"/>
              </w:rPr>
            </w:pPr>
            <w:r w:rsidRPr="00730D74">
              <w:rPr>
                <w:sz w:val="18"/>
                <w:szCs w:val="18"/>
                <w:lang w:val="en-US"/>
              </w:rPr>
              <w:t>hsa-miR-33b-5p</w:t>
            </w:r>
          </w:p>
          <w:p w14:paraId="1E1AE2B3" w14:textId="77777777" w:rsidR="00966BBE" w:rsidRPr="00730D74" w:rsidRDefault="00966BBE" w:rsidP="00BF2D0F">
            <w:pPr>
              <w:rPr>
                <w:sz w:val="18"/>
                <w:szCs w:val="18"/>
                <w:lang w:val="en-US"/>
              </w:rPr>
            </w:pPr>
            <w:r w:rsidRPr="00730D74">
              <w:rPr>
                <w:sz w:val="18"/>
                <w:szCs w:val="18"/>
                <w:lang w:val="en-US"/>
              </w:rPr>
              <w:t>hsa-miR-127-3p</w:t>
            </w:r>
          </w:p>
          <w:p w14:paraId="0877AE25" w14:textId="77777777" w:rsidR="00966BBE" w:rsidRPr="00730D74" w:rsidRDefault="00966BBE" w:rsidP="00BF2D0F">
            <w:pPr>
              <w:rPr>
                <w:sz w:val="18"/>
                <w:szCs w:val="18"/>
                <w:lang w:val="en-US"/>
              </w:rPr>
            </w:pPr>
            <w:r w:rsidRPr="00730D74">
              <w:rPr>
                <w:sz w:val="18"/>
                <w:szCs w:val="18"/>
                <w:lang w:val="en-US"/>
              </w:rPr>
              <w:t>hsa-miR-320a</w:t>
            </w:r>
          </w:p>
          <w:p w14:paraId="72606EFF" w14:textId="77777777" w:rsidR="00966BBE" w:rsidRPr="00730D74" w:rsidRDefault="00966BBE" w:rsidP="00BF2D0F">
            <w:pPr>
              <w:rPr>
                <w:sz w:val="18"/>
                <w:szCs w:val="18"/>
                <w:lang w:val="en-US"/>
              </w:rPr>
            </w:pPr>
            <w:r w:rsidRPr="00730D74">
              <w:rPr>
                <w:sz w:val="18"/>
                <w:szCs w:val="18"/>
                <w:lang w:val="en-US"/>
              </w:rPr>
              <w:t>hsa-miR-7849-3p</w:t>
            </w:r>
          </w:p>
          <w:p w14:paraId="788F1742" w14:textId="77777777" w:rsidR="00966BBE" w:rsidRPr="00730D74" w:rsidRDefault="00966BBE" w:rsidP="00BF2D0F">
            <w:pPr>
              <w:rPr>
                <w:sz w:val="18"/>
                <w:szCs w:val="18"/>
                <w:lang w:val="en-US"/>
              </w:rPr>
            </w:pPr>
            <w:r w:rsidRPr="00730D74">
              <w:rPr>
                <w:sz w:val="18"/>
                <w:szCs w:val="18"/>
                <w:lang w:val="en-US"/>
              </w:rPr>
              <w:t>hsa-miR-185-5p</w:t>
            </w:r>
          </w:p>
          <w:p w14:paraId="247C2B1A" w14:textId="77777777" w:rsidR="00966BBE" w:rsidRPr="00730D74" w:rsidRDefault="00966BBE" w:rsidP="00BF2D0F">
            <w:pPr>
              <w:rPr>
                <w:sz w:val="18"/>
                <w:szCs w:val="18"/>
                <w:lang w:val="en-US"/>
              </w:rPr>
            </w:pPr>
            <w:r w:rsidRPr="00730D74">
              <w:rPr>
                <w:sz w:val="18"/>
                <w:szCs w:val="18"/>
                <w:lang w:val="en-US"/>
              </w:rPr>
              <w:t>hsa-miR-500a-3p</w:t>
            </w:r>
          </w:p>
          <w:p w14:paraId="4A8E3C1E" w14:textId="77777777" w:rsidR="00966BBE" w:rsidRPr="00730D74" w:rsidRDefault="00966BBE" w:rsidP="00BF2D0F">
            <w:pPr>
              <w:rPr>
                <w:sz w:val="18"/>
                <w:szCs w:val="18"/>
                <w:lang w:val="en-US"/>
              </w:rPr>
            </w:pPr>
            <w:r w:rsidRPr="00730D74">
              <w:rPr>
                <w:sz w:val="18"/>
                <w:szCs w:val="18"/>
                <w:lang w:val="en-US"/>
              </w:rPr>
              <w:t>hsa-miR-1285-3p</w:t>
            </w:r>
          </w:p>
          <w:p w14:paraId="4DA5232A" w14:textId="77777777" w:rsidR="00966BBE" w:rsidRPr="00730D74" w:rsidRDefault="00966BBE" w:rsidP="00BF2D0F">
            <w:pPr>
              <w:rPr>
                <w:sz w:val="18"/>
                <w:szCs w:val="18"/>
                <w:lang w:val="en-US"/>
              </w:rPr>
            </w:pPr>
            <w:r w:rsidRPr="00730D74">
              <w:rPr>
                <w:sz w:val="18"/>
                <w:szCs w:val="18"/>
                <w:lang w:val="en-US"/>
              </w:rPr>
              <w:t>hsa-miR-363-3p</w:t>
            </w:r>
          </w:p>
          <w:p w14:paraId="5342DB0C" w14:textId="77777777" w:rsidR="00966BBE" w:rsidRPr="00730D74" w:rsidRDefault="00966BBE" w:rsidP="00BF2D0F">
            <w:pPr>
              <w:rPr>
                <w:sz w:val="18"/>
                <w:szCs w:val="18"/>
                <w:lang w:val="en-US"/>
              </w:rPr>
            </w:pPr>
            <w:r w:rsidRPr="00730D74">
              <w:rPr>
                <w:sz w:val="18"/>
                <w:szCs w:val="18"/>
                <w:lang w:val="en-US"/>
              </w:rPr>
              <w:t>hsa-miR-192-5p</w:t>
            </w:r>
          </w:p>
          <w:p w14:paraId="46DA3E90" w14:textId="77777777" w:rsidR="00966BBE" w:rsidRPr="00730D74" w:rsidRDefault="00966BBE" w:rsidP="00BF2D0F">
            <w:pPr>
              <w:rPr>
                <w:sz w:val="18"/>
                <w:szCs w:val="18"/>
                <w:lang w:val="en-US"/>
              </w:rPr>
            </w:pPr>
            <w:r w:rsidRPr="00730D74">
              <w:rPr>
                <w:sz w:val="18"/>
                <w:szCs w:val="18"/>
                <w:lang w:val="en-US"/>
              </w:rPr>
              <w:t>hsa-miR-107</w:t>
            </w:r>
          </w:p>
          <w:p w14:paraId="3D9F0709" w14:textId="77777777" w:rsidR="00966BBE" w:rsidRPr="00730D74" w:rsidRDefault="00966BBE" w:rsidP="00BF2D0F">
            <w:pPr>
              <w:rPr>
                <w:sz w:val="18"/>
                <w:szCs w:val="18"/>
                <w:lang w:val="en-US"/>
              </w:rPr>
            </w:pPr>
            <w:r w:rsidRPr="00730D74">
              <w:rPr>
                <w:sz w:val="18"/>
                <w:szCs w:val="18"/>
                <w:lang w:val="en-US"/>
              </w:rPr>
              <w:t>hsa-miR-181a-5p</w:t>
            </w:r>
          </w:p>
          <w:p w14:paraId="18DDAD41" w14:textId="77777777" w:rsidR="00966BBE" w:rsidRPr="00730D74" w:rsidRDefault="00966BBE" w:rsidP="00BF2D0F">
            <w:pPr>
              <w:rPr>
                <w:sz w:val="18"/>
                <w:szCs w:val="18"/>
                <w:lang w:val="en-US"/>
              </w:rPr>
            </w:pPr>
            <w:r w:rsidRPr="00730D74">
              <w:rPr>
                <w:sz w:val="18"/>
                <w:szCs w:val="18"/>
                <w:lang w:val="en-US"/>
              </w:rPr>
              <w:t>hsa-miR-423-3p</w:t>
            </w:r>
          </w:p>
          <w:p w14:paraId="0B4C46F2" w14:textId="77777777" w:rsidR="00966BBE" w:rsidRPr="00730D74" w:rsidRDefault="00966BBE" w:rsidP="00BF2D0F">
            <w:pPr>
              <w:rPr>
                <w:sz w:val="18"/>
                <w:szCs w:val="18"/>
                <w:lang w:val="en-US"/>
              </w:rPr>
            </w:pPr>
            <w:r w:rsidRPr="00730D74">
              <w:rPr>
                <w:sz w:val="18"/>
                <w:szCs w:val="18"/>
                <w:lang w:val="en-US"/>
              </w:rPr>
              <w:t>hsa-miR-589-5p</w:t>
            </w:r>
          </w:p>
          <w:p w14:paraId="084A6B76" w14:textId="77777777" w:rsidR="00966BBE" w:rsidRPr="00730D74" w:rsidRDefault="00966BBE" w:rsidP="00BF2D0F">
            <w:pPr>
              <w:rPr>
                <w:sz w:val="18"/>
                <w:szCs w:val="18"/>
                <w:lang w:val="en-US"/>
              </w:rPr>
            </w:pPr>
            <w:r w:rsidRPr="00730D74">
              <w:rPr>
                <w:sz w:val="18"/>
                <w:szCs w:val="18"/>
                <w:lang w:val="en-US"/>
              </w:rPr>
              <w:t>hsa-miR-99b-5p</w:t>
            </w:r>
          </w:p>
          <w:p w14:paraId="2A095487" w14:textId="77777777" w:rsidR="00966BBE" w:rsidRPr="00730D74" w:rsidRDefault="00966BBE" w:rsidP="00BF2D0F">
            <w:pPr>
              <w:rPr>
                <w:sz w:val="18"/>
                <w:szCs w:val="18"/>
                <w:lang w:val="en-US"/>
              </w:rPr>
            </w:pPr>
            <w:r w:rsidRPr="00730D74">
              <w:rPr>
                <w:sz w:val="18"/>
                <w:szCs w:val="18"/>
                <w:lang w:val="en-US"/>
              </w:rPr>
              <w:t>hsa-miR-425-3p</w:t>
            </w:r>
          </w:p>
          <w:p w14:paraId="42FC7D89" w14:textId="77777777" w:rsidR="00966BBE" w:rsidRPr="00730D74" w:rsidRDefault="00966BBE" w:rsidP="00BF2D0F">
            <w:pPr>
              <w:rPr>
                <w:sz w:val="18"/>
                <w:szCs w:val="18"/>
                <w:lang w:val="en-US"/>
              </w:rPr>
            </w:pPr>
            <w:r w:rsidRPr="00730D74">
              <w:rPr>
                <w:sz w:val="18"/>
                <w:szCs w:val="18"/>
                <w:lang w:val="en-US"/>
              </w:rPr>
              <w:t>hsa-miR-501-3p</w:t>
            </w:r>
          </w:p>
          <w:p w14:paraId="6B68B6FA" w14:textId="77777777" w:rsidR="00966BBE" w:rsidRPr="00730D74" w:rsidRDefault="00966BBE" w:rsidP="00BF2D0F">
            <w:pPr>
              <w:rPr>
                <w:sz w:val="18"/>
                <w:szCs w:val="18"/>
                <w:lang w:val="en-US"/>
              </w:rPr>
            </w:pPr>
            <w:r w:rsidRPr="00730D74">
              <w:rPr>
                <w:sz w:val="18"/>
                <w:szCs w:val="18"/>
                <w:lang w:val="en-US"/>
              </w:rPr>
              <w:t>hsa-miR-28-5p</w:t>
            </w:r>
          </w:p>
          <w:p w14:paraId="2B40763B" w14:textId="77777777" w:rsidR="00966BBE" w:rsidRPr="00730D74" w:rsidRDefault="00966BBE" w:rsidP="00BF2D0F">
            <w:pPr>
              <w:rPr>
                <w:sz w:val="18"/>
                <w:szCs w:val="18"/>
                <w:lang w:val="en-US"/>
              </w:rPr>
            </w:pPr>
            <w:r w:rsidRPr="00730D74">
              <w:rPr>
                <w:sz w:val="18"/>
                <w:szCs w:val="18"/>
                <w:lang w:val="en-US"/>
              </w:rPr>
              <w:t>hsa-miR-25-3p</w:t>
            </w:r>
          </w:p>
          <w:p w14:paraId="63046E01" w14:textId="77777777" w:rsidR="00966BBE" w:rsidRPr="00730D74" w:rsidRDefault="00966BBE" w:rsidP="00BF2D0F">
            <w:pPr>
              <w:rPr>
                <w:sz w:val="18"/>
                <w:szCs w:val="18"/>
                <w:lang w:val="en-US"/>
              </w:rPr>
            </w:pPr>
            <w:r w:rsidRPr="00730D74">
              <w:rPr>
                <w:sz w:val="18"/>
                <w:szCs w:val="18"/>
                <w:lang w:val="en-US"/>
              </w:rPr>
              <w:t>hsa-miR-324-3p</w:t>
            </w:r>
          </w:p>
          <w:p w14:paraId="3BFCFB86" w14:textId="77777777" w:rsidR="00966BBE" w:rsidRPr="00730D74" w:rsidRDefault="00966BBE" w:rsidP="00BF2D0F">
            <w:pPr>
              <w:rPr>
                <w:sz w:val="18"/>
                <w:szCs w:val="18"/>
                <w:lang w:val="en-US"/>
              </w:rPr>
            </w:pPr>
            <w:r w:rsidRPr="00730D74">
              <w:rPr>
                <w:sz w:val="18"/>
                <w:szCs w:val="18"/>
                <w:lang w:val="en-US"/>
              </w:rPr>
              <w:t>hsa-miR-103a-3p</w:t>
            </w:r>
          </w:p>
          <w:p w14:paraId="734A1161" w14:textId="77777777" w:rsidR="00966BBE" w:rsidRPr="00730D74" w:rsidRDefault="00966BBE" w:rsidP="00BF2D0F">
            <w:pPr>
              <w:rPr>
                <w:sz w:val="18"/>
                <w:szCs w:val="18"/>
                <w:lang w:val="en-US"/>
              </w:rPr>
            </w:pPr>
            <w:r w:rsidRPr="00730D74">
              <w:rPr>
                <w:sz w:val="18"/>
                <w:szCs w:val="18"/>
                <w:lang w:val="en-US"/>
              </w:rPr>
              <w:t>hsa-miR-497-5p</w:t>
            </w:r>
          </w:p>
          <w:p w14:paraId="7B899DF0" w14:textId="77777777" w:rsidR="00966BBE" w:rsidRPr="00730D74" w:rsidRDefault="00966BBE" w:rsidP="00BF2D0F">
            <w:pPr>
              <w:rPr>
                <w:sz w:val="18"/>
                <w:szCs w:val="18"/>
                <w:lang w:val="en-US"/>
              </w:rPr>
            </w:pPr>
            <w:r w:rsidRPr="00730D74">
              <w:rPr>
                <w:sz w:val="18"/>
                <w:szCs w:val="18"/>
                <w:lang w:val="en-US"/>
              </w:rPr>
              <w:t>hsa-miR-532-5p</w:t>
            </w:r>
          </w:p>
          <w:p w14:paraId="697CE903" w14:textId="77777777" w:rsidR="00966BBE" w:rsidRPr="00730D74" w:rsidRDefault="00966BBE" w:rsidP="00BF2D0F">
            <w:pPr>
              <w:rPr>
                <w:sz w:val="18"/>
                <w:szCs w:val="18"/>
                <w:lang w:val="en-US"/>
              </w:rPr>
            </w:pPr>
            <w:r w:rsidRPr="00730D74">
              <w:rPr>
                <w:sz w:val="18"/>
                <w:szCs w:val="18"/>
                <w:lang w:val="en-US"/>
              </w:rPr>
              <w:t>hsa-miR-486-3p</w:t>
            </w:r>
          </w:p>
          <w:p w14:paraId="7803F66C" w14:textId="77777777" w:rsidR="00966BBE" w:rsidRPr="00730D74" w:rsidRDefault="00966BBE" w:rsidP="00BF2D0F">
            <w:pPr>
              <w:rPr>
                <w:sz w:val="18"/>
                <w:szCs w:val="18"/>
                <w:lang w:val="en-US"/>
              </w:rPr>
            </w:pPr>
            <w:r w:rsidRPr="00730D74">
              <w:rPr>
                <w:sz w:val="18"/>
                <w:szCs w:val="18"/>
                <w:lang w:val="en-US"/>
              </w:rPr>
              <w:t>hsa-miR-889-3p</w:t>
            </w:r>
          </w:p>
          <w:p w14:paraId="4B11815F" w14:textId="77777777" w:rsidR="00966BBE" w:rsidRPr="00730D74" w:rsidRDefault="00966BBE" w:rsidP="00BF2D0F">
            <w:pPr>
              <w:rPr>
                <w:sz w:val="18"/>
                <w:szCs w:val="18"/>
                <w:lang w:val="en-US"/>
              </w:rPr>
            </w:pPr>
            <w:r w:rsidRPr="00730D74">
              <w:rPr>
                <w:sz w:val="18"/>
                <w:szCs w:val="18"/>
                <w:lang w:val="en-US"/>
              </w:rPr>
              <w:t>hsa-miR-324-5p</w:t>
            </w:r>
          </w:p>
          <w:p w14:paraId="799D0854" w14:textId="77777777" w:rsidR="00966BBE" w:rsidRPr="00730D74" w:rsidRDefault="00966BBE" w:rsidP="00BF2D0F">
            <w:pPr>
              <w:rPr>
                <w:sz w:val="18"/>
                <w:szCs w:val="18"/>
                <w:lang w:val="en-US"/>
              </w:rPr>
            </w:pPr>
            <w:r w:rsidRPr="00730D74">
              <w:rPr>
                <w:sz w:val="18"/>
                <w:szCs w:val="18"/>
                <w:lang w:val="en-US"/>
              </w:rPr>
              <w:t>hsa-miR-106b-3p</w:t>
            </w:r>
          </w:p>
          <w:p w14:paraId="18557129" w14:textId="77777777" w:rsidR="00966BBE" w:rsidRPr="00730D74" w:rsidRDefault="00966BBE" w:rsidP="00BF2D0F">
            <w:pPr>
              <w:rPr>
                <w:sz w:val="18"/>
                <w:szCs w:val="18"/>
                <w:lang w:val="en-US"/>
              </w:rPr>
            </w:pPr>
            <w:r w:rsidRPr="00730D74">
              <w:rPr>
                <w:sz w:val="18"/>
                <w:szCs w:val="18"/>
                <w:lang w:val="en-US"/>
              </w:rPr>
              <w:t>hsa-miR-146b-5p</w:t>
            </w:r>
          </w:p>
          <w:p w14:paraId="20E2E213" w14:textId="77777777" w:rsidR="00966BBE" w:rsidRPr="00730D74" w:rsidRDefault="00966BBE" w:rsidP="00BF2D0F">
            <w:pPr>
              <w:rPr>
                <w:sz w:val="18"/>
                <w:szCs w:val="18"/>
                <w:lang w:val="en-US"/>
              </w:rPr>
            </w:pPr>
            <w:r w:rsidRPr="00730D74">
              <w:rPr>
                <w:sz w:val="18"/>
                <w:szCs w:val="18"/>
                <w:lang w:val="en-US"/>
              </w:rPr>
              <w:t>hsa-miR-3158-3p</w:t>
            </w:r>
          </w:p>
          <w:p w14:paraId="3B07C4E0" w14:textId="77777777" w:rsidR="00966BBE" w:rsidRPr="00730D74" w:rsidRDefault="00966BBE" w:rsidP="00BF2D0F">
            <w:pPr>
              <w:rPr>
                <w:sz w:val="18"/>
                <w:szCs w:val="18"/>
                <w:lang w:val="en-US"/>
              </w:rPr>
            </w:pPr>
            <w:r w:rsidRPr="00730D74">
              <w:rPr>
                <w:sz w:val="18"/>
                <w:szCs w:val="18"/>
                <w:lang w:val="en-US"/>
              </w:rPr>
              <w:t>hsa-miR-22-3p</w:t>
            </w:r>
          </w:p>
          <w:p w14:paraId="34189447" w14:textId="77777777" w:rsidR="00966BBE" w:rsidRPr="00730D74" w:rsidRDefault="00966BBE" w:rsidP="00BF2D0F">
            <w:pPr>
              <w:rPr>
                <w:sz w:val="18"/>
                <w:szCs w:val="18"/>
                <w:lang w:val="en-US"/>
              </w:rPr>
            </w:pPr>
            <w:r w:rsidRPr="00730D74">
              <w:rPr>
                <w:sz w:val="18"/>
                <w:szCs w:val="18"/>
                <w:lang w:val="en-US"/>
              </w:rPr>
              <w:t>hsa-miR-199a-3p</w:t>
            </w:r>
          </w:p>
          <w:p w14:paraId="2DFD2589" w14:textId="77777777" w:rsidR="00966BBE" w:rsidRPr="00730D74" w:rsidRDefault="00966BBE" w:rsidP="00BF2D0F">
            <w:pPr>
              <w:rPr>
                <w:sz w:val="18"/>
                <w:szCs w:val="18"/>
                <w:lang w:val="en-US"/>
              </w:rPr>
            </w:pPr>
            <w:r w:rsidRPr="00730D74">
              <w:rPr>
                <w:sz w:val="18"/>
                <w:szCs w:val="18"/>
                <w:lang w:val="en-US"/>
              </w:rPr>
              <w:t>hsa-miR-199b-3p</w:t>
            </w:r>
          </w:p>
          <w:p w14:paraId="6395C605" w14:textId="77777777" w:rsidR="00966BBE" w:rsidRPr="00730D74" w:rsidRDefault="00966BBE" w:rsidP="00BF2D0F">
            <w:pPr>
              <w:rPr>
                <w:sz w:val="18"/>
                <w:szCs w:val="18"/>
                <w:lang w:val="en-US"/>
              </w:rPr>
            </w:pPr>
            <w:r w:rsidRPr="00730D74">
              <w:rPr>
                <w:sz w:val="18"/>
                <w:szCs w:val="18"/>
                <w:lang w:val="en-US"/>
              </w:rPr>
              <w:t>hsa-miR-4433b-5p</w:t>
            </w:r>
          </w:p>
          <w:p w14:paraId="03DA9213" w14:textId="77777777" w:rsidR="00966BBE" w:rsidRPr="00730D74" w:rsidRDefault="00966BBE" w:rsidP="00BF2D0F">
            <w:pPr>
              <w:rPr>
                <w:sz w:val="18"/>
                <w:szCs w:val="18"/>
                <w:lang w:val="en-US"/>
              </w:rPr>
            </w:pPr>
            <w:r w:rsidRPr="00730D74">
              <w:rPr>
                <w:sz w:val="18"/>
                <w:szCs w:val="18"/>
                <w:lang w:val="en-US"/>
              </w:rPr>
              <w:t>hsa-miR-17-3p</w:t>
            </w:r>
          </w:p>
          <w:p w14:paraId="732297B9" w14:textId="77777777" w:rsidR="00966BBE" w:rsidRPr="00730D74" w:rsidRDefault="00966BBE" w:rsidP="00BF2D0F">
            <w:pPr>
              <w:rPr>
                <w:sz w:val="18"/>
                <w:szCs w:val="18"/>
                <w:lang w:val="en-US"/>
              </w:rPr>
            </w:pPr>
            <w:r w:rsidRPr="00730D74">
              <w:rPr>
                <w:sz w:val="18"/>
                <w:szCs w:val="18"/>
                <w:lang w:val="en-US"/>
              </w:rPr>
              <w:t>hsa-miR-1277-5p</w:t>
            </w:r>
          </w:p>
          <w:p w14:paraId="11239696" w14:textId="77777777" w:rsidR="00966BBE" w:rsidRPr="00730D74" w:rsidRDefault="00966BBE" w:rsidP="00BF2D0F">
            <w:pPr>
              <w:rPr>
                <w:sz w:val="18"/>
                <w:szCs w:val="18"/>
                <w:lang w:val="en-US"/>
              </w:rPr>
            </w:pPr>
            <w:r w:rsidRPr="00730D74">
              <w:rPr>
                <w:sz w:val="18"/>
                <w:szCs w:val="18"/>
                <w:lang w:val="en-US"/>
              </w:rPr>
              <w:t>hsa-miR-345-5p</w:t>
            </w:r>
          </w:p>
          <w:p w14:paraId="1D54AE12" w14:textId="77777777" w:rsidR="00966BBE" w:rsidRPr="00730D74" w:rsidRDefault="00966BBE" w:rsidP="00BF2D0F">
            <w:pPr>
              <w:rPr>
                <w:sz w:val="18"/>
                <w:szCs w:val="18"/>
                <w:lang w:val="en-US"/>
              </w:rPr>
            </w:pPr>
            <w:r w:rsidRPr="00730D74">
              <w:rPr>
                <w:sz w:val="18"/>
                <w:szCs w:val="18"/>
                <w:lang w:val="en-US"/>
              </w:rPr>
              <w:t>hsa-miR-423-5p</w:t>
            </w:r>
          </w:p>
          <w:p w14:paraId="54A69725" w14:textId="77777777" w:rsidR="00966BBE" w:rsidRPr="00730D74" w:rsidRDefault="00966BBE" w:rsidP="00BF2D0F">
            <w:pPr>
              <w:rPr>
                <w:sz w:val="18"/>
                <w:szCs w:val="18"/>
                <w:lang w:val="en-US"/>
              </w:rPr>
            </w:pPr>
            <w:r w:rsidRPr="00730D74">
              <w:rPr>
                <w:sz w:val="18"/>
                <w:szCs w:val="18"/>
                <w:lang w:val="en-US"/>
              </w:rPr>
              <w:t>hsa-miR-484</w:t>
            </w:r>
          </w:p>
          <w:p w14:paraId="16013F89" w14:textId="77777777" w:rsidR="00966BBE" w:rsidRPr="00730D74" w:rsidRDefault="00966BBE" w:rsidP="00BF2D0F">
            <w:pPr>
              <w:rPr>
                <w:sz w:val="18"/>
                <w:szCs w:val="18"/>
                <w:lang w:val="en-US"/>
              </w:rPr>
            </w:pPr>
            <w:r w:rsidRPr="00730D74">
              <w:rPr>
                <w:sz w:val="18"/>
                <w:szCs w:val="18"/>
                <w:lang w:val="en-US"/>
              </w:rPr>
              <w:t>hsa-miR-146a-5p</w:t>
            </w:r>
          </w:p>
          <w:p w14:paraId="48EF1D1F" w14:textId="77777777" w:rsidR="00966BBE" w:rsidRPr="00730D74" w:rsidRDefault="00966BBE" w:rsidP="00BF2D0F">
            <w:pPr>
              <w:rPr>
                <w:sz w:val="18"/>
                <w:szCs w:val="18"/>
                <w:lang w:val="en-US"/>
              </w:rPr>
            </w:pPr>
            <w:r w:rsidRPr="00730D74">
              <w:rPr>
                <w:sz w:val="18"/>
                <w:szCs w:val="18"/>
                <w:lang w:val="en-US"/>
              </w:rPr>
              <w:t>hsa-miR-151a-5p</w:t>
            </w:r>
          </w:p>
          <w:p w14:paraId="183D0A80" w14:textId="77777777" w:rsidR="00966BBE" w:rsidRPr="00730D74" w:rsidRDefault="00966BBE" w:rsidP="00BF2D0F">
            <w:pPr>
              <w:rPr>
                <w:sz w:val="18"/>
                <w:szCs w:val="18"/>
                <w:lang w:val="en-US"/>
              </w:rPr>
            </w:pPr>
            <w:r w:rsidRPr="00730D74">
              <w:rPr>
                <w:sz w:val="18"/>
                <w:szCs w:val="18"/>
                <w:lang w:val="en-US"/>
              </w:rPr>
              <w:t>hsa-miR-191-5p</w:t>
            </w:r>
          </w:p>
          <w:p w14:paraId="78C89AFA" w14:textId="77777777" w:rsidR="00966BBE" w:rsidRPr="00730D74" w:rsidRDefault="00966BBE" w:rsidP="00BF2D0F">
            <w:pPr>
              <w:rPr>
                <w:sz w:val="18"/>
                <w:szCs w:val="18"/>
                <w:lang w:val="en-US"/>
              </w:rPr>
            </w:pPr>
            <w:r w:rsidRPr="00730D74">
              <w:rPr>
                <w:sz w:val="18"/>
                <w:szCs w:val="18"/>
                <w:lang w:val="en-US"/>
              </w:rPr>
              <w:t>hsa-miR-7706</w:t>
            </w:r>
          </w:p>
          <w:p w14:paraId="42EE57CA" w14:textId="77777777" w:rsidR="00966BBE" w:rsidRPr="00730D74" w:rsidRDefault="00966BBE" w:rsidP="00BF2D0F">
            <w:pPr>
              <w:rPr>
                <w:sz w:val="18"/>
                <w:szCs w:val="18"/>
                <w:lang w:val="en-US"/>
              </w:rPr>
            </w:pPr>
            <w:r w:rsidRPr="00730D74">
              <w:rPr>
                <w:sz w:val="18"/>
                <w:szCs w:val="18"/>
                <w:lang w:val="en-US"/>
              </w:rPr>
              <w:t>hsa-miR-5189-5p</w:t>
            </w:r>
          </w:p>
          <w:p w14:paraId="4CAABAAC" w14:textId="77777777" w:rsidR="00966BBE" w:rsidRPr="00730D74" w:rsidRDefault="00966BBE" w:rsidP="00BF2D0F">
            <w:pPr>
              <w:rPr>
                <w:sz w:val="18"/>
                <w:szCs w:val="18"/>
                <w:lang w:val="en-US"/>
              </w:rPr>
            </w:pPr>
            <w:r w:rsidRPr="00730D74">
              <w:rPr>
                <w:sz w:val="18"/>
                <w:szCs w:val="18"/>
                <w:lang w:val="en-US"/>
              </w:rPr>
              <w:t>hsa-miR-139-5p</w:t>
            </w:r>
          </w:p>
        </w:tc>
        <w:tc>
          <w:tcPr>
            <w:tcW w:w="1040" w:type="pct"/>
          </w:tcPr>
          <w:p w14:paraId="4CC82D9A" w14:textId="77777777" w:rsidR="00966BBE" w:rsidRPr="00730D74" w:rsidRDefault="00966BBE" w:rsidP="00BF2D0F">
            <w:pPr>
              <w:rPr>
                <w:sz w:val="18"/>
                <w:szCs w:val="18"/>
                <w:lang w:val="en-US"/>
              </w:rPr>
            </w:pPr>
            <w:r w:rsidRPr="00730D74">
              <w:rPr>
                <w:sz w:val="18"/>
                <w:szCs w:val="18"/>
                <w:lang w:val="en-US"/>
              </w:rPr>
              <w:lastRenderedPageBreak/>
              <w:t>hsa-miR-30e-3p</w:t>
            </w:r>
          </w:p>
          <w:p w14:paraId="368A53F9" w14:textId="77777777" w:rsidR="00966BBE" w:rsidRPr="00730D74" w:rsidRDefault="00966BBE" w:rsidP="00BF2D0F">
            <w:pPr>
              <w:rPr>
                <w:sz w:val="18"/>
                <w:szCs w:val="18"/>
                <w:lang w:val="en-US"/>
              </w:rPr>
            </w:pPr>
            <w:r w:rsidRPr="00730D74">
              <w:rPr>
                <w:sz w:val="18"/>
                <w:szCs w:val="18"/>
                <w:lang w:val="en-US"/>
              </w:rPr>
              <w:t>hsa-miR-30a-3p</w:t>
            </w:r>
          </w:p>
          <w:p w14:paraId="73C447ED" w14:textId="77777777" w:rsidR="00966BBE" w:rsidRPr="00730D74" w:rsidRDefault="00966BBE" w:rsidP="00BF2D0F">
            <w:pPr>
              <w:rPr>
                <w:sz w:val="18"/>
                <w:szCs w:val="18"/>
                <w:lang w:val="en-US"/>
              </w:rPr>
            </w:pPr>
            <w:r w:rsidRPr="00730D74">
              <w:rPr>
                <w:sz w:val="18"/>
                <w:szCs w:val="18"/>
                <w:lang w:val="en-US"/>
              </w:rPr>
              <w:t>hsa-miR-146b-5p</w:t>
            </w:r>
          </w:p>
          <w:p w14:paraId="4C085272" w14:textId="77777777" w:rsidR="00966BBE" w:rsidRPr="00730D74" w:rsidRDefault="00966BBE" w:rsidP="00BF2D0F">
            <w:pPr>
              <w:rPr>
                <w:sz w:val="18"/>
                <w:szCs w:val="18"/>
                <w:lang w:val="en-US"/>
              </w:rPr>
            </w:pPr>
            <w:r w:rsidRPr="00730D74">
              <w:rPr>
                <w:sz w:val="18"/>
                <w:szCs w:val="18"/>
                <w:lang w:val="en-US"/>
              </w:rPr>
              <w:t>hsa-miR-132-3p</w:t>
            </w:r>
          </w:p>
          <w:p w14:paraId="764FC949" w14:textId="77777777" w:rsidR="00966BBE" w:rsidRPr="00730D74" w:rsidRDefault="00966BBE" w:rsidP="00BF2D0F">
            <w:pPr>
              <w:rPr>
                <w:sz w:val="18"/>
                <w:szCs w:val="18"/>
                <w:lang w:val="en-US"/>
              </w:rPr>
            </w:pPr>
            <w:r w:rsidRPr="00730D74">
              <w:rPr>
                <w:sz w:val="18"/>
                <w:szCs w:val="18"/>
                <w:lang w:val="en-US"/>
              </w:rPr>
              <w:t>hsa-miR-98-3p</w:t>
            </w:r>
          </w:p>
          <w:p w14:paraId="6DE9E89B" w14:textId="77777777" w:rsidR="00966BBE" w:rsidRPr="00730D74" w:rsidRDefault="00966BBE" w:rsidP="00BF2D0F">
            <w:pPr>
              <w:rPr>
                <w:sz w:val="18"/>
                <w:szCs w:val="18"/>
                <w:lang w:val="en-US"/>
              </w:rPr>
            </w:pPr>
            <w:r w:rsidRPr="00730D74">
              <w:rPr>
                <w:sz w:val="18"/>
                <w:szCs w:val="18"/>
                <w:lang w:val="en-US"/>
              </w:rPr>
              <w:t>hsa-miR-27b-3p</w:t>
            </w:r>
          </w:p>
          <w:p w14:paraId="418D8283" w14:textId="77777777" w:rsidR="00966BBE" w:rsidRPr="00730D74" w:rsidRDefault="00966BBE" w:rsidP="00BF2D0F">
            <w:pPr>
              <w:rPr>
                <w:sz w:val="18"/>
                <w:szCs w:val="18"/>
                <w:lang w:val="en-US"/>
              </w:rPr>
            </w:pPr>
            <w:r w:rsidRPr="00730D74">
              <w:rPr>
                <w:sz w:val="18"/>
                <w:szCs w:val="18"/>
                <w:lang w:val="en-US"/>
              </w:rPr>
              <w:t>hsa-miR-4435</w:t>
            </w:r>
          </w:p>
          <w:p w14:paraId="6CD4AD56" w14:textId="77777777" w:rsidR="00966BBE" w:rsidRPr="00730D74" w:rsidRDefault="00966BBE" w:rsidP="00BF2D0F">
            <w:pPr>
              <w:rPr>
                <w:sz w:val="18"/>
                <w:szCs w:val="18"/>
                <w:lang w:val="en-US"/>
              </w:rPr>
            </w:pPr>
            <w:r w:rsidRPr="00730D74">
              <w:rPr>
                <w:sz w:val="18"/>
                <w:szCs w:val="18"/>
                <w:lang w:val="en-US"/>
              </w:rPr>
              <w:t>hsa-miR-589-5p</w:t>
            </w:r>
          </w:p>
          <w:p w14:paraId="360A9C9A" w14:textId="77777777" w:rsidR="00966BBE" w:rsidRPr="00730D74" w:rsidRDefault="00966BBE" w:rsidP="00BF2D0F">
            <w:pPr>
              <w:rPr>
                <w:sz w:val="18"/>
                <w:szCs w:val="18"/>
                <w:lang w:val="en-US"/>
              </w:rPr>
            </w:pPr>
            <w:r w:rsidRPr="00730D74">
              <w:rPr>
                <w:sz w:val="18"/>
                <w:szCs w:val="18"/>
                <w:lang w:val="en-US"/>
              </w:rPr>
              <w:t>hsa-miR-629-5p</w:t>
            </w:r>
          </w:p>
          <w:p w14:paraId="50268A33" w14:textId="77777777" w:rsidR="00966BBE" w:rsidRPr="00730D74" w:rsidRDefault="00966BBE" w:rsidP="00BF2D0F">
            <w:pPr>
              <w:rPr>
                <w:sz w:val="18"/>
                <w:szCs w:val="18"/>
                <w:lang w:val="en-US"/>
              </w:rPr>
            </w:pPr>
            <w:r w:rsidRPr="00730D74">
              <w:rPr>
                <w:sz w:val="18"/>
                <w:szCs w:val="18"/>
                <w:lang w:val="en-US"/>
              </w:rPr>
              <w:t>hsa-miR-889-3p</w:t>
            </w:r>
          </w:p>
          <w:p w14:paraId="7190A097" w14:textId="77777777" w:rsidR="00966BBE" w:rsidRPr="00730D74" w:rsidRDefault="00966BBE" w:rsidP="00BF2D0F">
            <w:pPr>
              <w:rPr>
                <w:sz w:val="18"/>
                <w:szCs w:val="18"/>
                <w:lang w:val="en-US"/>
              </w:rPr>
            </w:pPr>
            <w:r w:rsidRPr="00730D74">
              <w:rPr>
                <w:sz w:val="18"/>
                <w:szCs w:val="18"/>
                <w:lang w:val="en-US"/>
              </w:rPr>
              <w:t>hsa-miR-215-5p</w:t>
            </w:r>
          </w:p>
          <w:p w14:paraId="546DA76E" w14:textId="77777777" w:rsidR="00966BBE" w:rsidRPr="00730D74" w:rsidRDefault="00966BBE" w:rsidP="00BF2D0F">
            <w:pPr>
              <w:rPr>
                <w:sz w:val="18"/>
                <w:szCs w:val="18"/>
                <w:lang w:val="en-US"/>
              </w:rPr>
            </w:pPr>
            <w:r w:rsidRPr="00730D74">
              <w:rPr>
                <w:sz w:val="18"/>
                <w:szCs w:val="18"/>
                <w:lang w:val="en-US"/>
              </w:rPr>
              <w:t>hsa-miR-21-3p</w:t>
            </w:r>
          </w:p>
          <w:p w14:paraId="0DBD1A6E" w14:textId="77777777" w:rsidR="00966BBE" w:rsidRPr="00730D74" w:rsidRDefault="00966BBE" w:rsidP="00BF2D0F">
            <w:pPr>
              <w:rPr>
                <w:sz w:val="18"/>
                <w:szCs w:val="18"/>
                <w:lang w:val="en-US"/>
              </w:rPr>
            </w:pPr>
            <w:r w:rsidRPr="00730D74">
              <w:rPr>
                <w:sz w:val="18"/>
                <w:szCs w:val="18"/>
                <w:lang w:val="en-US"/>
              </w:rPr>
              <w:t>hsa-miR-484</w:t>
            </w:r>
          </w:p>
          <w:p w14:paraId="2AAB9DEB" w14:textId="77777777" w:rsidR="00966BBE" w:rsidRPr="00730D74" w:rsidRDefault="00966BBE" w:rsidP="00BF2D0F">
            <w:pPr>
              <w:rPr>
                <w:sz w:val="18"/>
                <w:szCs w:val="18"/>
                <w:lang w:val="en-US"/>
              </w:rPr>
            </w:pPr>
            <w:r w:rsidRPr="00730D74">
              <w:rPr>
                <w:sz w:val="18"/>
                <w:szCs w:val="18"/>
                <w:lang w:val="en-US"/>
              </w:rPr>
              <w:t>hsa-miR-23b-3p</w:t>
            </w:r>
          </w:p>
          <w:p w14:paraId="14D5FD71" w14:textId="77777777" w:rsidR="00966BBE" w:rsidRPr="00730D74" w:rsidRDefault="00966BBE" w:rsidP="00BF2D0F">
            <w:pPr>
              <w:rPr>
                <w:sz w:val="18"/>
                <w:szCs w:val="18"/>
                <w:lang w:val="en-US"/>
              </w:rPr>
            </w:pPr>
            <w:r w:rsidRPr="00730D74">
              <w:rPr>
                <w:sz w:val="18"/>
                <w:szCs w:val="18"/>
                <w:lang w:val="en-US"/>
              </w:rPr>
              <w:t>hsa-miR-146a-5p</w:t>
            </w:r>
          </w:p>
          <w:p w14:paraId="70688CF3" w14:textId="77777777" w:rsidR="00966BBE" w:rsidRPr="00730D74" w:rsidRDefault="00966BBE" w:rsidP="00BF2D0F">
            <w:pPr>
              <w:rPr>
                <w:sz w:val="18"/>
                <w:szCs w:val="18"/>
                <w:lang w:val="en-US"/>
              </w:rPr>
            </w:pPr>
            <w:r w:rsidRPr="00730D74">
              <w:rPr>
                <w:sz w:val="18"/>
                <w:szCs w:val="18"/>
                <w:lang w:val="en-US"/>
              </w:rPr>
              <w:t>hsa-miR-423-3p</w:t>
            </w:r>
          </w:p>
          <w:p w14:paraId="75F42941" w14:textId="77777777" w:rsidR="00966BBE" w:rsidRPr="00730D74" w:rsidRDefault="00966BBE" w:rsidP="00BF2D0F">
            <w:pPr>
              <w:rPr>
                <w:sz w:val="18"/>
                <w:szCs w:val="18"/>
                <w:lang w:val="en-US"/>
              </w:rPr>
            </w:pPr>
            <w:r w:rsidRPr="00730D74">
              <w:rPr>
                <w:sz w:val="18"/>
                <w:szCs w:val="18"/>
                <w:lang w:val="en-US"/>
              </w:rPr>
              <w:t>hsa-miR-191-5p</w:t>
            </w:r>
          </w:p>
          <w:p w14:paraId="32DFA0DE" w14:textId="77777777" w:rsidR="00966BBE" w:rsidRPr="00730D74" w:rsidRDefault="00966BBE" w:rsidP="00BF2D0F">
            <w:pPr>
              <w:rPr>
                <w:sz w:val="18"/>
                <w:szCs w:val="18"/>
                <w:lang w:val="en-US"/>
              </w:rPr>
            </w:pPr>
            <w:r w:rsidRPr="00730D74">
              <w:rPr>
                <w:sz w:val="18"/>
                <w:szCs w:val="18"/>
                <w:lang w:val="en-US"/>
              </w:rPr>
              <w:t>hsa-miR-99a-5p</w:t>
            </w:r>
          </w:p>
          <w:p w14:paraId="482B4109" w14:textId="77777777" w:rsidR="00966BBE" w:rsidRPr="00730D74" w:rsidRDefault="00966BBE" w:rsidP="00BF2D0F">
            <w:pPr>
              <w:rPr>
                <w:sz w:val="18"/>
                <w:szCs w:val="18"/>
                <w:lang w:val="en-US"/>
              </w:rPr>
            </w:pPr>
            <w:r w:rsidRPr="00730D74">
              <w:rPr>
                <w:sz w:val="18"/>
                <w:szCs w:val="18"/>
                <w:lang w:val="en-US"/>
              </w:rPr>
              <w:t>hsa-miR-598-3p</w:t>
            </w:r>
          </w:p>
          <w:p w14:paraId="3E6ACEAF" w14:textId="77777777" w:rsidR="00966BBE" w:rsidRPr="00730D74" w:rsidRDefault="00966BBE" w:rsidP="00BF2D0F">
            <w:pPr>
              <w:rPr>
                <w:sz w:val="18"/>
                <w:szCs w:val="18"/>
                <w:lang w:val="en-US"/>
              </w:rPr>
            </w:pPr>
            <w:r w:rsidRPr="00730D74">
              <w:rPr>
                <w:sz w:val="18"/>
                <w:szCs w:val="18"/>
                <w:lang w:val="en-US"/>
              </w:rPr>
              <w:t>hsa-miR-20a-5p</w:t>
            </w:r>
          </w:p>
          <w:p w14:paraId="2287F64E" w14:textId="77777777" w:rsidR="00966BBE" w:rsidRPr="00730D74" w:rsidRDefault="00966BBE" w:rsidP="00BF2D0F">
            <w:pPr>
              <w:rPr>
                <w:sz w:val="18"/>
                <w:szCs w:val="18"/>
                <w:lang w:val="en-US"/>
              </w:rPr>
            </w:pPr>
            <w:r w:rsidRPr="00730D74">
              <w:rPr>
                <w:sz w:val="18"/>
                <w:szCs w:val="18"/>
                <w:lang w:val="en-US"/>
              </w:rPr>
              <w:t>hsa-miR-486-5p</w:t>
            </w:r>
          </w:p>
          <w:p w14:paraId="5500C2EF" w14:textId="77777777" w:rsidR="00966BBE" w:rsidRPr="00730D74" w:rsidRDefault="00966BBE" w:rsidP="00BF2D0F">
            <w:pPr>
              <w:rPr>
                <w:sz w:val="18"/>
                <w:szCs w:val="18"/>
                <w:lang w:val="en-US"/>
              </w:rPr>
            </w:pPr>
            <w:r w:rsidRPr="00730D74">
              <w:rPr>
                <w:sz w:val="18"/>
                <w:szCs w:val="18"/>
                <w:lang w:val="en-US"/>
              </w:rPr>
              <w:t>hsa-miR-7849-3p</w:t>
            </w:r>
          </w:p>
          <w:p w14:paraId="1943384C" w14:textId="77777777" w:rsidR="00966BBE" w:rsidRPr="00730D74" w:rsidRDefault="00966BBE" w:rsidP="00BF2D0F">
            <w:pPr>
              <w:rPr>
                <w:sz w:val="18"/>
                <w:szCs w:val="18"/>
                <w:lang w:val="en-US"/>
              </w:rPr>
            </w:pPr>
            <w:r w:rsidRPr="00730D74">
              <w:rPr>
                <w:sz w:val="18"/>
                <w:szCs w:val="18"/>
                <w:lang w:val="en-US"/>
              </w:rPr>
              <w:lastRenderedPageBreak/>
              <w:t>hsa-miR-224-5p</w:t>
            </w:r>
          </w:p>
          <w:p w14:paraId="42D37D8C" w14:textId="77777777" w:rsidR="00966BBE" w:rsidRPr="00730D74" w:rsidRDefault="00966BBE" w:rsidP="00BF2D0F">
            <w:pPr>
              <w:rPr>
                <w:sz w:val="18"/>
                <w:szCs w:val="18"/>
                <w:lang w:val="en-US"/>
              </w:rPr>
            </w:pPr>
            <w:r w:rsidRPr="00730D74">
              <w:rPr>
                <w:sz w:val="18"/>
                <w:szCs w:val="18"/>
                <w:lang w:val="en-US"/>
              </w:rPr>
              <w:t>hsa-miR-142-5p</w:t>
            </w:r>
          </w:p>
          <w:p w14:paraId="468437B4" w14:textId="77777777" w:rsidR="00966BBE" w:rsidRPr="00730D74" w:rsidRDefault="00966BBE" w:rsidP="00BF2D0F">
            <w:pPr>
              <w:rPr>
                <w:sz w:val="18"/>
                <w:szCs w:val="18"/>
                <w:lang w:val="en-US"/>
              </w:rPr>
            </w:pPr>
            <w:r w:rsidRPr="00730D74">
              <w:rPr>
                <w:sz w:val="18"/>
                <w:szCs w:val="18"/>
                <w:lang w:val="en-US"/>
              </w:rPr>
              <w:t>hsa-miR-27a-3p</w:t>
            </w:r>
          </w:p>
          <w:p w14:paraId="5959D80B" w14:textId="77777777" w:rsidR="00966BBE" w:rsidRPr="00730D74" w:rsidRDefault="00966BBE" w:rsidP="00BF2D0F">
            <w:pPr>
              <w:rPr>
                <w:sz w:val="18"/>
                <w:szCs w:val="18"/>
                <w:lang w:val="en-US"/>
              </w:rPr>
            </w:pPr>
            <w:r w:rsidRPr="00730D74">
              <w:rPr>
                <w:sz w:val="18"/>
                <w:szCs w:val="18"/>
                <w:lang w:val="en-US"/>
              </w:rPr>
              <w:t>hsa-miR-26b-5p</w:t>
            </w:r>
          </w:p>
          <w:p w14:paraId="66C20E29" w14:textId="77777777" w:rsidR="00966BBE" w:rsidRPr="00730D74" w:rsidRDefault="00966BBE" w:rsidP="00BF2D0F">
            <w:pPr>
              <w:rPr>
                <w:sz w:val="18"/>
                <w:szCs w:val="18"/>
                <w:lang w:val="en-US"/>
              </w:rPr>
            </w:pPr>
            <w:r w:rsidRPr="00730D74">
              <w:rPr>
                <w:sz w:val="18"/>
                <w:szCs w:val="18"/>
                <w:lang w:val="en-US"/>
              </w:rPr>
              <w:t>hsa-miR-24-3p</w:t>
            </w:r>
          </w:p>
          <w:p w14:paraId="3DA637E0" w14:textId="77777777" w:rsidR="00966BBE" w:rsidRPr="00730D74" w:rsidRDefault="00966BBE" w:rsidP="00BF2D0F">
            <w:pPr>
              <w:rPr>
                <w:sz w:val="18"/>
                <w:szCs w:val="18"/>
                <w:lang w:val="en-US"/>
              </w:rPr>
            </w:pPr>
            <w:r w:rsidRPr="00730D74">
              <w:rPr>
                <w:sz w:val="18"/>
                <w:szCs w:val="18"/>
                <w:lang w:val="en-US"/>
              </w:rPr>
              <w:t>hsa-miR-454-3p</w:t>
            </w:r>
          </w:p>
          <w:p w14:paraId="2CBA6551" w14:textId="77777777" w:rsidR="00966BBE" w:rsidRPr="00730D74" w:rsidRDefault="00966BBE" w:rsidP="00BF2D0F">
            <w:pPr>
              <w:rPr>
                <w:sz w:val="18"/>
                <w:szCs w:val="18"/>
                <w:lang w:val="en-US"/>
              </w:rPr>
            </w:pPr>
            <w:r w:rsidRPr="00730D74">
              <w:rPr>
                <w:sz w:val="18"/>
                <w:szCs w:val="18"/>
                <w:lang w:val="en-US"/>
              </w:rPr>
              <w:t>hsa-miR-335-5p</w:t>
            </w:r>
          </w:p>
          <w:p w14:paraId="05CD9F35" w14:textId="77777777" w:rsidR="00966BBE" w:rsidRPr="00730D74" w:rsidRDefault="00966BBE" w:rsidP="00BF2D0F">
            <w:pPr>
              <w:rPr>
                <w:sz w:val="18"/>
                <w:szCs w:val="18"/>
                <w:lang w:val="en-US"/>
              </w:rPr>
            </w:pPr>
            <w:r w:rsidRPr="00730D74">
              <w:rPr>
                <w:sz w:val="18"/>
                <w:szCs w:val="18"/>
                <w:lang w:val="en-US"/>
              </w:rPr>
              <w:t>hsa-miR-185-5p</w:t>
            </w:r>
          </w:p>
          <w:p w14:paraId="3C61725F" w14:textId="77777777" w:rsidR="00966BBE" w:rsidRPr="00730D74" w:rsidRDefault="00966BBE" w:rsidP="00BF2D0F">
            <w:pPr>
              <w:rPr>
                <w:sz w:val="18"/>
                <w:szCs w:val="18"/>
                <w:lang w:val="en-US"/>
              </w:rPr>
            </w:pPr>
            <w:r w:rsidRPr="00730D74">
              <w:rPr>
                <w:sz w:val="18"/>
                <w:szCs w:val="18"/>
                <w:lang w:val="en-US"/>
              </w:rPr>
              <w:t>hsa-miR-19b-3p</w:t>
            </w:r>
          </w:p>
          <w:p w14:paraId="016D703F" w14:textId="77777777" w:rsidR="00966BBE" w:rsidRPr="00730D74" w:rsidRDefault="00966BBE" w:rsidP="00BF2D0F">
            <w:pPr>
              <w:rPr>
                <w:sz w:val="18"/>
                <w:szCs w:val="18"/>
                <w:lang w:val="en-US"/>
              </w:rPr>
            </w:pPr>
            <w:r w:rsidRPr="00730D74">
              <w:rPr>
                <w:sz w:val="18"/>
                <w:szCs w:val="18"/>
                <w:lang w:val="en-US"/>
              </w:rPr>
              <w:t>hsa-miR-5010-5p</w:t>
            </w:r>
          </w:p>
          <w:p w14:paraId="5E77CA2C" w14:textId="77777777" w:rsidR="00966BBE" w:rsidRPr="00730D74" w:rsidRDefault="00966BBE" w:rsidP="00BF2D0F">
            <w:pPr>
              <w:rPr>
                <w:sz w:val="18"/>
                <w:szCs w:val="18"/>
                <w:lang w:val="en-US"/>
              </w:rPr>
            </w:pPr>
            <w:r w:rsidRPr="00730D74">
              <w:rPr>
                <w:sz w:val="18"/>
                <w:szCs w:val="18"/>
                <w:lang w:val="en-US"/>
              </w:rPr>
              <w:t>hsa-miR-19a-3p</w:t>
            </w:r>
          </w:p>
          <w:p w14:paraId="3493D70C" w14:textId="77777777" w:rsidR="00966BBE" w:rsidRPr="00730D74" w:rsidRDefault="00966BBE" w:rsidP="00BF2D0F">
            <w:pPr>
              <w:rPr>
                <w:sz w:val="18"/>
                <w:szCs w:val="18"/>
                <w:lang w:val="en-US"/>
              </w:rPr>
            </w:pPr>
            <w:r w:rsidRPr="00730D74">
              <w:rPr>
                <w:sz w:val="18"/>
                <w:szCs w:val="18"/>
                <w:lang w:val="en-US"/>
              </w:rPr>
              <w:t>hsa-miR-151a-3p</w:t>
            </w:r>
          </w:p>
          <w:p w14:paraId="26ADBD3B" w14:textId="77777777" w:rsidR="00966BBE" w:rsidRPr="00730D74" w:rsidRDefault="00966BBE" w:rsidP="00BF2D0F">
            <w:pPr>
              <w:rPr>
                <w:sz w:val="18"/>
                <w:szCs w:val="18"/>
                <w:lang w:val="en-US"/>
              </w:rPr>
            </w:pPr>
            <w:r w:rsidRPr="00730D74">
              <w:rPr>
                <w:sz w:val="18"/>
                <w:szCs w:val="18"/>
                <w:lang w:val="en-US"/>
              </w:rPr>
              <w:t>hsa-miR-301a-3p</w:t>
            </w:r>
          </w:p>
          <w:p w14:paraId="72413A0D" w14:textId="77777777" w:rsidR="00966BBE" w:rsidRPr="00730D74" w:rsidRDefault="00966BBE" w:rsidP="00BF2D0F">
            <w:pPr>
              <w:rPr>
                <w:sz w:val="18"/>
                <w:szCs w:val="18"/>
                <w:lang w:val="en-US"/>
              </w:rPr>
            </w:pPr>
            <w:r w:rsidRPr="00730D74">
              <w:rPr>
                <w:sz w:val="18"/>
                <w:szCs w:val="18"/>
                <w:lang w:val="en-US"/>
              </w:rPr>
              <w:t>hsa-miR-766-3p</w:t>
            </w:r>
          </w:p>
          <w:p w14:paraId="4B5CF8B6" w14:textId="77777777" w:rsidR="00966BBE" w:rsidRPr="00730D74" w:rsidRDefault="00966BBE" w:rsidP="00BF2D0F">
            <w:pPr>
              <w:rPr>
                <w:sz w:val="18"/>
                <w:szCs w:val="18"/>
                <w:lang w:val="en-US"/>
              </w:rPr>
            </w:pPr>
            <w:r w:rsidRPr="00730D74">
              <w:rPr>
                <w:sz w:val="18"/>
                <w:szCs w:val="18"/>
                <w:lang w:val="en-US"/>
              </w:rPr>
              <w:t>hsa-miR-500a-3p</w:t>
            </w:r>
          </w:p>
          <w:p w14:paraId="48BE3ED9" w14:textId="77777777" w:rsidR="00966BBE" w:rsidRPr="00730D74" w:rsidRDefault="00966BBE" w:rsidP="00BF2D0F">
            <w:pPr>
              <w:rPr>
                <w:sz w:val="18"/>
                <w:szCs w:val="18"/>
                <w:lang w:val="en-US"/>
              </w:rPr>
            </w:pPr>
            <w:r w:rsidRPr="00730D74">
              <w:rPr>
                <w:sz w:val="18"/>
                <w:szCs w:val="18"/>
                <w:lang w:val="en-US"/>
              </w:rPr>
              <w:t>hsa-miR-150-3p</w:t>
            </w:r>
          </w:p>
          <w:p w14:paraId="457DF7C7" w14:textId="77777777" w:rsidR="00966BBE" w:rsidRPr="00730D74" w:rsidRDefault="00966BBE" w:rsidP="00BF2D0F">
            <w:pPr>
              <w:rPr>
                <w:sz w:val="18"/>
                <w:szCs w:val="18"/>
                <w:lang w:val="en-US"/>
              </w:rPr>
            </w:pPr>
            <w:r w:rsidRPr="00730D74">
              <w:rPr>
                <w:sz w:val="18"/>
                <w:szCs w:val="18"/>
                <w:lang w:val="en-US"/>
              </w:rPr>
              <w:t>hsa-miR-4286</w:t>
            </w:r>
          </w:p>
          <w:p w14:paraId="0C976B2E" w14:textId="77777777" w:rsidR="00966BBE" w:rsidRPr="00730D74" w:rsidRDefault="00966BBE" w:rsidP="00BF2D0F">
            <w:pPr>
              <w:rPr>
                <w:sz w:val="18"/>
                <w:szCs w:val="18"/>
                <w:lang w:val="en-US"/>
              </w:rPr>
            </w:pPr>
            <w:r w:rsidRPr="00730D74">
              <w:rPr>
                <w:sz w:val="18"/>
                <w:szCs w:val="18"/>
                <w:lang w:val="en-US"/>
              </w:rPr>
              <w:t>hsa-miR-133a-3p</w:t>
            </w:r>
          </w:p>
          <w:p w14:paraId="27F78E0B" w14:textId="77777777" w:rsidR="00966BBE" w:rsidRPr="00730D74" w:rsidRDefault="00966BBE" w:rsidP="00BF2D0F">
            <w:pPr>
              <w:rPr>
                <w:sz w:val="18"/>
                <w:szCs w:val="18"/>
                <w:lang w:val="en-US"/>
              </w:rPr>
            </w:pPr>
            <w:r w:rsidRPr="00730D74">
              <w:rPr>
                <w:sz w:val="18"/>
                <w:szCs w:val="18"/>
                <w:lang w:val="en-US"/>
              </w:rPr>
              <w:t>hsa-miR-148b-5p</w:t>
            </w:r>
          </w:p>
          <w:p w14:paraId="5F10F6AA" w14:textId="77777777" w:rsidR="00966BBE" w:rsidRPr="00730D74" w:rsidRDefault="00966BBE" w:rsidP="00BF2D0F">
            <w:pPr>
              <w:rPr>
                <w:sz w:val="18"/>
                <w:szCs w:val="18"/>
                <w:lang w:val="en-US"/>
              </w:rPr>
            </w:pPr>
            <w:r w:rsidRPr="00730D74">
              <w:rPr>
                <w:sz w:val="18"/>
                <w:szCs w:val="18"/>
                <w:lang w:val="en-US"/>
              </w:rPr>
              <w:t>hsa-miR-6852-5p</w:t>
            </w:r>
          </w:p>
          <w:p w14:paraId="28D3BA37" w14:textId="77777777" w:rsidR="00966BBE" w:rsidRPr="00730D74" w:rsidRDefault="00966BBE" w:rsidP="00BF2D0F">
            <w:pPr>
              <w:rPr>
                <w:sz w:val="18"/>
                <w:szCs w:val="18"/>
                <w:lang w:val="en-US"/>
              </w:rPr>
            </w:pPr>
            <w:r w:rsidRPr="00730D74">
              <w:rPr>
                <w:sz w:val="18"/>
                <w:szCs w:val="18"/>
                <w:lang w:val="en-US"/>
              </w:rPr>
              <w:t>hsa-miR-5189-5p</w:t>
            </w:r>
          </w:p>
          <w:p w14:paraId="5D9B9D61" w14:textId="77777777" w:rsidR="00966BBE" w:rsidRPr="00730D74" w:rsidRDefault="00966BBE" w:rsidP="00BF2D0F">
            <w:pPr>
              <w:rPr>
                <w:sz w:val="18"/>
                <w:szCs w:val="18"/>
                <w:lang w:val="en-US"/>
              </w:rPr>
            </w:pPr>
            <w:r w:rsidRPr="00730D74">
              <w:rPr>
                <w:sz w:val="18"/>
                <w:szCs w:val="18"/>
                <w:lang w:val="en-US"/>
              </w:rPr>
              <w:t>hsa-miR-181a-2-3p</w:t>
            </w:r>
          </w:p>
          <w:p w14:paraId="35F1846E" w14:textId="77777777" w:rsidR="00966BBE" w:rsidRPr="00730D74" w:rsidRDefault="00966BBE" w:rsidP="00BF2D0F">
            <w:pPr>
              <w:rPr>
                <w:sz w:val="18"/>
                <w:szCs w:val="18"/>
                <w:lang w:val="en-US"/>
              </w:rPr>
            </w:pPr>
            <w:r w:rsidRPr="00730D74">
              <w:rPr>
                <w:sz w:val="18"/>
                <w:szCs w:val="18"/>
                <w:lang w:val="en-US"/>
              </w:rPr>
              <w:t>hsa-miR-10b-5p</w:t>
            </w:r>
          </w:p>
          <w:p w14:paraId="0D7242E9" w14:textId="77777777" w:rsidR="00966BBE" w:rsidRPr="00730D74" w:rsidRDefault="00966BBE" w:rsidP="00BF2D0F">
            <w:pPr>
              <w:rPr>
                <w:sz w:val="18"/>
                <w:szCs w:val="18"/>
                <w:lang w:val="en-US"/>
              </w:rPr>
            </w:pPr>
            <w:r w:rsidRPr="00730D74">
              <w:rPr>
                <w:sz w:val="18"/>
                <w:szCs w:val="18"/>
                <w:lang w:val="en-US"/>
              </w:rPr>
              <w:t>hsa-miR-339-5p</w:t>
            </w:r>
          </w:p>
          <w:p w14:paraId="737D9B0A" w14:textId="77777777" w:rsidR="00966BBE" w:rsidRPr="00730D74" w:rsidRDefault="00966BBE" w:rsidP="00BF2D0F">
            <w:pPr>
              <w:rPr>
                <w:sz w:val="18"/>
                <w:szCs w:val="18"/>
                <w:lang w:val="en-US"/>
              </w:rPr>
            </w:pPr>
            <w:r w:rsidRPr="00730D74">
              <w:rPr>
                <w:sz w:val="18"/>
                <w:szCs w:val="18"/>
                <w:lang w:val="en-US"/>
              </w:rPr>
              <w:t>hsa-miR-181a-5p</w:t>
            </w:r>
          </w:p>
          <w:p w14:paraId="34B1C9E4" w14:textId="77777777" w:rsidR="00966BBE" w:rsidRPr="00730D74" w:rsidRDefault="00966BBE" w:rsidP="00BF2D0F">
            <w:pPr>
              <w:rPr>
                <w:sz w:val="18"/>
                <w:szCs w:val="18"/>
                <w:lang w:val="en-US"/>
              </w:rPr>
            </w:pPr>
            <w:r w:rsidRPr="00730D74">
              <w:rPr>
                <w:sz w:val="18"/>
                <w:szCs w:val="18"/>
                <w:lang w:val="en-US"/>
              </w:rPr>
              <w:t>hsa-miR-186-5p</w:t>
            </w:r>
          </w:p>
          <w:p w14:paraId="239B0207" w14:textId="77777777" w:rsidR="00966BBE" w:rsidRPr="00730D74" w:rsidRDefault="00966BBE" w:rsidP="00BF2D0F">
            <w:pPr>
              <w:rPr>
                <w:sz w:val="18"/>
                <w:szCs w:val="18"/>
                <w:lang w:val="en-US"/>
              </w:rPr>
            </w:pPr>
            <w:r w:rsidRPr="00730D74">
              <w:rPr>
                <w:sz w:val="18"/>
                <w:szCs w:val="18"/>
                <w:lang w:val="en-US"/>
              </w:rPr>
              <w:t>hsa-miR-100-5p</w:t>
            </w:r>
          </w:p>
          <w:p w14:paraId="0CA983FD" w14:textId="77777777" w:rsidR="00966BBE" w:rsidRPr="00730D74" w:rsidRDefault="00966BBE" w:rsidP="00BF2D0F">
            <w:pPr>
              <w:rPr>
                <w:sz w:val="18"/>
                <w:szCs w:val="18"/>
                <w:lang w:val="en-US"/>
              </w:rPr>
            </w:pPr>
            <w:r w:rsidRPr="00730D74">
              <w:rPr>
                <w:sz w:val="18"/>
                <w:szCs w:val="18"/>
                <w:lang w:val="en-US"/>
              </w:rPr>
              <w:t>hsa-let-7a-3p</w:t>
            </w:r>
          </w:p>
          <w:p w14:paraId="5E393249" w14:textId="77777777" w:rsidR="00966BBE" w:rsidRPr="00730D74" w:rsidRDefault="00966BBE" w:rsidP="00BF2D0F">
            <w:pPr>
              <w:rPr>
                <w:sz w:val="18"/>
                <w:szCs w:val="18"/>
                <w:lang w:val="en-US"/>
              </w:rPr>
            </w:pPr>
            <w:r w:rsidRPr="00730D74">
              <w:rPr>
                <w:sz w:val="18"/>
                <w:szCs w:val="18"/>
                <w:lang w:val="en-US"/>
              </w:rPr>
              <w:t>hsa-miR-664a-3p</w:t>
            </w:r>
          </w:p>
          <w:p w14:paraId="534B0F42" w14:textId="77777777" w:rsidR="00966BBE" w:rsidRPr="00A831E7" w:rsidRDefault="00966BBE" w:rsidP="00BF2D0F">
            <w:pPr>
              <w:rPr>
                <w:sz w:val="18"/>
                <w:szCs w:val="18"/>
              </w:rPr>
            </w:pPr>
            <w:r w:rsidRPr="00A831E7">
              <w:rPr>
                <w:sz w:val="18"/>
                <w:szCs w:val="18"/>
              </w:rPr>
              <w:t>hsa-miR-181b-5p</w:t>
            </w:r>
          </w:p>
        </w:tc>
        <w:tc>
          <w:tcPr>
            <w:tcW w:w="951" w:type="pct"/>
          </w:tcPr>
          <w:p w14:paraId="019530AB" w14:textId="77777777" w:rsidR="00966BBE" w:rsidRPr="00730D74" w:rsidRDefault="00966BBE" w:rsidP="00BF2D0F">
            <w:pPr>
              <w:rPr>
                <w:sz w:val="18"/>
                <w:szCs w:val="18"/>
                <w:lang w:val="en-US"/>
              </w:rPr>
            </w:pPr>
            <w:r w:rsidRPr="00730D74">
              <w:rPr>
                <w:color w:val="000000"/>
                <w:sz w:val="18"/>
                <w:szCs w:val="18"/>
                <w:lang w:val="en-US"/>
              </w:rPr>
              <w:lastRenderedPageBreak/>
              <w:t>hsa-miR-19b-3p</w:t>
            </w:r>
          </w:p>
          <w:p w14:paraId="5378D3DB" w14:textId="77777777" w:rsidR="00966BBE" w:rsidRPr="00730D74" w:rsidRDefault="00966BBE" w:rsidP="00BF2D0F">
            <w:pPr>
              <w:rPr>
                <w:sz w:val="18"/>
                <w:szCs w:val="18"/>
                <w:lang w:val="en-US"/>
              </w:rPr>
            </w:pPr>
            <w:r w:rsidRPr="00730D74">
              <w:rPr>
                <w:color w:val="000000"/>
                <w:sz w:val="18"/>
                <w:szCs w:val="18"/>
                <w:lang w:val="en-US"/>
              </w:rPr>
              <w:t>hsa-miR-320a</w:t>
            </w:r>
          </w:p>
          <w:p w14:paraId="5D645A31" w14:textId="77777777" w:rsidR="00966BBE" w:rsidRPr="00730D74" w:rsidRDefault="00966BBE" w:rsidP="00BF2D0F">
            <w:pPr>
              <w:rPr>
                <w:sz w:val="18"/>
                <w:szCs w:val="18"/>
                <w:lang w:val="en-US"/>
              </w:rPr>
            </w:pPr>
            <w:r w:rsidRPr="00730D74">
              <w:rPr>
                <w:color w:val="000000"/>
                <w:sz w:val="18"/>
                <w:szCs w:val="18"/>
                <w:lang w:val="en-US"/>
              </w:rPr>
              <w:t>hsa-miR-625-3p</w:t>
            </w:r>
          </w:p>
          <w:p w14:paraId="6DE4E2BD" w14:textId="77777777" w:rsidR="00966BBE" w:rsidRPr="00730D74" w:rsidRDefault="00966BBE" w:rsidP="00BF2D0F">
            <w:pPr>
              <w:rPr>
                <w:sz w:val="18"/>
                <w:szCs w:val="18"/>
                <w:lang w:val="en-US"/>
              </w:rPr>
            </w:pPr>
            <w:r w:rsidRPr="00730D74">
              <w:rPr>
                <w:color w:val="000000"/>
                <w:sz w:val="18"/>
                <w:szCs w:val="18"/>
                <w:lang w:val="en-US"/>
              </w:rPr>
              <w:t>hsa-let-7c-5p</w:t>
            </w:r>
          </w:p>
          <w:p w14:paraId="00DB5DCE" w14:textId="77777777" w:rsidR="00966BBE" w:rsidRPr="00730D74" w:rsidRDefault="00966BBE" w:rsidP="00BF2D0F">
            <w:pPr>
              <w:rPr>
                <w:sz w:val="18"/>
                <w:szCs w:val="18"/>
                <w:lang w:val="en-US"/>
              </w:rPr>
            </w:pPr>
            <w:r w:rsidRPr="00730D74">
              <w:rPr>
                <w:color w:val="000000"/>
                <w:sz w:val="18"/>
                <w:szCs w:val="18"/>
                <w:lang w:val="en-US"/>
              </w:rPr>
              <w:t>hsa-miR-210-3p</w:t>
            </w:r>
          </w:p>
          <w:p w14:paraId="7AAA6619" w14:textId="77777777" w:rsidR="00966BBE" w:rsidRPr="00730D74" w:rsidRDefault="00966BBE" w:rsidP="00BF2D0F">
            <w:pPr>
              <w:rPr>
                <w:sz w:val="18"/>
                <w:szCs w:val="18"/>
                <w:lang w:val="en-US"/>
              </w:rPr>
            </w:pPr>
            <w:r w:rsidRPr="00730D74">
              <w:rPr>
                <w:color w:val="000000"/>
                <w:sz w:val="18"/>
                <w:szCs w:val="18"/>
                <w:lang w:val="en-US"/>
              </w:rPr>
              <w:t>hsa-miR-33b-5p</w:t>
            </w:r>
          </w:p>
          <w:p w14:paraId="761BCB1C" w14:textId="77777777" w:rsidR="00966BBE" w:rsidRPr="00730D74" w:rsidRDefault="00966BBE" w:rsidP="00BF2D0F">
            <w:pPr>
              <w:rPr>
                <w:sz w:val="18"/>
                <w:szCs w:val="18"/>
                <w:lang w:val="en-US"/>
              </w:rPr>
            </w:pPr>
            <w:r w:rsidRPr="00730D74">
              <w:rPr>
                <w:color w:val="000000"/>
                <w:sz w:val="18"/>
                <w:szCs w:val="18"/>
                <w:lang w:val="en-US"/>
              </w:rPr>
              <w:t>hsa-miR-17-3p</w:t>
            </w:r>
          </w:p>
          <w:p w14:paraId="234BEA7C" w14:textId="77777777" w:rsidR="00966BBE" w:rsidRPr="00730D74" w:rsidRDefault="00966BBE" w:rsidP="00BF2D0F">
            <w:pPr>
              <w:rPr>
                <w:sz w:val="18"/>
                <w:szCs w:val="18"/>
                <w:lang w:val="en-US"/>
              </w:rPr>
            </w:pPr>
            <w:r w:rsidRPr="00730D74">
              <w:rPr>
                <w:color w:val="000000"/>
                <w:sz w:val="18"/>
                <w:szCs w:val="18"/>
                <w:lang w:val="en-US"/>
              </w:rPr>
              <w:t>hsa-miR-19a-3p</w:t>
            </w:r>
          </w:p>
          <w:p w14:paraId="326F4D85" w14:textId="77777777" w:rsidR="00966BBE" w:rsidRPr="00730D74" w:rsidRDefault="00966BBE" w:rsidP="00BF2D0F">
            <w:pPr>
              <w:rPr>
                <w:sz w:val="18"/>
                <w:szCs w:val="18"/>
                <w:lang w:val="en-US"/>
              </w:rPr>
            </w:pPr>
            <w:r w:rsidRPr="00730D74">
              <w:rPr>
                <w:color w:val="000000"/>
                <w:sz w:val="18"/>
                <w:szCs w:val="18"/>
                <w:lang w:val="en-US"/>
              </w:rPr>
              <w:t>hsa-miR-378a-3p</w:t>
            </w:r>
          </w:p>
          <w:p w14:paraId="72FDC32D" w14:textId="77777777" w:rsidR="00966BBE" w:rsidRPr="00730D74" w:rsidRDefault="00966BBE" w:rsidP="00BF2D0F">
            <w:pPr>
              <w:rPr>
                <w:sz w:val="18"/>
                <w:szCs w:val="18"/>
                <w:lang w:val="en-US"/>
              </w:rPr>
            </w:pPr>
            <w:r w:rsidRPr="00730D74">
              <w:rPr>
                <w:color w:val="000000"/>
                <w:sz w:val="18"/>
                <w:szCs w:val="18"/>
                <w:lang w:val="en-US"/>
              </w:rPr>
              <w:t>hsa-miR-15a-5p</w:t>
            </w:r>
          </w:p>
          <w:p w14:paraId="0C3589B7" w14:textId="77777777" w:rsidR="00966BBE" w:rsidRPr="00730D74" w:rsidRDefault="00966BBE" w:rsidP="00BF2D0F">
            <w:pPr>
              <w:rPr>
                <w:sz w:val="18"/>
                <w:szCs w:val="18"/>
                <w:lang w:val="en-US"/>
              </w:rPr>
            </w:pPr>
            <w:r w:rsidRPr="00730D74">
              <w:rPr>
                <w:color w:val="000000"/>
                <w:sz w:val="18"/>
                <w:szCs w:val="18"/>
                <w:lang w:val="en-US"/>
              </w:rPr>
              <w:t>hsa-miR-27b-3p</w:t>
            </w:r>
          </w:p>
          <w:p w14:paraId="7CF0E866" w14:textId="77777777" w:rsidR="00966BBE" w:rsidRPr="00730D74" w:rsidRDefault="00966BBE" w:rsidP="00BF2D0F">
            <w:pPr>
              <w:rPr>
                <w:sz w:val="18"/>
                <w:szCs w:val="18"/>
                <w:lang w:val="en-US"/>
              </w:rPr>
            </w:pPr>
            <w:r w:rsidRPr="00730D74">
              <w:rPr>
                <w:color w:val="000000"/>
                <w:sz w:val="18"/>
                <w:szCs w:val="18"/>
                <w:lang w:val="en-US"/>
              </w:rPr>
              <w:t>hsa-miR-625-5p</w:t>
            </w:r>
          </w:p>
          <w:p w14:paraId="411096BA" w14:textId="77777777" w:rsidR="00966BBE" w:rsidRPr="00730D74" w:rsidRDefault="00966BBE" w:rsidP="00BF2D0F">
            <w:pPr>
              <w:rPr>
                <w:sz w:val="18"/>
                <w:szCs w:val="18"/>
                <w:lang w:val="en-US"/>
              </w:rPr>
            </w:pPr>
            <w:r w:rsidRPr="00730D74">
              <w:rPr>
                <w:color w:val="000000"/>
                <w:sz w:val="18"/>
                <w:szCs w:val="18"/>
                <w:lang w:val="en-US"/>
              </w:rPr>
              <w:t>hsa-miR-4286</w:t>
            </w:r>
          </w:p>
          <w:p w14:paraId="34733935" w14:textId="77777777" w:rsidR="00966BBE" w:rsidRPr="00730D74" w:rsidRDefault="00966BBE" w:rsidP="00BF2D0F">
            <w:pPr>
              <w:rPr>
                <w:sz w:val="18"/>
                <w:szCs w:val="18"/>
                <w:lang w:val="en-US"/>
              </w:rPr>
            </w:pPr>
            <w:r w:rsidRPr="00730D74">
              <w:rPr>
                <w:color w:val="000000"/>
                <w:sz w:val="18"/>
                <w:szCs w:val="18"/>
                <w:lang w:val="en-US"/>
              </w:rPr>
              <w:t>hsa-miR-106b-5p</w:t>
            </w:r>
          </w:p>
          <w:p w14:paraId="436685B6" w14:textId="77777777" w:rsidR="00966BBE" w:rsidRPr="00730D74" w:rsidRDefault="00966BBE" w:rsidP="00BF2D0F">
            <w:pPr>
              <w:rPr>
                <w:sz w:val="18"/>
                <w:szCs w:val="18"/>
                <w:lang w:val="en-US"/>
              </w:rPr>
            </w:pPr>
            <w:r w:rsidRPr="00730D74">
              <w:rPr>
                <w:color w:val="000000"/>
                <w:sz w:val="18"/>
                <w:szCs w:val="18"/>
                <w:lang w:val="en-US"/>
              </w:rPr>
              <w:t>hsa-miR-4435</w:t>
            </w:r>
          </w:p>
          <w:p w14:paraId="4F2480B1" w14:textId="77777777" w:rsidR="00966BBE" w:rsidRPr="00730D74" w:rsidRDefault="00966BBE" w:rsidP="00BF2D0F">
            <w:pPr>
              <w:rPr>
                <w:sz w:val="18"/>
                <w:szCs w:val="18"/>
                <w:lang w:val="en-US"/>
              </w:rPr>
            </w:pPr>
            <w:r w:rsidRPr="00730D74">
              <w:rPr>
                <w:color w:val="000000"/>
                <w:sz w:val="18"/>
                <w:szCs w:val="18"/>
                <w:lang w:val="en-US"/>
              </w:rPr>
              <w:t>hsa-miR-342-3p</w:t>
            </w:r>
          </w:p>
          <w:p w14:paraId="4669DD84" w14:textId="77777777" w:rsidR="00966BBE" w:rsidRPr="00730D74" w:rsidRDefault="00966BBE" w:rsidP="00BF2D0F">
            <w:pPr>
              <w:rPr>
                <w:sz w:val="18"/>
                <w:szCs w:val="18"/>
                <w:lang w:val="en-US"/>
              </w:rPr>
            </w:pPr>
            <w:r w:rsidRPr="00730D74">
              <w:rPr>
                <w:color w:val="000000"/>
                <w:sz w:val="18"/>
                <w:szCs w:val="18"/>
                <w:lang w:val="en-US"/>
              </w:rPr>
              <w:t>hsa-miR-378c</w:t>
            </w:r>
          </w:p>
          <w:p w14:paraId="6663FB46" w14:textId="77777777" w:rsidR="00966BBE" w:rsidRPr="00730D74" w:rsidRDefault="00966BBE" w:rsidP="00BF2D0F">
            <w:pPr>
              <w:rPr>
                <w:sz w:val="18"/>
                <w:szCs w:val="18"/>
                <w:lang w:val="en-US"/>
              </w:rPr>
            </w:pPr>
            <w:r w:rsidRPr="00730D74">
              <w:rPr>
                <w:color w:val="000000"/>
                <w:sz w:val="18"/>
                <w:szCs w:val="18"/>
                <w:lang w:val="en-US"/>
              </w:rPr>
              <w:t>hsa-miR-16-2-3p</w:t>
            </w:r>
          </w:p>
          <w:p w14:paraId="24ABA2F8" w14:textId="77777777" w:rsidR="00966BBE" w:rsidRPr="00730D74" w:rsidRDefault="00966BBE" w:rsidP="00BF2D0F">
            <w:pPr>
              <w:rPr>
                <w:sz w:val="18"/>
                <w:szCs w:val="18"/>
                <w:lang w:val="en-US"/>
              </w:rPr>
            </w:pPr>
            <w:r w:rsidRPr="00730D74">
              <w:rPr>
                <w:color w:val="000000"/>
                <w:sz w:val="18"/>
                <w:szCs w:val="18"/>
                <w:lang w:val="en-US"/>
              </w:rPr>
              <w:t>hsa-miR-652-3p</w:t>
            </w:r>
          </w:p>
          <w:p w14:paraId="6797C534" w14:textId="77777777" w:rsidR="00966BBE" w:rsidRPr="00730D74" w:rsidRDefault="00966BBE" w:rsidP="00BF2D0F">
            <w:pPr>
              <w:rPr>
                <w:sz w:val="18"/>
                <w:szCs w:val="18"/>
                <w:lang w:val="en-US"/>
              </w:rPr>
            </w:pPr>
            <w:r w:rsidRPr="00730D74">
              <w:rPr>
                <w:color w:val="000000"/>
                <w:sz w:val="18"/>
                <w:szCs w:val="18"/>
                <w:lang w:val="en-US"/>
              </w:rPr>
              <w:t>hsa-miR-93-5p</w:t>
            </w:r>
          </w:p>
          <w:p w14:paraId="4475562C" w14:textId="77777777" w:rsidR="00966BBE" w:rsidRPr="00730D74" w:rsidRDefault="00966BBE" w:rsidP="00BF2D0F">
            <w:pPr>
              <w:rPr>
                <w:sz w:val="18"/>
                <w:szCs w:val="18"/>
                <w:lang w:val="en-US"/>
              </w:rPr>
            </w:pPr>
            <w:r w:rsidRPr="00730D74">
              <w:rPr>
                <w:color w:val="000000"/>
                <w:sz w:val="18"/>
                <w:szCs w:val="18"/>
                <w:lang w:val="en-US"/>
              </w:rPr>
              <w:t>hsa-miR-485-5p</w:t>
            </w:r>
          </w:p>
          <w:p w14:paraId="6477C09B" w14:textId="77777777" w:rsidR="00966BBE" w:rsidRPr="00730D74" w:rsidRDefault="00966BBE" w:rsidP="00BF2D0F">
            <w:pPr>
              <w:rPr>
                <w:sz w:val="18"/>
                <w:szCs w:val="18"/>
                <w:lang w:val="en-US"/>
              </w:rPr>
            </w:pPr>
            <w:r w:rsidRPr="00730D74">
              <w:rPr>
                <w:color w:val="000000"/>
                <w:sz w:val="18"/>
                <w:szCs w:val="18"/>
                <w:lang w:val="en-US"/>
              </w:rPr>
              <w:t>hsa-miR-425-3p</w:t>
            </w:r>
          </w:p>
          <w:p w14:paraId="6124E65A" w14:textId="77777777" w:rsidR="00966BBE" w:rsidRPr="00730D74" w:rsidRDefault="00966BBE" w:rsidP="00BF2D0F">
            <w:pPr>
              <w:rPr>
                <w:sz w:val="18"/>
                <w:szCs w:val="18"/>
                <w:lang w:val="en-US"/>
              </w:rPr>
            </w:pPr>
            <w:r w:rsidRPr="00730D74">
              <w:rPr>
                <w:color w:val="000000"/>
                <w:sz w:val="18"/>
                <w:szCs w:val="18"/>
                <w:lang w:val="en-US"/>
              </w:rPr>
              <w:lastRenderedPageBreak/>
              <w:t>hsa-miR-101-3p</w:t>
            </w:r>
          </w:p>
          <w:p w14:paraId="5FA6080C" w14:textId="77777777" w:rsidR="00966BBE" w:rsidRPr="00730D74" w:rsidRDefault="00966BBE" w:rsidP="00BF2D0F">
            <w:pPr>
              <w:rPr>
                <w:sz w:val="18"/>
                <w:szCs w:val="18"/>
                <w:lang w:val="en-US"/>
              </w:rPr>
            </w:pPr>
            <w:r w:rsidRPr="00730D74">
              <w:rPr>
                <w:color w:val="000000"/>
                <w:sz w:val="18"/>
                <w:szCs w:val="18"/>
                <w:lang w:val="en-US"/>
              </w:rPr>
              <w:t>hsa-miR-103a-3p</w:t>
            </w:r>
          </w:p>
          <w:p w14:paraId="7F8FB023" w14:textId="77777777" w:rsidR="00966BBE" w:rsidRPr="00730D74" w:rsidRDefault="00966BBE" w:rsidP="00BF2D0F">
            <w:pPr>
              <w:rPr>
                <w:sz w:val="18"/>
                <w:szCs w:val="18"/>
                <w:lang w:val="en-US"/>
              </w:rPr>
            </w:pPr>
            <w:r w:rsidRPr="00730D74">
              <w:rPr>
                <w:color w:val="000000"/>
                <w:sz w:val="18"/>
                <w:szCs w:val="18"/>
                <w:lang w:val="en-US"/>
              </w:rPr>
              <w:t>hsa-miR-345-5p</w:t>
            </w:r>
          </w:p>
          <w:p w14:paraId="4665319D" w14:textId="77777777" w:rsidR="00966BBE" w:rsidRPr="00730D74" w:rsidRDefault="00966BBE" w:rsidP="00BF2D0F">
            <w:pPr>
              <w:rPr>
                <w:sz w:val="18"/>
                <w:szCs w:val="18"/>
                <w:lang w:val="en-US"/>
              </w:rPr>
            </w:pPr>
            <w:r w:rsidRPr="00730D74">
              <w:rPr>
                <w:color w:val="000000"/>
                <w:sz w:val="18"/>
                <w:szCs w:val="18"/>
                <w:lang w:val="en-US"/>
              </w:rPr>
              <w:t>hsa-miR-132-3p</w:t>
            </w:r>
          </w:p>
          <w:p w14:paraId="332D3A77" w14:textId="77777777" w:rsidR="00966BBE" w:rsidRPr="00730D74" w:rsidRDefault="00966BBE" w:rsidP="00BF2D0F">
            <w:pPr>
              <w:rPr>
                <w:sz w:val="18"/>
                <w:szCs w:val="18"/>
                <w:lang w:val="en-US"/>
              </w:rPr>
            </w:pPr>
            <w:r w:rsidRPr="00730D74">
              <w:rPr>
                <w:color w:val="000000"/>
                <w:sz w:val="18"/>
                <w:szCs w:val="18"/>
                <w:lang w:val="en-US"/>
              </w:rPr>
              <w:t>hsa-miR-324-3p</w:t>
            </w:r>
          </w:p>
          <w:p w14:paraId="6928A651" w14:textId="77777777" w:rsidR="00966BBE" w:rsidRPr="00730D74" w:rsidRDefault="00966BBE" w:rsidP="00BF2D0F">
            <w:pPr>
              <w:rPr>
                <w:sz w:val="18"/>
                <w:szCs w:val="18"/>
                <w:lang w:val="en-US"/>
              </w:rPr>
            </w:pPr>
            <w:r w:rsidRPr="00730D74">
              <w:rPr>
                <w:color w:val="000000"/>
                <w:sz w:val="18"/>
                <w:szCs w:val="18"/>
                <w:lang w:val="en-US"/>
              </w:rPr>
              <w:t>hsa-miR-18a-3p</w:t>
            </w:r>
          </w:p>
          <w:p w14:paraId="57816F61" w14:textId="77777777" w:rsidR="00966BBE" w:rsidRPr="00730D74" w:rsidRDefault="00966BBE" w:rsidP="00BF2D0F">
            <w:pPr>
              <w:rPr>
                <w:sz w:val="18"/>
                <w:szCs w:val="18"/>
                <w:lang w:val="en-US"/>
              </w:rPr>
            </w:pPr>
            <w:r w:rsidRPr="00730D74">
              <w:rPr>
                <w:color w:val="000000"/>
                <w:sz w:val="18"/>
                <w:szCs w:val="18"/>
                <w:lang w:val="en-US"/>
              </w:rPr>
              <w:t>hsa-miR-107</w:t>
            </w:r>
          </w:p>
          <w:p w14:paraId="1B9AC30B" w14:textId="77777777" w:rsidR="00966BBE" w:rsidRPr="00730D74" w:rsidRDefault="00966BBE" w:rsidP="00BF2D0F">
            <w:pPr>
              <w:rPr>
                <w:sz w:val="18"/>
                <w:szCs w:val="18"/>
                <w:lang w:val="en-US"/>
              </w:rPr>
            </w:pPr>
            <w:r w:rsidRPr="00730D74">
              <w:rPr>
                <w:color w:val="000000"/>
                <w:sz w:val="18"/>
                <w:szCs w:val="18"/>
                <w:lang w:val="en-US"/>
              </w:rPr>
              <w:t>hsa-miR-21-3p</w:t>
            </w:r>
          </w:p>
          <w:p w14:paraId="1B393891" w14:textId="77777777" w:rsidR="00966BBE" w:rsidRPr="00730D74" w:rsidRDefault="00966BBE" w:rsidP="00BF2D0F">
            <w:pPr>
              <w:rPr>
                <w:sz w:val="18"/>
                <w:szCs w:val="18"/>
                <w:lang w:val="en-US"/>
              </w:rPr>
            </w:pPr>
            <w:r w:rsidRPr="00730D74">
              <w:rPr>
                <w:color w:val="000000"/>
                <w:sz w:val="18"/>
                <w:szCs w:val="18"/>
                <w:lang w:val="en-US"/>
              </w:rPr>
              <w:t>hsa-miR-425-5p</w:t>
            </w:r>
          </w:p>
          <w:p w14:paraId="7D3BD5A9" w14:textId="77777777" w:rsidR="00966BBE" w:rsidRPr="00730D74" w:rsidRDefault="00966BBE" w:rsidP="00BF2D0F">
            <w:pPr>
              <w:rPr>
                <w:sz w:val="18"/>
                <w:szCs w:val="18"/>
                <w:lang w:val="en-US"/>
              </w:rPr>
            </w:pPr>
            <w:r w:rsidRPr="00730D74">
              <w:rPr>
                <w:color w:val="000000"/>
                <w:sz w:val="18"/>
                <w:szCs w:val="18"/>
                <w:lang w:val="en-US"/>
              </w:rPr>
              <w:t>hsa-miR-1285-3p</w:t>
            </w:r>
          </w:p>
          <w:p w14:paraId="7B809D11" w14:textId="77777777" w:rsidR="00966BBE" w:rsidRPr="00730D74" w:rsidRDefault="00966BBE" w:rsidP="00BF2D0F">
            <w:pPr>
              <w:rPr>
                <w:sz w:val="18"/>
                <w:szCs w:val="18"/>
                <w:lang w:val="en-US"/>
              </w:rPr>
            </w:pPr>
            <w:r w:rsidRPr="00730D74">
              <w:rPr>
                <w:color w:val="000000"/>
                <w:sz w:val="18"/>
                <w:szCs w:val="18"/>
                <w:lang w:val="en-US"/>
              </w:rPr>
              <w:t>hsa-miR-151a-5p</w:t>
            </w:r>
          </w:p>
          <w:p w14:paraId="10168BF1" w14:textId="77777777" w:rsidR="00966BBE" w:rsidRPr="00730D74" w:rsidRDefault="00966BBE" w:rsidP="00BF2D0F">
            <w:pPr>
              <w:rPr>
                <w:sz w:val="18"/>
                <w:szCs w:val="18"/>
                <w:lang w:val="en-US"/>
              </w:rPr>
            </w:pPr>
            <w:r w:rsidRPr="00730D74">
              <w:rPr>
                <w:color w:val="000000"/>
                <w:sz w:val="18"/>
                <w:szCs w:val="18"/>
                <w:lang w:val="en-US"/>
              </w:rPr>
              <w:t>hsa-miR-451a</w:t>
            </w:r>
          </w:p>
          <w:p w14:paraId="4C034C48" w14:textId="77777777" w:rsidR="00966BBE" w:rsidRPr="00730D74" w:rsidRDefault="00966BBE" w:rsidP="00BF2D0F">
            <w:pPr>
              <w:rPr>
                <w:sz w:val="18"/>
                <w:szCs w:val="18"/>
                <w:lang w:val="en-US"/>
              </w:rPr>
            </w:pPr>
            <w:r w:rsidRPr="00730D74">
              <w:rPr>
                <w:color w:val="000000"/>
                <w:sz w:val="18"/>
                <w:szCs w:val="18"/>
                <w:lang w:val="en-US"/>
              </w:rPr>
              <w:t>hsa-miR-363-3p</w:t>
            </w:r>
          </w:p>
          <w:p w14:paraId="359234AF" w14:textId="77777777" w:rsidR="00966BBE" w:rsidRPr="00730D74" w:rsidRDefault="00966BBE" w:rsidP="00BF2D0F">
            <w:pPr>
              <w:rPr>
                <w:sz w:val="18"/>
                <w:szCs w:val="18"/>
                <w:lang w:val="en-US"/>
              </w:rPr>
            </w:pPr>
            <w:r w:rsidRPr="00730D74">
              <w:rPr>
                <w:color w:val="000000"/>
                <w:sz w:val="18"/>
                <w:szCs w:val="18"/>
                <w:lang w:val="en-US"/>
              </w:rPr>
              <w:t>hsa-miR-32-5p</w:t>
            </w:r>
          </w:p>
          <w:p w14:paraId="44FBDED6" w14:textId="77777777" w:rsidR="00966BBE" w:rsidRPr="00730D74" w:rsidRDefault="00966BBE" w:rsidP="00BF2D0F">
            <w:pPr>
              <w:rPr>
                <w:sz w:val="18"/>
                <w:szCs w:val="18"/>
                <w:lang w:val="en-US"/>
              </w:rPr>
            </w:pPr>
            <w:r w:rsidRPr="00730D74">
              <w:rPr>
                <w:color w:val="000000"/>
                <w:sz w:val="18"/>
                <w:szCs w:val="18"/>
                <w:lang w:val="en-US"/>
              </w:rPr>
              <w:t>hsa-miR-532-5p</w:t>
            </w:r>
          </w:p>
          <w:p w14:paraId="0DA0999A" w14:textId="77777777" w:rsidR="00966BBE" w:rsidRPr="00730D74" w:rsidRDefault="00966BBE" w:rsidP="00BF2D0F">
            <w:pPr>
              <w:rPr>
                <w:sz w:val="18"/>
                <w:szCs w:val="18"/>
                <w:lang w:val="en-US"/>
              </w:rPr>
            </w:pPr>
            <w:r w:rsidRPr="00730D74">
              <w:rPr>
                <w:color w:val="000000"/>
                <w:sz w:val="18"/>
                <w:szCs w:val="18"/>
                <w:lang w:val="en-US"/>
              </w:rPr>
              <w:t>hsa-miR-130b-3p</w:t>
            </w:r>
          </w:p>
          <w:p w14:paraId="653164F6" w14:textId="77777777" w:rsidR="00966BBE" w:rsidRPr="00730D74" w:rsidRDefault="00966BBE" w:rsidP="00BF2D0F">
            <w:pPr>
              <w:rPr>
                <w:sz w:val="18"/>
                <w:szCs w:val="18"/>
                <w:lang w:val="en-US"/>
              </w:rPr>
            </w:pPr>
            <w:r w:rsidRPr="00730D74">
              <w:rPr>
                <w:color w:val="000000"/>
                <w:sz w:val="18"/>
                <w:szCs w:val="18"/>
                <w:lang w:val="en-US"/>
              </w:rPr>
              <w:t>hsa-miR-106b-3p</w:t>
            </w:r>
          </w:p>
          <w:p w14:paraId="32FB1E2A" w14:textId="77777777" w:rsidR="00966BBE" w:rsidRPr="00730D74" w:rsidRDefault="00966BBE" w:rsidP="00BF2D0F">
            <w:pPr>
              <w:rPr>
                <w:sz w:val="18"/>
                <w:szCs w:val="18"/>
                <w:lang w:val="en-US"/>
              </w:rPr>
            </w:pPr>
            <w:r w:rsidRPr="00730D74">
              <w:rPr>
                <w:color w:val="000000"/>
                <w:sz w:val="18"/>
                <w:szCs w:val="18"/>
                <w:lang w:val="en-US"/>
              </w:rPr>
              <w:t>hsa-miR-134-5p</w:t>
            </w:r>
          </w:p>
          <w:p w14:paraId="66C10134" w14:textId="77777777" w:rsidR="00966BBE" w:rsidRPr="00730D74" w:rsidRDefault="00966BBE" w:rsidP="00BF2D0F">
            <w:pPr>
              <w:rPr>
                <w:sz w:val="18"/>
                <w:szCs w:val="18"/>
                <w:lang w:val="en-US"/>
              </w:rPr>
            </w:pPr>
            <w:r w:rsidRPr="00730D74">
              <w:rPr>
                <w:color w:val="000000"/>
                <w:sz w:val="18"/>
                <w:szCs w:val="18"/>
                <w:lang w:val="en-US"/>
              </w:rPr>
              <w:t>hsa-miR-424-3p</w:t>
            </w:r>
          </w:p>
          <w:p w14:paraId="155820D4" w14:textId="77777777" w:rsidR="00966BBE" w:rsidRPr="00730D74" w:rsidRDefault="00966BBE" w:rsidP="00BF2D0F">
            <w:pPr>
              <w:rPr>
                <w:sz w:val="18"/>
                <w:szCs w:val="18"/>
                <w:lang w:val="en-US"/>
              </w:rPr>
            </w:pPr>
            <w:r w:rsidRPr="00730D74">
              <w:rPr>
                <w:color w:val="000000"/>
                <w:sz w:val="18"/>
                <w:szCs w:val="18"/>
                <w:lang w:val="en-US"/>
              </w:rPr>
              <w:t>hsa-miR-15b-3p</w:t>
            </w:r>
          </w:p>
          <w:p w14:paraId="70F01EEF" w14:textId="77777777" w:rsidR="00966BBE" w:rsidRPr="00730D74" w:rsidRDefault="00966BBE" w:rsidP="00BF2D0F">
            <w:pPr>
              <w:rPr>
                <w:sz w:val="18"/>
                <w:szCs w:val="18"/>
                <w:lang w:val="en-US"/>
              </w:rPr>
            </w:pPr>
            <w:r w:rsidRPr="00730D74">
              <w:rPr>
                <w:color w:val="000000"/>
                <w:sz w:val="18"/>
                <w:szCs w:val="18"/>
                <w:lang w:val="en-US"/>
              </w:rPr>
              <w:t>hsa-miR-224-5p</w:t>
            </w:r>
          </w:p>
          <w:p w14:paraId="46DFA053" w14:textId="77777777" w:rsidR="00966BBE" w:rsidRPr="00730D74" w:rsidRDefault="00966BBE" w:rsidP="00BF2D0F">
            <w:pPr>
              <w:rPr>
                <w:sz w:val="18"/>
                <w:szCs w:val="18"/>
                <w:lang w:val="en-US"/>
              </w:rPr>
            </w:pPr>
            <w:r w:rsidRPr="00730D74">
              <w:rPr>
                <w:color w:val="000000"/>
                <w:sz w:val="18"/>
                <w:szCs w:val="18"/>
                <w:lang w:val="en-US"/>
              </w:rPr>
              <w:t>hsa-miR-5010-5p</w:t>
            </w:r>
          </w:p>
          <w:p w14:paraId="0C166067" w14:textId="77777777" w:rsidR="00966BBE" w:rsidRPr="00730D74" w:rsidRDefault="00966BBE" w:rsidP="00BF2D0F">
            <w:pPr>
              <w:rPr>
                <w:sz w:val="18"/>
                <w:szCs w:val="18"/>
                <w:lang w:val="en-US"/>
              </w:rPr>
            </w:pPr>
            <w:r w:rsidRPr="00730D74">
              <w:rPr>
                <w:color w:val="000000"/>
                <w:sz w:val="18"/>
                <w:szCs w:val="18"/>
                <w:lang w:val="en-US"/>
              </w:rPr>
              <w:t>hsa-miR-186-5p</w:t>
            </w:r>
          </w:p>
          <w:p w14:paraId="517D1780" w14:textId="77777777" w:rsidR="00966BBE" w:rsidRPr="00A831E7" w:rsidRDefault="00966BBE" w:rsidP="00BF2D0F">
            <w:pPr>
              <w:rPr>
                <w:sz w:val="18"/>
                <w:szCs w:val="18"/>
              </w:rPr>
            </w:pPr>
            <w:r w:rsidRPr="00A831E7">
              <w:rPr>
                <w:color w:val="000000"/>
                <w:sz w:val="18"/>
                <w:szCs w:val="18"/>
              </w:rPr>
              <w:t>hsa-miR-320b</w:t>
            </w:r>
          </w:p>
        </w:tc>
        <w:tc>
          <w:tcPr>
            <w:tcW w:w="983" w:type="pct"/>
          </w:tcPr>
          <w:p w14:paraId="46FB594C" w14:textId="77777777" w:rsidR="00966BBE" w:rsidRPr="00730D74" w:rsidRDefault="00966BBE" w:rsidP="00BF2D0F">
            <w:pPr>
              <w:rPr>
                <w:sz w:val="18"/>
                <w:szCs w:val="18"/>
                <w:lang w:val="en-US"/>
              </w:rPr>
            </w:pPr>
            <w:r w:rsidRPr="00730D74">
              <w:rPr>
                <w:color w:val="000000"/>
                <w:sz w:val="18"/>
                <w:szCs w:val="18"/>
                <w:lang w:val="en-US"/>
              </w:rPr>
              <w:lastRenderedPageBreak/>
              <w:t>hsa-miR-30a-3p</w:t>
            </w:r>
          </w:p>
          <w:p w14:paraId="339DA39C" w14:textId="77777777" w:rsidR="00966BBE" w:rsidRPr="00730D74" w:rsidRDefault="00966BBE" w:rsidP="00BF2D0F">
            <w:pPr>
              <w:rPr>
                <w:sz w:val="18"/>
                <w:szCs w:val="18"/>
                <w:lang w:val="en-US"/>
              </w:rPr>
            </w:pPr>
            <w:r w:rsidRPr="00730D74">
              <w:rPr>
                <w:color w:val="000000"/>
                <w:sz w:val="18"/>
                <w:szCs w:val="18"/>
                <w:lang w:val="en-US"/>
              </w:rPr>
              <w:t>hsa-miR-30e-3p</w:t>
            </w:r>
          </w:p>
          <w:p w14:paraId="419A59D5" w14:textId="77777777" w:rsidR="00966BBE" w:rsidRPr="00730D74" w:rsidRDefault="00966BBE" w:rsidP="00BF2D0F">
            <w:pPr>
              <w:rPr>
                <w:sz w:val="18"/>
                <w:szCs w:val="18"/>
                <w:lang w:val="en-US"/>
              </w:rPr>
            </w:pPr>
            <w:r w:rsidRPr="00730D74">
              <w:rPr>
                <w:color w:val="000000"/>
                <w:sz w:val="18"/>
                <w:szCs w:val="18"/>
                <w:lang w:val="en-US"/>
              </w:rPr>
              <w:t>hsa-miR-629-5p</w:t>
            </w:r>
          </w:p>
          <w:p w14:paraId="59752921" w14:textId="77777777" w:rsidR="00966BBE" w:rsidRPr="00730D74" w:rsidRDefault="00966BBE" w:rsidP="00BF2D0F">
            <w:pPr>
              <w:rPr>
                <w:sz w:val="18"/>
                <w:szCs w:val="18"/>
                <w:lang w:val="en-US"/>
              </w:rPr>
            </w:pPr>
            <w:r w:rsidRPr="00730D74">
              <w:rPr>
                <w:color w:val="000000"/>
                <w:sz w:val="18"/>
                <w:szCs w:val="18"/>
                <w:lang w:val="en-US"/>
              </w:rPr>
              <w:t>hsa-miR-98-3p</w:t>
            </w:r>
          </w:p>
          <w:p w14:paraId="7EB7AE47" w14:textId="77777777" w:rsidR="00966BBE" w:rsidRPr="00730D74" w:rsidRDefault="00966BBE" w:rsidP="00BF2D0F">
            <w:pPr>
              <w:rPr>
                <w:sz w:val="18"/>
                <w:szCs w:val="18"/>
                <w:lang w:val="en-US"/>
              </w:rPr>
            </w:pPr>
            <w:r w:rsidRPr="00730D74">
              <w:rPr>
                <w:color w:val="000000"/>
                <w:sz w:val="18"/>
                <w:szCs w:val="18"/>
                <w:lang w:val="en-US"/>
              </w:rPr>
              <w:t>hsa-miR-224-5p</w:t>
            </w:r>
          </w:p>
          <w:p w14:paraId="67A5CB15" w14:textId="77777777" w:rsidR="00966BBE" w:rsidRPr="00730D74" w:rsidRDefault="00966BBE" w:rsidP="00BF2D0F">
            <w:pPr>
              <w:rPr>
                <w:sz w:val="18"/>
                <w:szCs w:val="18"/>
                <w:lang w:val="en-US"/>
              </w:rPr>
            </w:pPr>
            <w:r w:rsidRPr="00730D74">
              <w:rPr>
                <w:color w:val="000000"/>
                <w:sz w:val="18"/>
                <w:szCs w:val="18"/>
                <w:lang w:val="en-US"/>
              </w:rPr>
              <w:t>hsa-miR-598-3p</w:t>
            </w:r>
          </w:p>
          <w:p w14:paraId="5E6CD70B" w14:textId="77777777" w:rsidR="00966BBE" w:rsidRPr="00730D74" w:rsidRDefault="00966BBE" w:rsidP="00BF2D0F">
            <w:pPr>
              <w:rPr>
                <w:sz w:val="18"/>
                <w:szCs w:val="18"/>
                <w:lang w:val="en-US"/>
              </w:rPr>
            </w:pPr>
            <w:r w:rsidRPr="00730D74">
              <w:rPr>
                <w:color w:val="000000"/>
                <w:sz w:val="18"/>
                <w:szCs w:val="18"/>
                <w:lang w:val="en-US"/>
              </w:rPr>
              <w:t>hsa-miR-215-5p</w:t>
            </w:r>
          </w:p>
          <w:p w14:paraId="1082A8DA" w14:textId="77777777" w:rsidR="00966BBE" w:rsidRPr="00730D74" w:rsidRDefault="00966BBE" w:rsidP="00BF2D0F">
            <w:pPr>
              <w:rPr>
                <w:sz w:val="18"/>
                <w:szCs w:val="18"/>
                <w:lang w:val="en-US"/>
              </w:rPr>
            </w:pPr>
            <w:r w:rsidRPr="00730D74">
              <w:rPr>
                <w:color w:val="000000"/>
                <w:sz w:val="18"/>
                <w:szCs w:val="18"/>
                <w:lang w:val="en-US"/>
              </w:rPr>
              <w:t>hsa-miR-99a-5p</w:t>
            </w:r>
          </w:p>
          <w:p w14:paraId="7F945D3A" w14:textId="77777777" w:rsidR="00966BBE" w:rsidRPr="00730D74" w:rsidRDefault="00966BBE" w:rsidP="00BF2D0F">
            <w:pPr>
              <w:rPr>
                <w:sz w:val="18"/>
                <w:szCs w:val="18"/>
                <w:lang w:val="en-US"/>
              </w:rPr>
            </w:pPr>
            <w:r w:rsidRPr="00730D74">
              <w:rPr>
                <w:color w:val="000000"/>
                <w:sz w:val="18"/>
                <w:szCs w:val="18"/>
                <w:lang w:val="en-US"/>
              </w:rPr>
              <w:t>hsa-miR-146b-5p</w:t>
            </w:r>
          </w:p>
          <w:p w14:paraId="79C97673" w14:textId="77777777" w:rsidR="00966BBE" w:rsidRPr="00730D74" w:rsidRDefault="00966BBE" w:rsidP="00BF2D0F">
            <w:pPr>
              <w:rPr>
                <w:sz w:val="18"/>
                <w:szCs w:val="18"/>
                <w:lang w:val="en-US"/>
              </w:rPr>
            </w:pPr>
            <w:r w:rsidRPr="00730D74">
              <w:rPr>
                <w:color w:val="000000"/>
                <w:sz w:val="18"/>
                <w:szCs w:val="18"/>
                <w:lang w:val="en-US"/>
              </w:rPr>
              <w:t>hsa-miR-23b-3p</w:t>
            </w:r>
          </w:p>
          <w:p w14:paraId="40D207B3" w14:textId="77777777" w:rsidR="00966BBE" w:rsidRPr="00730D74" w:rsidRDefault="00966BBE" w:rsidP="00BF2D0F">
            <w:pPr>
              <w:rPr>
                <w:sz w:val="18"/>
                <w:szCs w:val="18"/>
                <w:lang w:val="en-US"/>
              </w:rPr>
            </w:pPr>
            <w:r w:rsidRPr="00730D74">
              <w:rPr>
                <w:color w:val="000000"/>
                <w:sz w:val="18"/>
                <w:szCs w:val="18"/>
                <w:lang w:val="en-US"/>
              </w:rPr>
              <w:t>hsa-miR-486-5p</w:t>
            </w:r>
          </w:p>
          <w:p w14:paraId="547E237C" w14:textId="77777777" w:rsidR="00966BBE" w:rsidRPr="00730D74" w:rsidRDefault="00966BBE" w:rsidP="00BF2D0F">
            <w:pPr>
              <w:rPr>
                <w:sz w:val="18"/>
                <w:szCs w:val="18"/>
                <w:lang w:val="en-US"/>
              </w:rPr>
            </w:pPr>
            <w:r w:rsidRPr="00730D74">
              <w:rPr>
                <w:color w:val="000000"/>
                <w:sz w:val="18"/>
                <w:szCs w:val="18"/>
                <w:lang w:val="en-US"/>
              </w:rPr>
              <w:t>hsa-miR-589-5p</w:t>
            </w:r>
          </w:p>
          <w:p w14:paraId="06243480" w14:textId="77777777" w:rsidR="00966BBE" w:rsidRPr="00730D74" w:rsidRDefault="00966BBE" w:rsidP="00BF2D0F">
            <w:pPr>
              <w:rPr>
                <w:sz w:val="18"/>
                <w:szCs w:val="18"/>
                <w:lang w:val="en-US"/>
              </w:rPr>
            </w:pPr>
            <w:r w:rsidRPr="00730D74">
              <w:rPr>
                <w:color w:val="000000"/>
                <w:sz w:val="18"/>
                <w:szCs w:val="18"/>
                <w:lang w:val="en-US"/>
              </w:rPr>
              <w:t>hsa-miR-148b-5p</w:t>
            </w:r>
          </w:p>
          <w:p w14:paraId="35FECDEB" w14:textId="77777777" w:rsidR="00966BBE" w:rsidRPr="00730D74" w:rsidRDefault="00966BBE" w:rsidP="00BF2D0F">
            <w:pPr>
              <w:rPr>
                <w:sz w:val="18"/>
                <w:szCs w:val="18"/>
                <w:lang w:val="en-US"/>
              </w:rPr>
            </w:pPr>
            <w:r w:rsidRPr="00730D74">
              <w:rPr>
                <w:color w:val="000000"/>
                <w:sz w:val="18"/>
                <w:szCs w:val="18"/>
                <w:lang w:val="en-US"/>
              </w:rPr>
              <w:t>hsa-miR-423-3p</w:t>
            </w:r>
          </w:p>
          <w:p w14:paraId="0B2E8BCA" w14:textId="77777777" w:rsidR="00966BBE" w:rsidRPr="00730D74" w:rsidRDefault="00966BBE" w:rsidP="00BF2D0F">
            <w:pPr>
              <w:rPr>
                <w:sz w:val="18"/>
                <w:szCs w:val="18"/>
                <w:lang w:val="en-US"/>
              </w:rPr>
            </w:pPr>
            <w:r w:rsidRPr="00730D74">
              <w:rPr>
                <w:color w:val="000000"/>
                <w:sz w:val="18"/>
                <w:szCs w:val="18"/>
                <w:lang w:val="en-US"/>
              </w:rPr>
              <w:t>hsa-miR-889-3p</w:t>
            </w:r>
          </w:p>
          <w:p w14:paraId="13B56894" w14:textId="77777777" w:rsidR="00966BBE" w:rsidRPr="00730D74" w:rsidRDefault="00966BBE" w:rsidP="00BF2D0F">
            <w:pPr>
              <w:rPr>
                <w:sz w:val="18"/>
                <w:szCs w:val="18"/>
                <w:lang w:val="en-US"/>
              </w:rPr>
            </w:pPr>
            <w:r w:rsidRPr="00730D74">
              <w:rPr>
                <w:color w:val="000000"/>
                <w:sz w:val="18"/>
                <w:szCs w:val="18"/>
                <w:lang w:val="en-US"/>
              </w:rPr>
              <w:t>hsa-miR-133a-3p</w:t>
            </w:r>
          </w:p>
          <w:p w14:paraId="31799EFA" w14:textId="77777777" w:rsidR="00966BBE" w:rsidRPr="00730D74" w:rsidRDefault="00966BBE" w:rsidP="00BF2D0F">
            <w:pPr>
              <w:rPr>
                <w:sz w:val="18"/>
                <w:szCs w:val="18"/>
                <w:lang w:val="en-US"/>
              </w:rPr>
            </w:pPr>
            <w:r w:rsidRPr="00730D74">
              <w:rPr>
                <w:color w:val="000000"/>
                <w:sz w:val="18"/>
                <w:szCs w:val="18"/>
                <w:lang w:val="en-US"/>
              </w:rPr>
              <w:t>hsa-miR-7849-3p</w:t>
            </w:r>
          </w:p>
          <w:p w14:paraId="21D4B2EA" w14:textId="77777777" w:rsidR="00966BBE" w:rsidRPr="00730D74" w:rsidRDefault="00966BBE" w:rsidP="00BF2D0F">
            <w:pPr>
              <w:rPr>
                <w:sz w:val="18"/>
                <w:szCs w:val="18"/>
                <w:lang w:val="en-US"/>
              </w:rPr>
            </w:pPr>
            <w:r w:rsidRPr="00730D74">
              <w:rPr>
                <w:color w:val="000000"/>
                <w:sz w:val="18"/>
                <w:szCs w:val="18"/>
                <w:lang w:val="en-US"/>
              </w:rPr>
              <w:t>hsa-miR-500a-3p</w:t>
            </w:r>
          </w:p>
          <w:p w14:paraId="77E08988" w14:textId="77777777" w:rsidR="00966BBE" w:rsidRPr="00730D74" w:rsidRDefault="00966BBE" w:rsidP="00BF2D0F">
            <w:pPr>
              <w:rPr>
                <w:sz w:val="18"/>
                <w:szCs w:val="18"/>
                <w:lang w:val="en-US"/>
              </w:rPr>
            </w:pPr>
            <w:r w:rsidRPr="00730D74">
              <w:rPr>
                <w:color w:val="000000"/>
                <w:sz w:val="18"/>
                <w:szCs w:val="18"/>
                <w:lang w:val="en-US"/>
              </w:rPr>
              <w:t>hsa-miR-185-5p</w:t>
            </w:r>
          </w:p>
          <w:p w14:paraId="7C090E07" w14:textId="77777777" w:rsidR="00966BBE" w:rsidRPr="00730D74" w:rsidRDefault="00966BBE" w:rsidP="00BF2D0F">
            <w:pPr>
              <w:rPr>
                <w:sz w:val="18"/>
                <w:szCs w:val="18"/>
                <w:lang w:val="en-US"/>
              </w:rPr>
            </w:pPr>
            <w:r w:rsidRPr="00730D74">
              <w:rPr>
                <w:color w:val="000000"/>
                <w:sz w:val="18"/>
                <w:szCs w:val="18"/>
                <w:lang w:val="en-US"/>
              </w:rPr>
              <w:t>hsa-miR-484</w:t>
            </w:r>
          </w:p>
          <w:p w14:paraId="026C2AD7" w14:textId="77777777" w:rsidR="00966BBE" w:rsidRPr="00730D74" w:rsidRDefault="00966BBE" w:rsidP="00BF2D0F">
            <w:pPr>
              <w:rPr>
                <w:sz w:val="18"/>
                <w:szCs w:val="18"/>
                <w:lang w:val="en-US"/>
              </w:rPr>
            </w:pPr>
            <w:r w:rsidRPr="00730D74">
              <w:rPr>
                <w:color w:val="000000"/>
                <w:sz w:val="18"/>
                <w:szCs w:val="18"/>
                <w:lang w:val="en-US"/>
              </w:rPr>
              <w:t>hsa-miR-146a-5p</w:t>
            </w:r>
          </w:p>
          <w:p w14:paraId="0AB43D2B" w14:textId="77777777" w:rsidR="00966BBE" w:rsidRPr="00730D74" w:rsidRDefault="00966BBE" w:rsidP="00BF2D0F">
            <w:pPr>
              <w:rPr>
                <w:sz w:val="18"/>
                <w:szCs w:val="18"/>
                <w:lang w:val="en-US"/>
              </w:rPr>
            </w:pPr>
            <w:r w:rsidRPr="00730D74">
              <w:rPr>
                <w:color w:val="000000"/>
                <w:sz w:val="18"/>
                <w:szCs w:val="18"/>
                <w:lang w:val="en-US"/>
              </w:rPr>
              <w:t>hsa-miR-378c</w:t>
            </w:r>
          </w:p>
          <w:p w14:paraId="3F9B63E7" w14:textId="77777777" w:rsidR="00966BBE" w:rsidRPr="00730D74" w:rsidRDefault="00966BBE" w:rsidP="00BF2D0F">
            <w:pPr>
              <w:rPr>
                <w:sz w:val="18"/>
                <w:szCs w:val="18"/>
                <w:lang w:val="en-US"/>
              </w:rPr>
            </w:pPr>
            <w:r w:rsidRPr="00730D74">
              <w:rPr>
                <w:color w:val="000000"/>
                <w:sz w:val="18"/>
                <w:szCs w:val="18"/>
                <w:lang w:val="en-US"/>
              </w:rPr>
              <w:lastRenderedPageBreak/>
              <w:t>hsa-miR-191-5p</w:t>
            </w:r>
          </w:p>
          <w:p w14:paraId="4754781D" w14:textId="77777777" w:rsidR="00966BBE" w:rsidRPr="00730D74" w:rsidRDefault="00966BBE" w:rsidP="00BF2D0F">
            <w:pPr>
              <w:rPr>
                <w:sz w:val="18"/>
                <w:szCs w:val="18"/>
                <w:lang w:val="en-US"/>
              </w:rPr>
            </w:pPr>
            <w:r w:rsidRPr="00730D74">
              <w:rPr>
                <w:color w:val="000000"/>
                <w:sz w:val="18"/>
                <w:szCs w:val="18"/>
                <w:lang w:val="en-US"/>
              </w:rPr>
              <w:t>hsa-miR-21-3p</w:t>
            </w:r>
          </w:p>
          <w:p w14:paraId="0E90CDF9" w14:textId="77777777" w:rsidR="00966BBE" w:rsidRPr="00730D74" w:rsidRDefault="00966BBE" w:rsidP="00BF2D0F">
            <w:pPr>
              <w:rPr>
                <w:sz w:val="18"/>
                <w:szCs w:val="18"/>
                <w:lang w:val="en-US"/>
              </w:rPr>
            </w:pPr>
            <w:r w:rsidRPr="00730D74">
              <w:rPr>
                <w:color w:val="000000"/>
                <w:sz w:val="18"/>
                <w:szCs w:val="18"/>
                <w:lang w:val="en-US"/>
              </w:rPr>
              <w:t>hsa-miR-181a-5p</w:t>
            </w:r>
          </w:p>
          <w:p w14:paraId="643A9056" w14:textId="77777777" w:rsidR="00966BBE" w:rsidRPr="00730D74" w:rsidRDefault="00966BBE" w:rsidP="00BF2D0F">
            <w:pPr>
              <w:rPr>
                <w:sz w:val="18"/>
                <w:szCs w:val="18"/>
                <w:lang w:val="en-US"/>
              </w:rPr>
            </w:pPr>
            <w:r w:rsidRPr="00730D74">
              <w:rPr>
                <w:color w:val="000000"/>
                <w:sz w:val="18"/>
                <w:szCs w:val="18"/>
                <w:lang w:val="en-US"/>
              </w:rPr>
              <w:t>hsa-miR-99b-5p</w:t>
            </w:r>
          </w:p>
          <w:p w14:paraId="35C02D00" w14:textId="77777777" w:rsidR="00966BBE" w:rsidRPr="00730D74" w:rsidRDefault="00966BBE" w:rsidP="00BF2D0F">
            <w:pPr>
              <w:rPr>
                <w:sz w:val="18"/>
                <w:szCs w:val="18"/>
                <w:lang w:val="en-US"/>
              </w:rPr>
            </w:pPr>
            <w:r w:rsidRPr="00730D74">
              <w:rPr>
                <w:color w:val="000000"/>
                <w:sz w:val="18"/>
                <w:szCs w:val="18"/>
                <w:lang w:val="en-US"/>
              </w:rPr>
              <w:t>hsa-miR-127-3p</w:t>
            </w:r>
          </w:p>
          <w:p w14:paraId="288B3936" w14:textId="77777777" w:rsidR="00966BBE" w:rsidRPr="00730D74" w:rsidRDefault="00966BBE" w:rsidP="00BF2D0F">
            <w:pPr>
              <w:rPr>
                <w:sz w:val="18"/>
                <w:szCs w:val="18"/>
                <w:lang w:val="en-US"/>
              </w:rPr>
            </w:pPr>
            <w:r w:rsidRPr="00730D74">
              <w:rPr>
                <w:color w:val="000000"/>
                <w:sz w:val="18"/>
                <w:szCs w:val="18"/>
                <w:lang w:val="en-US"/>
              </w:rPr>
              <w:t>hsa-let-7c-5p</w:t>
            </w:r>
          </w:p>
          <w:p w14:paraId="001E88CA" w14:textId="77777777" w:rsidR="00966BBE" w:rsidRPr="00730D74" w:rsidRDefault="00966BBE" w:rsidP="00BF2D0F">
            <w:pPr>
              <w:rPr>
                <w:sz w:val="18"/>
                <w:szCs w:val="18"/>
                <w:lang w:val="en-US"/>
              </w:rPr>
            </w:pPr>
            <w:r w:rsidRPr="00730D74">
              <w:rPr>
                <w:color w:val="000000"/>
                <w:sz w:val="18"/>
                <w:szCs w:val="18"/>
                <w:lang w:val="en-US"/>
              </w:rPr>
              <w:t>hsa-miR-140-3p</w:t>
            </w:r>
          </w:p>
          <w:p w14:paraId="2E725B64" w14:textId="77777777" w:rsidR="00966BBE" w:rsidRPr="00730D74" w:rsidRDefault="00966BBE" w:rsidP="00BF2D0F">
            <w:pPr>
              <w:rPr>
                <w:sz w:val="18"/>
                <w:szCs w:val="18"/>
                <w:lang w:val="en-US"/>
              </w:rPr>
            </w:pPr>
            <w:r w:rsidRPr="00730D74">
              <w:rPr>
                <w:color w:val="000000"/>
                <w:sz w:val="18"/>
                <w:szCs w:val="18"/>
                <w:lang w:val="en-US"/>
              </w:rPr>
              <w:t>hsa-miR-20a-5p</w:t>
            </w:r>
          </w:p>
          <w:p w14:paraId="7428D308" w14:textId="77777777" w:rsidR="00966BBE" w:rsidRPr="00730D74" w:rsidRDefault="00966BBE" w:rsidP="00BF2D0F">
            <w:pPr>
              <w:rPr>
                <w:sz w:val="18"/>
                <w:szCs w:val="18"/>
                <w:lang w:val="en-US"/>
              </w:rPr>
            </w:pPr>
            <w:r w:rsidRPr="00730D74">
              <w:rPr>
                <w:color w:val="000000"/>
                <w:sz w:val="18"/>
                <w:szCs w:val="18"/>
                <w:lang w:val="en-US"/>
              </w:rPr>
              <w:t>hsa-miR-320b</w:t>
            </w:r>
          </w:p>
          <w:p w14:paraId="5D34E1F9" w14:textId="77777777" w:rsidR="00966BBE" w:rsidRPr="00730D74" w:rsidRDefault="00966BBE" w:rsidP="00BF2D0F">
            <w:pPr>
              <w:rPr>
                <w:sz w:val="18"/>
                <w:szCs w:val="18"/>
                <w:lang w:val="en-US"/>
              </w:rPr>
            </w:pPr>
            <w:r w:rsidRPr="00730D74">
              <w:rPr>
                <w:color w:val="000000"/>
                <w:sz w:val="18"/>
                <w:szCs w:val="18"/>
                <w:lang w:val="en-US"/>
              </w:rPr>
              <w:t>hsa-miR-301a-3p</w:t>
            </w:r>
          </w:p>
          <w:p w14:paraId="50CE0844" w14:textId="77777777" w:rsidR="00966BBE" w:rsidRPr="00730D74" w:rsidRDefault="00966BBE" w:rsidP="00BF2D0F">
            <w:pPr>
              <w:rPr>
                <w:sz w:val="18"/>
                <w:szCs w:val="18"/>
                <w:lang w:val="en-US"/>
              </w:rPr>
            </w:pPr>
            <w:r w:rsidRPr="00730D74">
              <w:rPr>
                <w:color w:val="000000"/>
                <w:sz w:val="18"/>
                <w:szCs w:val="18"/>
                <w:lang w:val="en-US"/>
              </w:rPr>
              <w:t>hsa-miR-652-3p</w:t>
            </w:r>
          </w:p>
          <w:p w14:paraId="0B1FE762" w14:textId="77777777" w:rsidR="00966BBE" w:rsidRPr="00730D74" w:rsidRDefault="00966BBE" w:rsidP="00BF2D0F">
            <w:pPr>
              <w:rPr>
                <w:sz w:val="18"/>
                <w:szCs w:val="18"/>
                <w:lang w:val="en-US"/>
              </w:rPr>
            </w:pPr>
            <w:r w:rsidRPr="00730D74">
              <w:rPr>
                <w:color w:val="000000"/>
                <w:sz w:val="18"/>
                <w:szCs w:val="18"/>
                <w:lang w:val="en-US"/>
              </w:rPr>
              <w:t>hsa-miR-5189-5p</w:t>
            </w:r>
          </w:p>
          <w:p w14:paraId="61FC4370" w14:textId="77777777" w:rsidR="00966BBE" w:rsidRPr="00730D74" w:rsidRDefault="00966BBE" w:rsidP="00BF2D0F">
            <w:pPr>
              <w:rPr>
                <w:sz w:val="18"/>
                <w:szCs w:val="18"/>
                <w:lang w:val="en-US"/>
              </w:rPr>
            </w:pPr>
            <w:r w:rsidRPr="00730D74">
              <w:rPr>
                <w:color w:val="000000"/>
                <w:sz w:val="18"/>
                <w:szCs w:val="18"/>
                <w:lang w:val="en-US"/>
              </w:rPr>
              <w:t>hsa-miR-132-3p</w:t>
            </w:r>
          </w:p>
          <w:p w14:paraId="25B3F94E" w14:textId="77777777" w:rsidR="00966BBE" w:rsidRPr="00730D74" w:rsidRDefault="00966BBE" w:rsidP="00BF2D0F">
            <w:pPr>
              <w:rPr>
                <w:sz w:val="18"/>
                <w:szCs w:val="18"/>
                <w:lang w:val="en-US"/>
              </w:rPr>
            </w:pPr>
            <w:r w:rsidRPr="00730D74">
              <w:rPr>
                <w:color w:val="000000"/>
                <w:sz w:val="18"/>
                <w:szCs w:val="18"/>
                <w:lang w:val="en-US"/>
              </w:rPr>
              <w:t>hsa-miR-210-3p</w:t>
            </w:r>
          </w:p>
          <w:p w14:paraId="046FE21B" w14:textId="77777777" w:rsidR="00966BBE" w:rsidRPr="00730D74" w:rsidRDefault="00966BBE" w:rsidP="00BF2D0F">
            <w:pPr>
              <w:rPr>
                <w:sz w:val="18"/>
                <w:szCs w:val="18"/>
                <w:lang w:val="en-US"/>
              </w:rPr>
            </w:pPr>
            <w:r w:rsidRPr="00730D74">
              <w:rPr>
                <w:color w:val="000000"/>
                <w:sz w:val="18"/>
                <w:szCs w:val="18"/>
                <w:lang w:val="en-US"/>
              </w:rPr>
              <w:t>hsa-miR-27b-3p</w:t>
            </w:r>
          </w:p>
          <w:p w14:paraId="5341E532" w14:textId="77777777" w:rsidR="00966BBE" w:rsidRPr="00730D74" w:rsidRDefault="00966BBE" w:rsidP="00BF2D0F">
            <w:pPr>
              <w:rPr>
                <w:sz w:val="18"/>
                <w:szCs w:val="18"/>
                <w:lang w:val="en-US"/>
              </w:rPr>
            </w:pPr>
            <w:r w:rsidRPr="00730D74">
              <w:rPr>
                <w:color w:val="000000"/>
                <w:sz w:val="18"/>
                <w:szCs w:val="18"/>
                <w:lang w:val="en-US"/>
              </w:rPr>
              <w:t>hsa-miR-501-3p</w:t>
            </w:r>
          </w:p>
          <w:p w14:paraId="2202A2A1" w14:textId="77777777" w:rsidR="00966BBE" w:rsidRPr="00730D74" w:rsidRDefault="00966BBE" w:rsidP="00BF2D0F">
            <w:pPr>
              <w:rPr>
                <w:sz w:val="18"/>
                <w:szCs w:val="18"/>
                <w:lang w:val="en-US"/>
              </w:rPr>
            </w:pPr>
            <w:r w:rsidRPr="00730D74">
              <w:rPr>
                <w:color w:val="000000"/>
                <w:sz w:val="18"/>
                <w:szCs w:val="18"/>
                <w:lang w:val="en-US"/>
              </w:rPr>
              <w:t>hsa-miR-130b-5p</w:t>
            </w:r>
          </w:p>
          <w:p w14:paraId="5A25D0CE" w14:textId="77777777" w:rsidR="00966BBE" w:rsidRPr="00730D74" w:rsidRDefault="00966BBE" w:rsidP="00BF2D0F">
            <w:pPr>
              <w:rPr>
                <w:sz w:val="18"/>
                <w:szCs w:val="18"/>
                <w:lang w:val="en-US"/>
              </w:rPr>
            </w:pPr>
            <w:r w:rsidRPr="00730D74">
              <w:rPr>
                <w:color w:val="000000"/>
                <w:sz w:val="18"/>
                <w:szCs w:val="18"/>
                <w:lang w:val="en-US"/>
              </w:rPr>
              <w:t>hsa-miR-424-3p</w:t>
            </w:r>
          </w:p>
          <w:p w14:paraId="77C85243" w14:textId="77777777" w:rsidR="00966BBE" w:rsidRPr="00730D74" w:rsidRDefault="00966BBE" w:rsidP="00BF2D0F">
            <w:pPr>
              <w:rPr>
                <w:sz w:val="18"/>
                <w:szCs w:val="18"/>
                <w:lang w:val="en-US"/>
              </w:rPr>
            </w:pPr>
            <w:r w:rsidRPr="00730D74">
              <w:rPr>
                <w:color w:val="000000"/>
                <w:sz w:val="18"/>
                <w:szCs w:val="18"/>
                <w:lang w:val="en-US"/>
              </w:rPr>
              <w:t>hsa-miR-378a-3p</w:t>
            </w:r>
          </w:p>
          <w:p w14:paraId="5B08D5F7" w14:textId="77777777" w:rsidR="00966BBE" w:rsidRPr="00730D74" w:rsidRDefault="00966BBE" w:rsidP="00BF2D0F">
            <w:pPr>
              <w:rPr>
                <w:sz w:val="18"/>
                <w:szCs w:val="18"/>
                <w:lang w:val="en-US"/>
              </w:rPr>
            </w:pPr>
            <w:r w:rsidRPr="00730D74">
              <w:rPr>
                <w:color w:val="000000"/>
                <w:sz w:val="18"/>
                <w:szCs w:val="18"/>
                <w:lang w:val="en-US"/>
              </w:rPr>
              <w:t>hsa-miR-151a-3p</w:t>
            </w:r>
          </w:p>
          <w:p w14:paraId="7D0547DB" w14:textId="77777777" w:rsidR="00966BBE" w:rsidRPr="00730D74" w:rsidRDefault="00966BBE" w:rsidP="00BF2D0F">
            <w:pPr>
              <w:rPr>
                <w:sz w:val="18"/>
                <w:szCs w:val="18"/>
                <w:lang w:val="en-US"/>
              </w:rPr>
            </w:pPr>
            <w:r w:rsidRPr="00730D74">
              <w:rPr>
                <w:color w:val="000000"/>
                <w:sz w:val="18"/>
                <w:szCs w:val="18"/>
                <w:lang w:val="en-US"/>
              </w:rPr>
              <w:t>hsa-miR-25-5p</w:t>
            </w:r>
          </w:p>
          <w:p w14:paraId="4EA2A8AD" w14:textId="77777777" w:rsidR="00966BBE" w:rsidRPr="00730D74" w:rsidRDefault="00966BBE" w:rsidP="00BF2D0F">
            <w:pPr>
              <w:rPr>
                <w:sz w:val="18"/>
                <w:szCs w:val="18"/>
                <w:lang w:val="en-US"/>
              </w:rPr>
            </w:pPr>
            <w:r w:rsidRPr="00730D74">
              <w:rPr>
                <w:color w:val="000000"/>
                <w:sz w:val="18"/>
                <w:szCs w:val="18"/>
                <w:lang w:val="en-US"/>
              </w:rPr>
              <w:t>hsa-miR-100-5p</w:t>
            </w:r>
          </w:p>
          <w:p w14:paraId="512DC219" w14:textId="77777777" w:rsidR="00966BBE" w:rsidRPr="00730D74" w:rsidRDefault="00966BBE" w:rsidP="00BF2D0F">
            <w:pPr>
              <w:rPr>
                <w:sz w:val="18"/>
                <w:szCs w:val="18"/>
                <w:lang w:val="en-US"/>
              </w:rPr>
            </w:pPr>
            <w:r w:rsidRPr="00730D74">
              <w:rPr>
                <w:color w:val="000000"/>
                <w:sz w:val="18"/>
                <w:szCs w:val="18"/>
                <w:lang w:val="en-US"/>
              </w:rPr>
              <w:t>hsa-miR-6852-5p</w:t>
            </w:r>
          </w:p>
          <w:p w14:paraId="637C1D56" w14:textId="77777777" w:rsidR="00966BBE" w:rsidRPr="00730D74" w:rsidRDefault="00966BBE" w:rsidP="00BF2D0F">
            <w:pPr>
              <w:rPr>
                <w:sz w:val="18"/>
                <w:szCs w:val="18"/>
                <w:lang w:val="en-US"/>
              </w:rPr>
            </w:pPr>
            <w:r w:rsidRPr="00730D74">
              <w:rPr>
                <w:color w:val="000000"/>
                <w:sz w:val="18"/>
                <w:szCs w:val="18"/>
                <w:lang w:val="en-US"/>
              </w:rPr>
              <w:t>hsa-miR-192-5p</w:t>
            </w:r>
          </w:p>
          <w:p w14:paraId="2B7E476E" w14:textId="77777777" w:rsidR="00966BBE" w:rsidRPr="00730D74" w:rsidRDefault="00966BBE" w:rsidP="00BF2D0F">
            <w:pPr>
              <w:rPr>
                <w:sz w:val="18"/>
                <w:szCs w:val="18"/>
                <w:lang w:val="en-US"/>
              </w:rPr>
            </w:pPr>
            <w:r w:rsidRPr="00730D74">
              <w:rPr>
                <w:color w:val="000000"/>
                <w:sz w:val="18"/>
                <w:szCs w:val="18"/>
                <w:lang w:val="en-US"/>
              </w:rPr>
              <w:t>hsa-miR-10b-5p</w:t>
            </w:r>
          </w:p>
          <w:p w14:paraId="268722FA" w14:textId="77777777" w:rsidR="00966BBE" w:rsidRPr="00730D74" w:rsidRDefault="00966BBE" w:rsidP="00BF2D0F">
            <w:pPr>
              <w:rPr>
                <w:sz w:val="18"/>
                <w:szCs w:val="18"/>
                <w:lang w:val="en-US"/>
              </w:rPr>
            </w:pPr>
            <w:r w:rsidRPr="00730D74">
              <w:rPr>
                <w:color w:val="000000"/>
                <w:sz w:val="18"/>
                <w:szCs w:val="18"/>
                <w:lang w:val="en-US"/>
              </w:rPr>
              <w:t>hsa-miR-1277-5p</w:t>
            </w:r>
          </w:p>
          <w:p w14:paraId="29558665" w14:textId="77777777" w:rsidR="00966BBE" w:rsidRPr="00730D74" w:rsidRDefault="00966BBE" w:rsidP="00BF2D0F">
            <w:pPr>
              <w:rPr>
                <w:sz w:val="18"/>
                <w:szCs w:val="18"/>
                <w:lang w:val="en-US"/>
              </w:rPr>
            </w:pPr>
            <w:r w:rsidRPr="00730D74">
              <w:rPr>
                <w:color w:val="000000"/>
                <w:sz w:val="18"/>
                <w:szCs w:val="18"/>
                <w:lang w:val="en-US"/>
              </w:rPr>
              <w:t>hsa-miR-486-3p</w:t>
            </w:r>
          </w:p>
          <w:p w14:paraId="5111A5A9" w14:textId="77777777" w:rsidR="00966BBE" w:rsidRPr="00730D74" w:rsidRDefault="00966BBE" w:rsidP="00BF2D0F">
            <w:pPr>
              <w:rPr>
                <w:sz w:val="18"/>
                <w:szCs w:val="18"/>
                <w:lang w:val="en-US"/>
              </w:rPr>
            </w:pPr>
            <w:r w:rsidRPr="00730D74">
              <w:rPr>
                <w:color w:val="000000"/>
                <w:sz w:val="18"/>
                <w:szCs w:val="18"/>
                <w:lang w:val="en-US"/>
              </w:rPr>
              <w:t>hsa-miR-25-3p</w:t>
            </w:r>
          </w:p>
          <w:p w14:paraId="2D0D1D7C" w14:textId="77777777" w:rsidR="00966BBE" w:rsidRPr="00730D74" w:rsidRDefault="00966BBE" w:rsidP="00BF2D0F">
            <w:pPr>
              <w:rPr>
                <w:sz w:val="18"/>
                <w:szCs w:val="18"/>
                <w:lang w:val="en-US"/>
              </w:rPr>
            </w:pPr>
            <w:r w:rsidRPr="00730D74">
              <w:rPr>
                <w:color w:val="000000"/>
                <w:sz w:val="18"/>
                <w:szCs w:val="18"/>
                <w:lang w:val="en-US"/>
              </w:rPr>
              <w:t>hsa-miR-26b-5p</w:t>
            </w:r>
          </w:p>
          <w:p w14:paraId="6B30F6C2" w14:textId="77777777" w:rsidR="00966BBE" w:rsidRPr="00730D74" w:rsidRDefault="00966BBE" w:rsidP="00BF2D0F">
            <w:pPr>
              <w:rPr>
                <w:sz w:val="18"/>
                <w:szCs w:val="18"/>
                <w:lang w:val="en-US"/>
              </w:rPr>
            </w:pPr>
            <w:r w:rsidRPr="00730D74">
              <w:rPr>
                <w:color w:val="000000"/>
                <w:sz w:val="18"/>
                <w:szCs w:val="18"/>
                <w:lang w:val="en-US"/>
              </w:rPr>
              <w:t>hsa-miR-7706</w:t>
            </w:r>
          </w:p>
          <w:p w14:paraId="50777313" w14:textId="77777777" w:rsidR="00966BBE" w:rsidRPr="00730D74" w:rsidRDefault="00966BBE" w:rsidP="00BF2D0F">
            <w:pPr>
              <w:rPr>
                <w:sz w:val="18"/>
                <w:szCs w:val="18"/>
                <w:lang w:val="en-US"/>
              </w:rPr>
            </w:pPr>
            <w:r w:rsidRPr="00730D74">
              <w:rPr>
                <w:color w:val="000000"/>
                <w:sz w:val="18"/>
                <w:szCs w:val="18"/>
                <w:lang w:val="en-US"/>
              </w:rPr>
              <w:t>hsa-miR-335-5p</w:t>
            </w:r>
          </w:p>
          <w:p w14:paraId="118690D3" w14:textId="77777777" w:rsidR="00966BBE" w:rsidRPr="00730D74" w:rsidRDefault="00966BBE" w:rsidP="00BF2D0F">
            <w:pPr>
              <w:rPr>
                <w:sz w:val="18"/>
                <w:szCs w:val="18"/>
                <w:lang w:val="en-US"/>
              </w:rPr>
            </w:pPr>
            <w:r w:rsidRPr="00730D74">
              <w:rPr>
                <w:color w:val="000000"/>
                <w:sz w:val="18"/>
                <w:szCs w:val="18"/>
                <w:lang w:val="en-US"/>
              </w:rPr>
              <w:t>hsa-miR-28-5p</w:t>
            </w:r>
          </w:p>
          <w:p w14:paraId="726E97DC" w14:textId="77777777" w:rsidR="00966BBE" w:rsidRPr="00A831E7" w:rsidRDefault="00966BBE" w:rsidP="00BF2D0F">
            <w:pPr>
              <w:rPr>
                <w:sz w:val="18"/>
                <w:szCs w:val="18"/>
              </w:rPr>
            </w:pPr>
            <w:r w:rsidRPr="00A831E7">
              <w:rPr>
                <w:color w:val="000000"/>
                <w:sz w:val="18"/>
                <w:szCs w:val="18"/>
              </w:rPr>
              <w:t>hsa-miR-4435</w:t>
            </w:r>
          </w:p>
        </w:tc>
        <w:tc>
          <w:tcPr>
            <w:tcW w:w="983" w:type="pct"/>
          </w:tcPr>
          <w:p w14:paraId="17C4CF61" w14:textId="77777777" w:rsidR="00966BBE" w:rsidRPr="00730D74" w:rsidRDefault="00966BBE" w:rsidP="00BF2D0F">
            <w:pPr>
              <w:rPr>
                <w:sz w:val="18"/>
                <w:szCs w:val="18"/>
                <w:lang w:val="en-US"/>
              </w:rPr>
            </w:pPr>
            <w:r w:rsidRPr="00730D74">
              <w:rPr>
                <w:color w:val="000000"/>
                <w:sz w:val="18"/>
                <w:szCs w:val="18"/>
                <w:lang w:val="en-US"/>
              </w:rPr>
              <w:lastRenderedPageBreak/>
              <w:t>hsa-miR-27b-3p</w:t>
            </w:r>
          </w:p>
          <w:p w14:paraId="74548AD6" w14:textId="77777777" w:rsidR="00966BBE" w:rsidRPr="00730D74" w:rsidRDefault="00966BBE" w:rsidP="00BF2D0F">
            <w:pPr>
              <w:rPr>
                <w:sz w:val="18"/>
                <w:szCs w:val="18"/>
                <w:lang w:val="en-US"/>
              </w:rPr>
            </w:pPr>
            <w:r w:rsidRPr="00730D74">
              <w:rPr>
                <w:color w:val="000000"/>
                <w:sz w:val="18"/>
                <w:szCs w:val="18"/>
                <w:lang w:val="en-US"/>
              </w:rPr>
              <w:t>hsa-miR-4435</w:t>
            </w:r>
          </w:p>
          <w:p w14:paraId="6A5F2256" w14:textId="77777777" w:rsidR="00966BBE" w:rsidRPr="00730D74" w:rsidRDefault="00966BBE" w:rsidP="00BF2D0F">
            <w:pPr>
              <w:rPr>
                <w:sz w:val="18"/>
                <w:szCs w:val="18"/>
                <w:lang w:val="en-US"/>
              </w:rPr>
            </w:pPr>
            <w:r w:rsidRPr="00730D74">
              <w:rPr>
                <w:color w:val="000000"/>
                <w:sz w:val="18"/>
                <w:szCs w:val="18"/>
                <w:lang w:val="en-US"/>
              </w:rPr>
              <w:t>hsa-miR-19b-3p</w:t>
            </w:r>
          </w:p>
          <w:p w14:paraId="5EB51AFA" w14:textId="77777777" w:rsidR="00966BBE" w:rsidRPr="00730D74" w:rsidRDefault="00966BBE" w:rsidP="00BF2D0F">
            <w:pPr>
              <w:rPr>
                <w:sz w:val="18"/>
                <w:szCs w:val="18"/>
                <w:lang w:val="en-US"/>
              </w:rPr>
            </w:pPr>
            <w:r w:rsidRPr="00730D74">
              <w:rPr>
                <w:color w:val="000000"/>
                <w:sz w:val="18"/>
                <w:szCs w:val="18"/>
                <w:lang w:val="en-US"/>
              </w:rPr>
              <w:t>hsa-miR-30e-3p</w:t>
            </w:r>
          </w:p>
          <w:p w14:paraId="64D8CB93" w14:textId="77777777" w:rsidR="00966BBE" w:rsidRPr="00730D74" w:rsidRDefault="00966BBE" w:rsidP="00BF2D0F">
            <w:pPr>
              <w:rPr>
                <w:sz w:val="18"/>
                <w:szCs w:val="18"/>
                <w:lang w:val="en-US"/>
              </w:rPr>
            </w:pPr>
            <w:r w:rsidRPr="00730D74">
              <w:rPr>
                <w:color w:val="000000"/>
                <w:sz w:val="18"/>
                <w:szCs w:val="18"/>
                <w:lang w:val="en-US"/>
              </w:rPr>
              <w:t>hsa-miR-132-3p</w:t>
            </w:r>
          </w:p>
          <w:p w14:paraId="6C06AFAD" w14:textId="77777777" w:rsidR="00966BBE" w:rsidRPr="00730D74" w:rsidRDefault="00966BBE" w:rsidP="00BF2D0F">
            <w:pPr>
              <w:rPr>
                <w:sz w:val="18"/>
                <w:szCs w:val="18"/>
                <w:lang w:val="en-US"/>
              </w:rPr>
            </w:pPr>
            <w:r w:rsidRPr="00730D74">
              <w:rPr>
                <w:color w:val="000000"/>
                <w:sz w:val="18"/>
                <w:szCs w:val="18"/>
                <w:lang w:val="en-US"/>
              </w:rPr>
              <w:t>hsa-miR-21-3p</w:t>
            </w:r>
          </w:p>
          <w:p w14:paraId="578E618E" w14:textId="77777777" w:rsidR="00966BBE" w:rsidRPr="00730D74" w:rsidRDefault="00966BBE" w:rsidP="00BF2D0F">
            <w:pPr>
              <w:rPr>
                <w:sz w:val="18"/>
                <w:szCs w:val="18"/>
                <w:lang w:val="en-US"/>
              </w:rPr>
            </w:pPr>
            <w:r w:rsidRPr="00730D74">
              <w:rPr>
                <w:color w:val="000000"/>
                <w:sz w:val="18"/>
                <w:szCs w:val="18"/>
                <w:lang w:val="en-US"/>
              </w:rPr>
              <w:t>hsa-miR-19a-3p</w:t>
            </w:r>
          </w:p>
          <w:p w14:paraId="0C415909" w14:textId="77777777" w:rsidR="00966BBE" w:rsidRPr="00730D74" w:rsidRDefault="00966BBE" w:rsidP="00BF2D0F">
            <w:pPr>
              <w:rPr>
                <w:sz w:val="18"/>
                <w:szCs w:val="18"/>
                <w:lang w:val="en-US"/>
              </w:rPr>
            </w:pPr>
            <w:r w:rsidRPr="00730D74">
              <w:rPr>
                <w:color w:val="000000"/>
                <w:sz w:val="18"/>
                <w:szCs w:val="18"/>
                <w:lang w:val="en-US"/>
              </w:rPr>
              <w:t>hsa-miR-4286</w:t>
            </w:r>
          </w:p>
          <w:p w14:paraId="42015695" w14:textId="77777777" w:rsidR="00966BBE" w:rsidRPr="00730D74" w:rsidRDefault="00966BBE" w:rsidP="00BF2D0F">
            <w:pPr>
              <w:rPr>
                <w:sz w:val="18"/>
                <w:szCs w:val="18"/>
                <w:lang w:val="en-US"/>
              </w:rPr>
            </w:pPr>
            <w:r w:rsidRPr="00730D74">
              <w:rPr>
                <w:color w:val="000000"/>
                <w:sz w:val="18"/>
                <w:szCs w:val="18"/>
                <w:lang w:val="en-US"/>
              </w:rPr>
              <w:t>hsa-miR-146b-5p</w:t>
            </w:r>
          </w:p>
          <w:p w14:paraId="48636154" w14:textId="77777777" w:rsidR="00966BBE" w:rsidRPr="00730D74" w:rsidRDefault="00966BBE" w:rsidP="00BF2D0F">
            <w:pPr>
              <w:rPr>
                <w:sz w:val="18"/>
                <w:szCs w:val="18"/>
                <w:lang w:val="en-US"/>
              </w:rPr>
            </w:pPr>
            <w:r w:rsidRPr="00730D74">
              <w:rPr>
                <w:color w:val="000000"/>
                <w:sz w:val="18"/>
                <w:szCs w:val="18"/>
                <w:lang w:val="en-US"/>
              </w:rPr>
              <w:t>hsa-miR-24-3p</w:t>
            </w:r>
          </w:p>
          <w:p w14:paraId="2799AD22" w14:textId="77777777" w:rsidR="00966BBE" w:rsidRPr="00730D74" w:rsidRDefault="00966BBE" w:rsidP="00BF2D0F">
            <w:pPr>
              <w:rPr>
                <w:sz w:val="18"/>
                <w:szCs w:val="18"/>
                <w:lang w:val="en-US"/>
              </w:rPr>
            </w:pPr>
            <w:r w:rsidRPr="00730D74">
              <w:rPr>
                <w:color w:val="000000"/>
                <w:sz w:val="18"/>
                <w:szCs w:val="18"/>
                <w:lang w:val="en-US"/>
              </w:rPr>
              <w:t>hsa-miR-320a</w:t>
            </w:r>
          </w:p>
          <w:p w14:paraId="4D93AE1E" w14:textId="77777777" w:rsidR="00966BBE" w:rsidRPr="00730D74" w:rsidRDefault="00966BBE" w:rsidP="00BF2D0F">
            <w:pPr>
              <w:rPr>
                <w:sz w:val="18"/>
                <w:szCs w:val="18"/>
                <w:lang w:val="en-US"/>
              </w:rPr>
            </w:pPr>
            <w:r w:rsidRPr="00730D74">
              <w:rPr>
                <w:color w:val="000000"/>
                <w:sz w:val="18"/>
                <w:szCs w:val="18"/>
                <w:lang w:val="en-US"/>
              </w:rPr>
              <w:t>hsa-miR-5010-5p</w:t>
            </w:r>
          </w:p>
          <w:p w14:paraId="358B9AA7" w14:textId="77777777" w:rsidR="00966BBE" w:rsidRPr="00730D74" w:rsidRDefault="00966BBE" w:rsidP="00BF2D0F">
            <w:pPr>
              <w:rPr>
                <w:sz w:val="18"/>
                <w:szCs w:val="18"/>
                <w:lang w:val="en-US"/>
              </w:rPr>
            </w:pPr>
            <w:r w:rsidRPr="00730D74">
              <w:rPr>
                <w:color w:val="000000"/>
                <w:sz w:val="18"/>
                <w:szCs w:val="18"/>
                <w:lang w:val="en-US"/>
              </w:rPr>
              <w:t>hsa-miR-150-3p</w:t>
            </w:r>
          </w:p>
          <w:p w14:paraId="47B8C5C5" w14:textId="77777777" w:rsidR="00966BBE" w:rsidRPr="00730D74" w:rsidRDefault="00966BBE" w:rsidP="00BF2D0F">
            <w:pPr>
              <w:rPr>
                <w:sz w:val="18"/>
                <w:szCs w:val="18"/>
                <w:lang w:val="en-US"/>
              </w:rPr>
            </w:pPr>
            <w:r w:rsidRPr="00730D74">
              <w:rPr>
                <w:color w:val="000000"/>
                <w:sz w:val="18"/>
                <w:szCs w:val="18"/>
                <w:lang w:val="en-US"/>
              </w:rPr>
              <w:t>hsa-miR-16-2-3p</w:t>
            </w:r>
          </w:p>
          <w:p w14:paraId="1687ECE3" w14:textId="77777777" w:rsidR="00966BBE" w:rsidRPr="00730D74" w:rsidRDefault="00966BBE" w:rsidP="00BF2D0F">
            <w:pPr>
              <w:rPr>
                <w:sz w:val="18"/>
                <w:szCs w:val="18"/>
                <w:lang w:val="en-US"/>
              </w:rPr>
            </w:pPr>
            <w:r w:rsidRPr="00730D74">
              <w:rPr>
                <w:color w:val="000000"/>
                <w:sz w:val="18"/>
                <w:szCs w:val="18"/>
                <w:lang w:val="en-US"/>
              </w:rPr>
              <w:t>hsa-miR-186-5p</w:t>
            </w:r>
          </w:p>
          <w:p w14:paraId="77977D87" w14:textId="77777777" w:rsidR="00966BBE" w:rsidRPr="00730D74" w:rsidRDefault="00966BBE" w:rsidP="00BF2D0F">
            <w:pPr>
              <w:rPr>
                <w:sz w:val="18"/>
                <w:szCs w:val="18"/>
                <w:lang w:val="en-US"/>
              </w:rPr>
            </w:pPr>
            <w:r w:rsidRPr="00730D74">
              <w:rPr>
                <w:color w:val="000000"/>
                <w:sz w:val="18"/>
                <w:szCs w:val="18"/>
                <w:lang w:val="en-US"/>
              </w:rPr>
              <w:t>hsa-miR-15a-5p</w:t>
            </w:r>
          </w:p>
          <w:p w14:paraId="09B7A5AC" w14:textId="77777777" w:rsidR="00966BBE" w:rsidRPr="00730D74" w:rsidRDefault="00966BBE" w:rsidP="00BF2D0F">
            <w:pPr>
              <w:rPr>
                <w:sz w:val="18"/>
                <w:szCs w:val="18"/>
                <w:lang w:val="en-US"/>
              </w:rPr>
            </w:pPr>
            <w:r w:rsidRPr="00730D74">
              <w:rPr>
                <w:color w:val="000000"/>
                <w:sz w:val="18"/>
                <w:szCs w:val="18"/>
                <w:lang w:val="en-US"/>
              </w:rPr>
              <w:t>hsa-miR-425-5p</w:t>
            </w:r>
          </w:p>
          <w:p w14:paraId="655B7440" w14:textId="77777777" w:rsidR="00966BBE" w:rsidRPr="00730D74" w:rsidRDefault="00966BBE" w:rsidP="00BF2D0F">
            <w:pPr>
              <w:rPr>
                <w:sz w:val="18"/>
                <w:szCs w:val="18"/>
                <w:lang w:val="en-US"/>
              </w:rPr>
            </w:pPr>
            <w:r w:rsidRPr="00730D74">
              <w:rPr>
                <w:color w:val="000000"/>
                <w:sz w:val="18"/>
                <w:szCs w:val="18"/>
                <w:lang w:val="en-US"/>
              </w:rPr>
              <w:t>hsa-miR-17-3p</w:t>
            </w:r>
          </w:p>
          <w:p w14:paraId="0087A102" w14:textId="77777777" w:rsidR="00966BBE" w:rsidRPr="00730D74" w:rsidRDefault="00966BBE" w:rsidP="00BF2D0F">
            <w:pPr>
              <w:rPr>
                <w:sz w:val="18"/>
                <w:szCs w:val="18"/>
                <w:lang w:val="en-US"/>
              </w:rPr>
            </w:pPr>
            <w:r w:rsidRPr="00730D74">
              <w:rPr>
                <w:color w:val="000000"/>
                <w:sz w:val="18"/>
                <w:szCs w:val="18"/>
                <w:lang w:val="en-US"/>
              </w:rPr>
              <w:t>hsa-miR-30a-3p</w:t>
            </w:r>
          </w:p>
          <w:p w14:paraId="6E387076" w14:textId="77777777" w:rsidR="00966BBE" w:rsidRPr="00730D74" w:rsidRDefault="00966BBE" w:rsidP="00BF2D0F">
            <w:pPr>
              <w:rPr>
                <w:sz w:val="18"/>
                <w:szCs w:val="18"/>
                <w:lang w:val="en-US"/>
              </w:rPr>
            </w:pPr>
            <w:r w:rsidRPr="00730D74">
              <w:rPr>
                <w:color w:val="000000"/>
                <w:sz w:val="18"/>
                <w:szCs w:val="18"/>
                <w:lang w:val="en-US"/>
              </w:rPr>
              <w:t>hsa-miR-106b-5p</w:t>
            </w:r>
          </w:p>
          <w:p w14:paraId="063F5B8E" w14:textId="77777777" w:rsidR="00966BBE" w:rsidRPr="00730D74" w:rsidRDefault="00966BBE" w:rsidP="00BF2D0F">
            <w:pPr>
              <w:rPr>
                <w:sz w:val="18"/>
                <w:szCs w:val="18"/>
                <w:lang w:val="en-US"/>
              </w:rPr>
            </w:pPr>
            <w:r w:rsidRPr="00730D74">
              <w:rPr>
                <w:color w:val="000000"/>
                <w:sz w:val="18"/>
                <w:szCs w:val="18"/>
                <w:lang w:val="en-US"/>
              </w:rPr>
              <w:t>hsa-miR-134-5p</w:t>
            </w:r>
          </w:p>
          <w:p w14:paraId="47A7F8D4" w14:textId="77777777" w:rsidR="00966BBE" w:rsidRPr="00730D74" w:rsidRDefault="00966BBE" w:rsidP="00BF2D0F">
            <w:pPr>
              <w:rPr>
                <w:sz w:val="18"/>
                <w:szCs w:val="18"/>
                <w:lang w:val="en-US"/>
              </w:rPr>
            </w:pPr>
            <w:r w:rsidRPr="00730D74">
              <w:rPr>
                <w:color w:val="000000"/>
                <w:sz w:val="18"/>
                <w:szCs w:val="18"/>
                <w:lang w:val="en-US"/>
              </w:rPr>
              <w:t>hsa-miR-664a-3p</w:t>
            </w:r>
          </w:p>
          <w:p w14:paraId="1201B73B" w14:textId="77777777" w:rsidR="00966BBE" w:rsidRPr="00730D74" w:rsidRDefault="00966BBE" w:rsidP="00BF2D0F">
            <w:pPr>
              <w:rPr>
                <w:sz w:val="18"/>
                <w:szCs w:val="18"/>
                <w:lang w:val="en-US"/>
              </w:rPr>
            </w:pPr>
            <w:r w:rsidRPr="00730D74">
              <w:rPr>
                <w:color w:val="000000"/>
                <w:sz w:val="18"/>
                <w:szCs w:val="18"/>
                <w:lang w:val="en-US"/>
              </w:rPr>
              <w:lastRenderedPageBreak/>
              <w:t>hsa-miR-342-3p</w:t>
            </w:r>
          </w:p>
          <w:p w14:paraId="66DF2095" w14:textId="77777777" w:rsidR="00966BBE" w:rsidRPr="00730D74" w:rsidRDefault="00966BBE" w:rsidP="00BF2D0F">
            <w:pPr>
              <w:rPr>
                <w:sz w:val="18"/>
                <w:szCs w:val="18"/>
                <w:lang w:val="en-US"/>
              </w:rPr>
            </w:pPr>
            <w:r w:rsidRPr="00730D74">
              <w:rPr>
                <w:color w:val="000000"/>
                <w:sz w:val="18"/>
                <w:szCs w:val="18"/>
                <w:lang w:val="en-US"/>
              </w:rPr>
              <w:t>hsa-miR-485-5p</w:t>
            </w:r>
          </w:p>
          <w:p w14:paraId="18F1DF47" w14:textId="77777777" w:rsidR="00966BBE" w:rsidRPr="00730D74" w:rsidRDefault="00966BBE" w:rsidP="00BF2D0F">
            <w:pPr>
              <w:rPr>
                <w:sz w:val="18"/>
                <w:szCs w:val="18"/>
                <w:lang w:val="en-US"/>
              </w:rPr>
            </w:pPr>
            <w:r w:rsidRPr="00730D74">
              <w:rPr>
                <w:color w:val="000000"/>
                <w:sz w:val="18"/>
                <w:szCs w:val="18"/>
                <w:lang w:val="en-US"/>
              </w:rPr>
              <w:t>hsa-miR-33b-5p</w:t>
            </w:r>
          </w:p>
          <w:p w14:paraId="120F76E5" w14:textId="77777777" w:rsidR="00966BBE" w:rsidRPr="00730D74" w:rsidRDefault="00966BBE" w:rsidP="00BF2D0F">
            <w:pPr>
              <w:rPr>
                <w:sz w:val="18"/>
                <w:szCs w:val="18"/>
                <w:lang w:val="en-US"/>
              </w:rPr>
            </w:pPr>
            <w:r w:rsidRPr="00730D74">
              <w:rPr>
                <w:color w:val="000000"/>
                <w:sz w:val="18"/>
                <w:szCs w:val="18"/>
                <w:lang w:val="en-US"/>
              </w:rPr>
              <w:t>hsa-miR-32-5p</w:t>
            </w:r>
          </w:p>
          <w:p w14:paraId="7650E955" w14:textId="77777777" w:rsidR="00966BBE" w:rsidRPr="00730D74" w:rsidRDefault="00966BBE" w:rsidP="00BF2D0F">
            <w:pPr>
              <w:rPr>
                <w:sz w:val="18"/>
                <w:szCs w:val="18"/>
                <w:lang w:val="en-US"/>
              </w:rPr>
            </w:pPr>
            <w:r w:rsidRPr="00730D74">
              <w:rPr>
                <w:color w:val="000000"/>
                <w:sz w:val="18"/>
                <w:szCs w:val="18"/>
                <w:lang w:val="en-US"/>
              </w:rPr>
              <w:t>hsa-miR-18a-3p</w:t>
            </w:r>
          </w:p>
          <w:p w14:paraId="19146049" w14:textId="77777777" w:rsidR="00966BBE" w:rsidRPr="00730D74" w:rsidRDefault="00966BBE" w:rsidP="00BF2D0F">
            <w:pPr>
              <w:rPr>
                <w:sz w:val="18"/>
                <w:szCs w:val="18"/>
                <w:lang w:val="en-US"/>
              </w:rPr>
            </w:pPr>
            <w:r w:rsidRPr="00730D74">
              <w:rPr>
                <w:color w:val="000000"/>
                <w:sz w:val="18"/>
                <w:szCs w:val="18"/>
                <w:lang w:val="en-US"/>
              </w:rPr>
              <w:t>hsa-miR-101-3p</w:t>
            </w:r>
          </w:p>
          <w:p w14:paraId="3DBE947B" w14:textId="77777777" w:rsidR="00966BBE" w:rsidRPr="00730D74" w:rsidRDefault="00966BBE" w:rsidP="00BF2D0F">
            <w:pPr>
              <w:rPr>
                <w:sz w:val="18"/>
                <w:szCs w:val="18"/>
                <w:lang w:val="en-US"/>
              </w:rPr>
            </w:pPr>
            <w:r w:rsidRPr="00730D74">
              <w:rPr>
                <w:color w:val="000000"/>
                <w:sz w:val="18"/>
                <w:szCs w:val="18"/>
                <w:lang w:val="en-US"/>
              </w:rPr>
              <w:t>hsa-miR-338-3p</w:t>
            </w:r>
          </w:p>
          <w:p w14:paraId="535302DB" w14:textId="77777777" w:rsidR="00966BBE" w:rsidRPr="00730D74" w:rsidRDefault="00966BBE" w:rsidP="00BF2D0F">
            <w:pPr>
              <w:rPr>
                <w:sz w:val="18"/>
                <w:szCs w:val="18"/>
                <w:lang w:val="en-US"/>
              </w:rPr>
            </w:pPr>
            <w:r w:rsidRPr="00730D74">
              <w:rPr>
                <w:color w:val="000000"/>
                <w:sz w:val="18"/>
                <w:szCs w:val="18"/>
                <w:lang w:val="en-US"/>
              </w:rPr>
              <w:t>hsa-let-7c-5p</w:t>
            </w:r>
          </w:p>
          <w:p w14:paraId="32A17309" w14:textId="77777777" w:rsidR="00966BBE" w:rsidRPr="00730D74" w:rsidRDefault="00966BBE" w:rsidP="00BF2D0F">
            <w:pPr>
              <w:rPr>
                <w:sz w:val="18"/>
                <w:szCs w:val="18"/>
                <w:lang w:val="en-US"/>
              </w:rPr>
            </w:pPr>
            <w:r w:rsidRPr="00730D74">
              <w:rPr>
                <w:color w:val="000000"/>
                <w:sz w:val="18"/>
                <w:szCs w:val="18"/>
                <w:lang w:val="en-US"/>
              </w:rPr>
              <w:t>hsa-miR-339-5p</w:t>
            </w:r>
          </w:p>
          <w:p w14:paraId="76C6F430" w14:textId="77777777" w:rsidR="00966BBE" w:rsidRPr="00730D74" w:rsidRDefault="00966BBE" w:rsidP="00BF2D0F">
            <w:pPr>
              <w:rPr>
                <w:sz w:val="18"/>
                <w:szCs w:val="18"/>
                <w:lang w:val="en-US"/>
              </w:rPr>
            </w:pPr>
            <w:r w:rsidRPr="00730D74">
              <w:rPr>
                <w:color w:val="000000"/>
                <w:sz w:val="18"/>
                <w:szCs w:val="18"/>
                <w:lang w:val="en-US"/>
              </w:rPr>
              <w:t>hsa-miR-93-5p</w:t>
            </w:r>
          </w:p>
          <w:p w14:paraId="4992C00F" w14:textId="77777777" w:rsidR="00966BBE" w:rsidRPr="00730D74" w:rsidRDefault="00966BBE" w:rsidP="00BF2D0F">
            <w:pPr>
              <w:rPr>
                <w:sz w:val="18"/>
                <w:szCs w:val="18"/>
                <w:lang w:val="en-US"/>
              </w:rPr>
            </w:pPr>
            <w:r w:rsidRPr="00730D74">
              <w:rPr>
                <w:color w:val="000000"/>
                <w:sz w:val="18"/>
                <w:szCs w:val="18"/>
                <w:lang w:val="en-US"/>
              </w:rPr>
              <w:t>hsa-miR-766-3p</w:t>
            </w:r>
          </w:p>
          <w:p w14:paraId="1DDEEB93" w14:textId="77777777" w:rsidR="00966BBE" w:rsidRPr="00730D74" w:rsidRDefault="00966BBE" w:rsidP="00BF2D0F">
            <w:pPr>
              <w:rPr>
                <w:sz w:val="18"/>
                <w:szCs w:val="18"/>
                <w:lang w:val="en-US"/>
              </w:rPr>
            </w:pPr>
            <w:r w:rsidRPr="00730D74">
              <w:rPr>
                <w:color w:val="000000"/>
                <w:sz w:val="18"/>
                <w:szCs w:val="18"/>
                <w:lang w:val="en-US"/>
              </w:rPr>
              <w:t>hsa-miR-4446-3p</w:t>
            </w:r>
          </w:p>
        </w:tc>
      </w:tr>
    </w:tbl>
    <w:p w14:paraId="7EE6CD8A" w14:textId="2625E782" w:rsidR="00DC3E03" w:rsidRPr="00730D74" w:rsidRDefault="00DC3E03" w:rsidP="00966BBE">
      <w:pPr>
        <w:rPr>
          <w:i/>
          <w:iCs/>
          <w:sz w:val="18"/>
          <w:szCs w:val="18"/>
          <w:lang w:val="en-US"/>
        </w:rPr>
      </w:pPr>
      <w:r w:rsidRPr="00730D74">
        <w:rPr>
          <w:i/>
          <w:iCs/>
          <w:sz w:val="18"/>
          <w:szCs w:val="18"/>
          <w:lang w:val="en-US"/>
        </w:rPr>
        <w:lastRenderedPageBreak/>
        <w:t xml:space="preserve">The Table shows the top miRNAs by smallest adjusted p-value that differ between the three stroke groups. </w:t>
      </w:r>
    </w:p>
    <w:p w14:paraId="6FD415EB" w14:textId="77777777" w:rsidR="00DC3E03" w:rsidRPr="00730D74" w:rsidRDefault="00DC3E03" w:rsidP="00966BBE">
      <w:pPr>
        <w:rPr>
          <w:b/>
          <w:bCs/>
          <w:lang w:val="en-US"/>
        </w:rPr>
      </w:pPr>
    </w:p>
    <w:p w14:paraId="3A03BB85" w14:textId="090D660C" w:rsidR="00966BBE" w:rsidRPr="00730D74" w:rsidRDefault="00D5382B" w:rsidP="0057069D">
      <w:pPr>
        <w:spacing w:line="360" w:lineRule="auto"/>
        <w:jc w:val="center"/>
        <w:rPr>
          <w:b/>
          <w:bCs/>
          <w:i/>
          <w:iCs/>
          <w:sz w:val="20"/>
          <w:szCs w:val="20"/>
          <w:lang w:val="en-US"/>
        </w:rPr>
      </w:pPr>
      <w:r w:rsidRPr="00A831E7">
        <w:rPr>
          <w:b/>
          <w:bCs/>
          <w:i/>
          <w:iCs/>
          <w:sz w:val="20"/>
          <w:szCs w:val="20"/>
        </w:rPr>
        <w:t>Πίνακας</w:t>
      </w:r>
      <w:r w:rsidRPr="00730D74">
        <w:rPr>
          <w:b/>
          <w:bCs/>
          <w:i/>
          <w:iCs/>
          <w:sz w:val="20"/>
          <w:szCs w:val="20"/>
          <w:lang w:val="en-US"/>
        </w:rPr>
        <w:t xml:space="preserve"> 3: Random forest variable importance analysis </w:t>
      </w:r>
      <w:r w:rsidR="0048658B" w:rsidRPr="00A831E7">
        <w:rPr>
          <w:b/>
          <w:bCs/>
          <w:i/>
          <w:iCs/>
          <w:sz w:val="20"/>
          <w:szCs w:val="20"/>
        </w:rPr>
        <w:fldChar w:fldCharType="begin"/>
      </w:r>
      <w:r w:rsidR="00B61252">
        <w:rPr>
          <w:b/>
          <w:bCs/>
          <w:i/>
          <w:iCs/>
          <w:sz w:val="20"/>
          <w:szCs w:val="20"/>
          <w:lang w:val="en-US"/>
        </w:rPr>
        <w:instrText xml:space="preserve"> ADDIN ZOTERO_ITEM CSL_CITATION {"citationID":"l5ZgIE4x","properties":{"formattedCitation":"[101]","plainCitation":"[101]","noteIndex":0},"citationItems":[{"id":1074,"uris":["http://zotero.org/users/local/mfHf28QG/items/49E82DUN"],"itemData":{"id":1074,"type":"article-journal","abstract":"L1CAM-positive extracellular vesicles (L1EV) are an emerging biomarker that may better reflect ongoing neuronal damage than other blood-based biomarkers. The physiological roles and regulation of L1EVs and their small RNA cargoes following stroke is ...","container-title":"Scientific Reports","DOI":"10.1038/s41598-024-63633-4","language":"en","note":"PMID: 38866905","page":"13560","source":"pmc.ncbi.nlm.nih.gov","title":"Small RNA signatures of acute ischemic stroke in L1CAM positive extracellular vesicles","volume":"14","author":[{"family":"Manwani","given":"Bharti"},{"family":"Brathaban","given":"Nivetha"},{"family":"Baqai","given":"Abiya"},{"family":"Munshi","given":"Yashee"},{"family":"Ahnstedt","given":"Hilda W."},{"family":"Zhang","given":"Mengqi"},{"family":"Arkelius","given":"Kajsa"},{"family":"Llera","given":"Ted"},{"family":"Amorim","given":"Edilberto"},{"family":"Elahi","given":"Fanny M."},{"family":"Singhal","given":"Neel S."}],"issued":{"date-parts":[["2024",6,12]]}}}],"schema":"https://github.com/citation-style-language/schema/raw/master/csl-citation.json"} </w:instrText>
      </w:r>
      <w:r w:rsidR="0048658B" w:rsidRPr="00A831E7">
        <w:rPr>
          <w:b/>
          <w:bCs/>
          <w:i/>
          <w:iCs/>
          <w:sz w:val="20"/>
          <w:szCs w:val="20"/>
        </w:rPr>
        <w:fldChar w:fldCharType="separate"/>
      </w:r>
      <w:r w:rsidR="00B61252" w:rsidRPr="00B61252">
        <w:rPr>
          <w:sz w:val="20"/>
        </w:rPr>
        <w:t>[101]</w:t>
      </w:r>
      <w:r w:rsidR="0048658B" w:rsidRPr="00A831E7">
        <w:rPr>
          <w:b/>
          <w:bCs/>
          <w:i/>
          <w:iCs/>
          <w:sz w:val="20"/>
          <w:szCs w:val="20"/>
        </w:rPr>
        <w:fldChar w:fldCharType="end"/>
      </w:r>
    </w:p>
    <w:tbl>
      <w:tblPr>
        <w:tblStyle w:val="af0"/>
        <w:tblW w:w="0" w:type="auto"/>
        <w:tblLook w:val="04A0" w:firstRow="1" w:lastRow="0" w:firstColumn="1" w:lastColumn="0" w:noHBand="0" w:noVBand="1"/>
      </w:tblPr>
      <w:tblGrid>
        <w:gridCol w:w="4132"/>
        <w:gridCol w:w="4170"/>
      </w:tblGrid>
      <w:tr w:rsidR="00966BBE" w:rsidRPr="00A831E7" w14:paraId="77CCE2A1" w14:textId="77777777" w:rsidTr="0057069D">
        <w:tc>
          <w:tcPr>
            <w:tcW w:w="4132" w:type="dxa"/>
            <w:shd w:val="clear" w:color="auto" w:fill="D9D9D9" w:themeFill="background1" w:themeFillShade="D9"/>
          </w:tcPr>
          <w:p w14:paraId="525B8629" w14:textId="77777777" w:rsidR="00966BBE" w:rsidRPr="00A831E7" w:rsidRDefault="00966BBE" w:rsidP="00BF2D0F">
            <w:pPr>
              <w:rPr>
                <w:b/>
                <w:bCs/>
                <w:i/>
                <w:iCs/>
                <w:sz w:val="20"/>
                <w:szCs w:val="20"/>
              </w:rPr>
            </w:pPr>
            <w:r w:rsidRPr="00A831E7">
              <w:rPr>
                <w:b/>
                <w:bCs/>
                <w:i/>
                <w:iCs/>
                <w:sz w:val="20"/>
                <w:szCs w:val="20"/>
              </w:rPr>
              <w:t>miRNAs</w:t>
            </w:r>
          </w:p>
        </w:tc>
        <w:tc>
          <w:tcPr>
            <w:tcW w:w="4170" w:type="dxa"/>
            <w:shd w:val="clear" w:color="auto" w:fill="D9D9D9" w:themeFill="background1" w:themeFillShade="D9"/>
          </w:tcPr>
          <w:p w14:paraId="1C36A7B7" w14:textId="77777777" w:rsidR="00966BBE" w:rsidRPr="00A831E7" w:rsidRDefault="00966BBE" w:rsidP="00BF2D0F">
            <w:pPr>
              <w:rPr>
                <w:b/>
                <w:bCs/>
                <w:i/>
                <w:iCs/>
                <w:sz w:val="20"/>
                <w:szCs w:val="20"/>
              </w:rPr>
            </w:pPr>
            <w:r w:rsidRPr="00A831E7">
              <w:rPr>
                <w:b/>
                <w:bCs/>
                <w:i/>
                <w:iCs/>
                <w:sz w:val="20"/>
                <w:szCs w:val="20"/>
              </w:rPr>
              <w:t>ncRNAs</w:t>
            </w:r>
          </w:p>
        </w:tc>
      </w:tr>
      <w:tr w:rsidR="00966BBE" w:rsidRPr="00D17951" w14:paraId="31802478" w14:textId="77777777" w:rsidTr="00D5382B">
        <w:tc>
          <w:tcPr>
            <w:tcW w:w="4132" w:type="dxa"/>
          </w:tcPr>
          <w:p w14:paraId="0A1F41D0" w14:textId="77777777" w:rsidR="00966BBE" w:rsidRPr="00730D74" w:rsidRDefault="00966BBE" w:rsidP="00BF2D0F">
            <w:pPr>
              <w:rPr>
                <w:sz w:val="18"/>
                <w:szCs w:val="18"/>
                <w:lang w:val="en-US"/>
              </w:rPr>
            </w:pPr>
            <w:r w:rsidRPr="00730D74">
              <w:rPr>
                <w:sz w:val="18"/>
                <w:szCs w:val="18"/>
                <w:lang w:val="en-US"/>
              </w:rPr>
              <w:t>hsa-miR-181a-5p</w:t>
            </w:r>
          </w:p>
          <w:p w14:paraId="6C2C7DD6" w14:textId="77777777" w:rsidR="00966BBE" w:rsidRPr="00730D74" w:rsidRDefault="00966BBE" w:rsidP="00BF2D0F">
            <w:pPr>
              <w:rPr>
                <w:sz w:val="18"/>
                <w:szCs w:val="18"/>
                <w:lang w:val="en-US"/>
              </w:rPr>
            </w:pPr>
            <w:r w:rsidRPr="00730D74">
              <w:rPr>
                <w:sz w:val="18"/>
                <w:szCs w:val="18"/>
                <w:lang w:val="en-US"/>
              </w:rPr>
              <w:t>hsa-mir-4448</w:t>
            </w:r>
          </w:p>
          <w:p w14:paraId="01E45A34" w14:textId="77777777" w:rsidR="00966BBE" w:rsidRPr="00730D74" w:rsidRDefault="00966BBE" w:rsidP="00BF2D0F">
            <w:pPr>
              <w:rPr>
                <w:sz w:val="18"/>
                <w:szCs w:val="18"/>
                <w:lang w:val="en-US"/>
              </w:rPr>
            </w:pPr>
            <w:r w:rsidRPr="00730D74">
              <w:rPr>
                <w:sz w:val="18"/>
                <w:szCs w:val="18"/>
                <w:lang w:val="en-US"/>
              </w:rPr>
              <w:t>hsa-mir-1470</w:t>
            </w:r>
          </w:p>
          <w:p w14:paraId="30654041" w14:textId="77777777" w:rsidR="00966BBE" w:rsidRPr="00730D74" w:rsidRDefault="00966BBE" w:rsidP="00BF2D0F">
            <w:pPr>
              <w:rPr>
                <w:sz w:val="18"/>
                <w:szCs w:val="18"/>
                <w:lang w:val="en-US"/>
              </w:rPr>
            </w:pPr>
            <w:r w:rsidRPr="00730D74">
              <w:rPr>
                <w:sz w:val="18"/>
                <w:szCs w:val="18"/>
                <w:lang w:val="en-US"/>
              </w:rPr>
              <w:t>hsa-miR-125b-5p</w:t>
            </w:r>
          </w:p>
          <w:p w14:paraId="375EBC68" w14:textId="77777777" w:rsidR="00966BBE" w:rsidRPr="00730D74" w:rsidRDefault="00966BBE" w:rsidP="00BF2D0F">
            <w:pPr>
              <w:rPr>
                <w:sz w:val="18"/>
                <w:szCs w:val="18"/>
                <w:lang w:val="en-US"/>
              </w:rPr>
            </w:pPr>
            <w:r w:rsidRPr="00730D74">
              <w:rPr>
                <w:sz w:val="18"/>
                <w:szCs w:val="18"/>
                <w:lang w:val="en-US"/>
              </w:rPr>
              <w:t>hsa-mir-3180</w:t>
            </w:r>
          </w:p>
          <w:p w14:paraId="486EB480" w14:textId="77777777" w:rsidR="00966BBE" w:rsidRPr="00730D74" w:rsidRDefault="00966BBE" w:rsidP="00BF2D0F">
            <w:pPr>
              <w:rPr>
                <w:sz w:val="18"/>
                <w:szCs w:val="18"/>
                <w:lang w:val="en-US"/>
              </w:rPr>
            </w:pPr>
            <w:r w:rsidRPr="00730D74">
              <w:rPr>
                <w:sz w:val="18"/>
                <w:szCs w:val="18"/>
                <w:lang w:val="en-US"/>
              </w:rPr>
              <w:t>hsa-miR-4732-3p</w:t>
            </w:r>
          </w:p>
          <w:p w14:paraId="5A0F80B8" w14:textId="77777777" w:rsidR="00966BBE" w:rsidRPr="00730D74" w:rsidRDefault="00966BBE" w:rsidP="00BF2D0F">
            <w:pPr>
              <w:rPr>
                <w:sz w:val="18"/>
                <w:szCs w:val="18"/>
                <w:lang w:val="en-US"/>
              </w:rPr>
            </w:pPr>
            <w:r w:rsidRPr="00730D74">
              <w:rPr>
                <w:sz w:val="18"/>
                <w:szCs w:val="18"/>
                <w:lang w:val="en-US"/>
              </w:rPr>
              <w:t>*hsa-miR-154-3p</w:t>
            </w:r>
          </w:p>
          <w:p w14:paraId="1FC9F41A" w14:textId="77777777" w:rsidR="00966BBE" w:rsidRPr="00730D74" w:rsidRDefault="00966BBE" w:rsidP="00BF2D0F">
            <w:pPr>
              <w:rPr>
                <w:sz w:val="18"/>
                <w:szCs w:val="18"/>
                <w:lang w:val="en-US"/>
              </w:rPr>
            </w:pPr>
            <w:r w:rsidRPr="00730D74">
              <w:rPr>
                <w:sz w:val="18"/>
                <w:szCs w:val="18"/>
                <w:lang w:val="en-US"/>
              </w:rPr>
              <w:t>*hsa-miR-27b-3p</w:t>
            </w:r>
          </w:p>
          <w:p w14:paraId="21A65A72" w14:textId="77777777" w:rsidR="00966BBE" w:rsidRPr="00730D74" w:rsidRDefault="00966BBE" w:rsidP="00BF2D0F">
            <w:pPr>
              <w:rPr>
                <w:sz w:val="18"/>
                <w:szCs w:val="18"/>
                <w:lang w:val="en-US"/>
              </w:rPr>
            </w:pPr>
            <w:r w:rsidRPr="00730D74">
              <w:rPr>
                <w:sz w:val="18"/>
                <w:szCs w:val="18"/>
                <w:lang w:val="en-US"/>
              </w:rPr>
              <w:t>*hsa-miR-221-3p</w:t>
            </w:r>
          </w:p>
          <w:p w14:paraId="05E88875" w14:textId="77777777" w:rsidR="00966BBE" w:rsidRPr="00ED7551" w:rsidRDefault="00966BBE" w:rsidP="00BF2D0F">
            <w:pPr>
              <w:rPr>
                <w:sz w:val="18"/>
                <w:szCs w:val="18"/>
                <w:lang w:val="en-US"/>
              </w:rPr>
            </w:pPr>
            <w:r w:rsidRPr="00ED7551">
              <w:rPr>
                <w:sz w:val="18"/>
                <w:szCs w:val="18"/>
                <w:lang w:val="en-US"/>
              </w:rPr>
              <w:t>*hsa-miR-376a-3p</w:t>
            </w:r>
          </w:p>
        </w:tc>
        <w:tc>
          <w:tcPr>
            <w:tcW w:w="4170" w:type="dxa"/>
          </w:tcPr>
          <w:p w14:paraId="44C79718" w14:textId="77777777" w:rsidR="00966BBE" w:rsidRPr="00730D74" w:rsidRDefault="00966BBE" w:rsidP="00BF2D0F">
            <w:pPr>
              <w:rPr>
                <w:sz w:val="18"/>
                <w:szCs w:val="18"/>
                <w:lang w:val="en-US"/>
              </w:rPr>
            </w:pPr>
            <w:r w:rsidRPr="00730D74">
              <w:rPr>
                <w:sz w:val="18"/>
                <w:szCs w:val="18"/>
                <w:lang w:val="en-US"/>
              </w:rPr>
              <w:t>*LINC02116</w:t>
            </w:r>
          </w:p>
          <w:p w14:paraId="37FC3C1A" w14:textId="77777777" w:rsidR="00966BBE" w:rsidRPr="00730D74" w:rsidRDefault="00966BBE" w:rsidP="00BF2D0F">
            <w:pPr>
              <w:rPr>
                <w:sz w:val="18"/>
                <w:szCs w:val="18"/>
                <w:lang w:val="en-US"/>
              </w:rPr>
            </w:pPr>
            <w:r w:rsidRPr="00730D74">
              <w:rPr>
                <w:sz w:val="18"/>
                <w:szCs w:val="18"/>
                <w:lang w:val="en-US"/>
              </w:rPr>
              <w:t>*LINC02256</w:t>
            </w:r>
          </w:p>
          <w:p w14:paraId="629A76C1" w14:textId="77777777" w:rsidR="00966BBE" w:rsidRPr="00730D74" w:rsidRDefault="00966BBE" w:rsidP="00BF2D0F">
            <w:pPr>
              <w:rPr>
                <w:sz w:val="18"/>
                <w:szCs w:val="18"/>
                <w:lang w:val="en-US"/>
              </w:rPr>
            </w:pPr>
            <w:r w:rsidRPr="00730D74">
              <w:rPr>
                <w:sz w:val="18"/>
                <w:szCs w:val="18"/>
                <w:lang w:val="en-US"/>
              </w:rPr>
              <w:t>Lnc-ZNF100-10</w:t>
            </w:r>
          </w:p>
          <w:p w14:paraId="5ACAA4A0" w14:textId="77777777" w:rsidR="00966BBE" w:rsidRPr="00730D74" w:rsidRDefault="00966BBE" w:rsidP="00BF2D0F">
            <w:pPr>
              <w:rPr>
                <w:sz w:val="18"/>
                <w:szCs w:val="18"/>
                <w:lang w:val="en-US"/>
              </w:rPr>
            </w:pPr>
            <w:r w:rsidRPr="00730D74">
              <w:rPr>
                <w:sz w:val="18"/>
                <w:szCs w:val="18"/>
                <w:lang w:val="en-US"/>
              </w:rPr>
              <w:t>*LINC01359</w:t>
            </w:r>
          </w:p>
          <w:p w14:paraId="2B1A7826" w14:textId="77777777" w:rsidR="00966BBE" w:rsidRPr="00730D74" w:rsidRDefault="00966BBE" w:rsidP="00BF2D0F">
            <w:pPr>
              <w:rPr>
                <w:sz w:val="18"/>
                <w:szCs w:val="18"/>
                <w:lang w:val="en-US"/>
              </w:rPr>
            </w:pPr>
            <w:r w:rsidRPr="00730D74">
              <w:rPr>
                <w:sz w:val="18"/>
                <w:szCs w:val="18"/>
                <w:lang w:val="en-US"/>
              </w:rPr>
              <w:t>LINC02147</w:t>
            </w:r>
            <w:r w:rsidRPr="00730D74">
              <w:rPr>
                <w:sz w:val="18"/>
                <w:szCs w:val="18"/>
                <w:lang w:val="en-US"/>
              </w:rPr>
              <w:br/>
              <w:t>LINC02240</w:t>
            </w:r>
          </w:p>
        </w:tc>
      </w:tr>
    </w:tbl>
    <w:p w14:paraId="50842EF1" w14:textId="77777777" w:rsidR="00D5382B" w:rsidRDefault="00D5382B" w:rsidP="00966BBE">
      <w:pPr>
        <w:rPr>
          <w:b/>
          <w:bCs/>
        </w:rPr>
      </w:pPr>
    </w:p>
    <w:p w14:paraId="1969284E" w14:textId="77777777" w:rsidR="00B07E2B" w:rsidRDefault="00B07E2B" w:rsidP="00966BBE">
      <w:pPr>
        <w:rPr>
          <w:b/>
          <w:bCs/>
        </w:rPr>
      </w:pPr>
    </w:p>
    <w:p w14:paraId="7EF50630" w14:textId="77777777" w:rsidR="00B07E2B" w:rsidRDefault="00B07E2B" w:rsidP="00966BBE">
      <w:pPr>
        <w:rPr>
          <w:b/>
          <w:bCs/>
        </w:rPr>
      </w:pPr>
    </w:p>
    <w:p w14:paraId="00121700" w14:textId="77777777" w:rsidR="00B07E2B" w:rsidRPr="00B07E2B" w:rsidRDefault="00B07E2B" w:rsidP="00966BBE">
      <w:pPr>
        <w:rPr>
          <w:b/>
          <w:bCs/>
        </w:rPr>
      </w:pPr>
    </w:p>
    <w:p w14:paraId="5BE2E738" w14:textId="7BA0C93B" w:rsidR="00966BBE" w:rsidRPr="00730D74" w:rsidRDefault="00B02182" w:rsidP="0057069D">
      <w:pPr>
        <w:spacing w:line="360" w:lineRule="auto"/>
        <w:jc w:val="center"/>
        <w:rPr>
          <w:b/>
          <w:bCs/>
          <w:i/>
          <w:iCs/>
          <w:sz w:val="20"/>
          <w:szCs w:val="20"/>
          <w:lang w:val="en-US"/>
        </w:rPr>
      </w:pPr>
      <w:r w:rsidRPr="00A831E7">
        <w:rPr>
          <w:b/>
          <w:bCs/>
          <w:i/>
          <w:iCs/>
          <w:sz w:val="20"/>
          <w:szCs w:val="20"/>
        </w:rPr>
        <w:lastRenderedPageBreak/>
        <w:t>Πίνακας</w:t>
      </w:r>
      <w:r w:rsidRPr="00730D74">
        <w:rPr>
          <w:b/>
          <w:bCs/>
          <w:i/>
          <w:iCs/>
          <w:sz w:val="20"/>
          <w:szCs w:val="20"/>
          <w:lang w:val="en-US"/>
        </w:rPr>
        <w:t xml:space="preserve"> 4: Diagnostic performances of extracellular vesicle (EV) -surface antigens </w:t>
      </w:r>
      <w:r w:rsidR="0048658B" w:rsidRPr="00A831E7">
        <w:rPr>
          <w:b/>
          <w:bCs/>
          <w:i/>
          <w:iCs/>
          <w:sz w:val="20"/>
          <w:szCs w:val="20"/>
        </w:rPr>
        <w:fldChar w:fldCharType="begin"/>
      </w:r>
      <w:r w:rsidR="00B61252">
        <w:rPr>
          <w:b/>
          <w:bCs/>
          <w:i/>
          <w:iCs/>
          <w:sz w:val="20"/>
          <w:szCs w:val="20"/>
          <w:lang w:val="en-US"/>
        </w:rPr>
        <w:instrText xml:space="preserve"> ADDIN ZOTERO_ITEM CSL_CITATION {"citationID":"Kex1cHUk","properties":{"formattedCitation":"[115]","plainCitation":"[115]","noteIndex":0},"citationItems":[{"id":1049,"uris":["http://zotero.org/users/local/mfHf28QG/items/79BQDRY6"],"itemData":{"id":1049,"type":"article-journal","abstract":"Background and Purpose:Extracellular vesicles (EVs) are promising biomarkers for cerebral ischemic diseases, but not systematically tested in patients with transient ischemic attacks (TIAs). We aimed at (1) investigating the profile of EV-surface antigens in patients with symptoms suspicious for TIA; (2) developing and validating a predictive model for TIA diagnosis based on a specific EV-surface antigen profile.Methods:We analyzed 40 subjects with symptoms suspicious for TIA and 20 healthy controls from a training cohort. An independent cohort of 28 subjects served as external validation. Patients were stratified according to likelihood of having a real ischemic event using the Precise Diagnostic Score, defined as: unlikely (score 0–1), possible-probable (score 2–3), or very likely (score 4–8). Serum vesicles were quantified by nanoparticle tracking analysis and EV-surface antigen profile characterized by multiplex flow cytometry.Results:EV concentration increased in patients with very likely or possible-probable TIA (P&lt;0.05) compared with controls. Nanoparticle concentration was directly correlated with the Precise Diagnostic score (R=0.712; P&lt;0.001). After EV immuno-capturing, CD8, CD2, CD62P, melanoma-associated chondroitin sulfate proteoglycan, CD42a, CD44, CD326, CD142, CD31, and CD14 were identified as discriminants between groups. Receiver operating characteristic curve analysis confirmed a reliable diagnostic performance for each of these markers taken individually and for a compound marker derived from their linear combinations (area under the curve, 0.851). Finally, a random forest model combining the expression levels of selected markers achieved an accuracy of 96% and 78.9% for discriminating patients with a very likely TIA, in the training and external validation cohort, respectively.Conclusions:The EV-surface antigen profile appears to be different in patients with transient symptoms adjudicated to be very likely caused by brain ischemia compared with patients whose symptoms were less likely to due to brain ischemia. We propose an algorithm based on an EV-surface-antigen specific signature that might aid in the recognition of TIA.","container-title":"Stroke","DOI":"10.1161/STROKEAHA.120.033170","issue":"10","note":"publisher: American Heart Association","page":"3335-3347","source":"ahajournals.org (Atypon)","title":"Extracellular Vesicle Surface Markers as a Diagnostic Tool in Transient Ischemic Attacks","volume":"52","author":[{"family":"Burrello","given":"Jacopo"},{"family":"Bianco","given":"Giovanni"},{"family":"Burrello","given":"Alessio"},{"family":"Manno","given":"Concetta"},{"family":"Maulucci","given":"Francesco"},{"family":"Pileggi","given":"Marco"},{"family":"Nannoni","given":"Stefania"},{"family":"Michel","given":"Patrik"},{"family":"Bolis","given":"Sara"},{"family":"Melli","given":"Giorgia"},{"family":"Vassalli","given":"Giuseppe"},{"family":"Albers","given":"Gregory W."},{"family":"Cianfoni","given":"Alessandro"},{"family":"Barile","given":"Lucio"},{"family":"Cereda","given":"Carlo W."}],"issued":{"date-parts":[["2021",10]]}}}],"schema":"https://github.com/citation-style-language/schema/raw/master/csl-citation.json"} </w:instrText>
      </w:r>
      <w:r w:rsidR="0048658B" w:rsidRPr="00A831E7">
        <w:rPr>
          <w:b/>
          <w:bCs/>
          <w:i/>
          <w:iCs/>
          <w:sz w:val="20"/>
          <w:szCs w:val="20"/>
        </w:rPr>
        <w:fldChar w:fldCharType="separate"/>
      </w:r>
      <w:r w:rsidR="00B61252" w:rsidRPr="00B61252">
        <w:rPr>
          <w:sz w:val="20"/>
        </w:rPr>
        <w:t>[115]</w:t>
      </w:r>
      <w:r w:rsidR="0048658B" w:rsidRPr="00A831E7">
        <w:rPr>
          <w:b/>
          <w:bCs/>
          <w:i/>
          <w:iCs/>
          <w:sz w:val="20"/>
          <w:szCs w:val="20"/>
        </w:rPr>
        <w:fldChar w:fldCharType="end"/>
      </w:r>
    </w:p>
    <w:tbl>
      <w:tblPr>
        <w:tblStyle w:val="af0"/>
        <w:tblW w:w="5000" w:type="pct"/>
        <w:tblLook w:val="04A0" w:firstRow="1" w:lastRow="0" w:firstColumn="1" w:lastColumn="0" w:noHBand="0" w:noVBand="1"/>
      </w:tblPr>
      <w:tblGrid>
        <w:gridCol w:w="3449"/>
        <w:gridCol w:w="482"/>
        <w:gridCol w:w="1307"/>
        <w:gridCol w:w="1533"/>
        <w:gridCol w:w="1531"/>
      </w:tblGrid>
      <w:tr w:rsidR="00966BBE" w:rsidRPr="00ED7551" w14:paraId="183A1B53" w14:textId="77777777" w:rsidTr="0057069D">
        <w:tc>
          <w:tcPr>
            <w:tcW w:w="2077" w:type="pct"/>
            <w:shd w:val="clear" w:color="auto" w:fill="D9D9D9" w:themeFill="background1" w:themeFillShade="D9"/>
          </w:tcPr>
          <w:p w14:paraId="06B500BC" w14:textId="77777777" w:rsidR="00966BBE" w:rsidRPr="00730D74" w:rsidRDefault="00966BBE" w:rsidP="00BF2D0F">
            <w:pPr>
              <w:rPr>
                <w:b/>
                <w:bCs/>
                <w:sz w:val="22"/>
                <w:szCs w:val="22"/>
                <w:lang w:val="en-US"/>
              </w:rPr>
            </w:pPr>
            <w:r w:rsidRPr="00730D74">
              <w:rPr>
                <w:b/>
                <w:bCs/>
                <w:sz w:val="22"/>
                <w:szCs w:val="22"/>
                <w:lang w:val="en-US"/>
              </w:rPr>
              <w:t>10 Differentialy expressed EVs</w:t>
            </w:r>
          </w:p>
        </w:tc>
        <w:tc>
          <w:tcPr>
            <w:tcW w:w="290" w:type="pct"/>
            <w:vMerge w:val="restart"/>
            <w:shd w:val="clear" w:color="auto" w:fill="D9D9D9" w:themeFill="background1" w:themeFillShade="D9"/>
            <w:textDirection w:val="btLr"/>
          </w:tcPr>
          <w:p w14:paraId="68E9D50E" w14:textId="77777777" w:rsidR="00966BBE" w:rsidRPr="00730D74" w:rsidRDefault="00966BBE" w:rsidP="00BF2D0F">
            <w:pPr>
              <w:ind w:left="113" w:right="113"/>
              <w:jc w:val="center"/>
              <w:rPr>
                <w:b/>
                <w:bCs/>
                <w:sz w:val="22"/>
                <w:szCs w:val="22"/>
                <w:lang w:val="en-US"/>
              </w:rPr>
            </w:pPr>
            <w:r w:rsidRPr="00730D74">
              <w:rPr>
                <w:b/>
                <w:bCs/>
                <w:sz w:val="22"/>
                <w:szCs w:val="22"/>
                <w:lang w:val="en-US"/>
              </w:rPr>
              <w:t>TIA vs Others</w:t>
            </w:r>
          </w:p>
        </w:tc>
        <w:tc>
          <w:tcPr>
            <w:tcW w:w="787" w:type="pct"/>
            <w:shd w:val="clear" w:color="auto" w:fill="D9D9D9" w:themeFill="background1" w:themeFillShade="D9"/>
          </w:tcPr>
          <w:p w14:paraId="6D9F7318" w14:textId="77777777" w:rsidR="00966BBE" w:rsidRPr="00730D74" w:rsidRDefault="00966BBE" w:rsidP="00BF2D0F">
            <w:pPr>
              <w:jc w:val="center"/>
              <w:rPr>
                <w:b/>
                <w:bCs/>
                <w:sz w:val="22"/>
                <w:szCs w:val="22"/>
                <w:lang w:val="en-US"/>
              </w:rPr>
            </w:pPr>
            <w:r w:rsidRPr="00730D74">
              <w:rPr>
                <w:b/>
                <w:bCs/>
                <w:sz w:val="22"/>
                <w:szCs w:val="22"/>
                <w:lang w:val="en-US"/>
              </w:rPr>
              <w:t>AUC</w:t>
            </w:r>
          </w:p>
        </w:tc>
        <w:tc>
          <w:tcPr>
            <w:tcW w:w="923" w:type="pct"/>
            <w:shd w:val="clear" w:color="auto" w:fill="D9D9D9" w:themeFill="background1" w:themeFillShade="D9"/>
          </w:tcPr>
          <w:p w14:paraId="190F46F9" w14:textId="77777777" w:rsidR="00966BBE" w:rsidRPr="00730D74" w:rsidRDefault="00966BBE" w:rsidP="00BF2D0F">
            <w:pPr>
              <w:jc w:val="center"/>
              <w:rPr>
                <w:b/>
                <w:bCs/>
                <w:sz w:val="22"/>
                <w:szCs w:val="22"/>
                <w:lang w:val="en-US"/>
              </w:rPr>
            </w:pPr>
            <w:r w:rsidRPr="00730D74">
              <w:rPr>
                <w:b/>
                <w:bCs/>
                <w:sz w:val="22"/>
                <w:szCs w:val="22"/>
                <w:lang w:val="en-US"/>
              </w:rPr>
              <w:t>Sensitivity</w:t>
            </w:r>
          </w:p>
        </w:tc>
        <w:tc>
          <w:tcPr>
            <w:tcW w:w="922" w:type="pct"/>
            <w:shd w:val="clear" w:color="auto" w:fill="D9D9D9" w:themeFill="background1" w:themeFillShade="D9"/>
          </w:tcPr>
          <w:p w14:paraId="7A227D9E" w14:textId="77777777" w:rsidR="00966BBE" w:rsidRPr="00730D74" w:rsidRDefault="00966BBE" w:rsidP="00BF2D0F">
            <w:pPr>
              <w:jc w:val="center"/>
              <w:rPr>
                <w:b/>
                <w:bCs/>
                <w:sz w:val="22"/>
                <w:szCs w:val="22"/>
                <w:lang w:val="en-US"/>
              </w:rPr>
            </w:pPr>
            <w:r w:rsidRPr="00730D74">
              <w:rPr>
                <w:b/>
                <w:bCs/>
                <w:sz w:val="22"/>
                <w:szCs w:val="22"/>
                <w:lang w:val="en-US"/>
              </w:rPr>
              <w:t>Specificity</w:t>
            </w:r>
          </w:p>
        </w:tc>
      </w:tr>
      <w:tr w:rsidR="00966BBE" w:rsidRPr="00ED7551" w14:paraId="0CC62CE8" w14:textId="77777777" w:rsidTr="00B02182">
        <w:trPr>
          <w:trHeight w:val="98"/>
        </w:trPr>
        <w:tc>
          <w:tcPr>
            <w:tcW w:w="2077" w:type="pct"/>
          </w:tcPr>
          <w:p w14:paraId="0836FBA0" w14:textId="77777777" w:rsidR="00966BBE" w:rsidRPr="00730D74" w:rsidRDefault="00966BBE" w:rsidP="00BF2D0F">
            <w:pPr>
              <w:rPr>
                <w:sz w:val="18"/>
                <w:szCs w:val="18"/>
                <w:lang w:val="en-US"/>
              </w:rPr>
            </w:pPr>
            <w:r w:rsidRPr="00730D74">
              <w:rPr>
                <w:sz w:val="18"/>
                <w:szCs w:val="18"/>
                <w:lang w:val="en-US"/>
              </w:rPr>
              <w:t>CD8</w:t>
            </w:r>
          </w:p>
        </w:tc>
        <w:tc>
          <w:tcPr>
            <w:tcW w:w="290" w:type="pct"/>
            <w:vMerge/>
          </w:tcPr>
          <w:p w14:paraId="405FCCA4" w14:textId="77777777" w:rsidR="00966BBE" w:rsidRPr="00730D74" w:rsidRDefault="00966BBE" w:rsidP="00BF2D0F">
            <w:pPr>
              <w:jc w:val="center"/>
              <w:rPr>
                <w:sz w:val="18"/>
                <w:szCs w:val="18"/>
                <w:lang w:val="en-US"/>
              </w:rPr>
            </w:pPr>
          </w:p>
        </w:tc>
        <w:tc>
          <w:tcPr>
            <w:tcW w:w="787" w:type="pct"/>
          </w:tcPr>
          <w:p w14:paraId="363A8D2A" w14:textId="77777777" w:rsidR="00966BBE" w:rsidRPr="00730D74" w:rsidRDefault="00966BBE" w:rsidP="00BF2D0F">
            <w:pPr>
              <w:jc w:val="center"/>
              <w:rPr>
                <w:sz w:val="18"/>
                <w:szCs w:val="18"/>
                <w:lang w:val="en-US"/>
              </w:rPr>
            </w:pPr>
            <w:r w:rsidRPr="00730D74">
              <w:rPr>
                <w:sz w:val="18"/>
                <w:szCs w:val="18"/>
                <w:lang w:val="en-US"/>
              </w:rPr>
              <w:t>0.742</w:t>
            </w:r>
          </w:p>
        </w:tc>
        <w:tc>
          <w:tcPr>
            <w:tcW w:w="923" w:type="pct"/>
          </w:tcPr>
          <w:p w14:paraId="7F465913" w14:textId="77777777" w:rsidR="00966BBE" w:rsidRPr="00730D74" w:rsidRDefault="00966BBE" w:rsidP="00BF2D0F">
            <w:pPr>
              <w:jc w:val="center"/>
              <w:rPr>
                <w:sz w:val="18"/>
                <w:szCs w:val="18"/>
                <w:lang w:val="en-US"/>
              </w:rPr>
            </w:pPr>
            <w:r w:rsidRPr="00730D74">
              <w:rPr>
                <w:sz w:val="18"/>
                <w:szCs w:val="18"/>
                <w:lang w:val="en-US"/>
              </w:rPr>
              <w:t>0.80</w:t>
            </w:r>
          </w:p>
        </w:tc>
        <w:tc>
          <w:tcPr>
            <w:tcW w:w="922" w:type="pct"/>
          </w:tcPr>
          <w:p w14:paraId="48D41F6B" w14:textId="77777777" w:rsidR="00966BBE" w:rsidRPr="00730D74" w:rsidRDefault="00966BBE" w:rsidP="00BF2D0F">
            <w:pPr>
              <w:jc w:val="center"/>
              <w:rPr>
                <w:sz w:val="18"/>
                <w:szCs w:val="18"/>
                <w:lang w:val="en-US"/>
              </w:rPr>
            </w:pPr>
            <w:r w:rsidRPr="00730D74">
              <w:rPr>
                <w:sz w:val="18"/>
                <w:szCs w:val="18"/>
                <w:lang w:val="en-US"/>
              </w:rPr>
              <w:t>0.60</w:t>
            </w:r>
          </w:p>
        </w:tc>
      </w:tr>
      <w:tr w:rsidR="00966BBE" w:rsidRPr="00ED7551" w14:paraId="3126A5D9" w14:textId="77777777" w:rsidTr="00B02182">
        <w:trPr>
          <w:trHeight w:val="143"/>
        </w:trPr>
        <w:tc>
          <w:tcPr>
            <w:tcW w:w="2077" w:type="pct"/>
          </w:tcPr>
          <w:p w14:paraId="29B57C60" w14:textId="77777777" w:rsidR="00966BBE" w:rsidRPr="00730D74" w:rsidRDefault="00966BBE" w:rsidP="00BF2D0F">
            <w:pPr>
              <w:rPr>
                <w:sz w:val="18"/>
                <w:szCs w:val="18"/>
                <w:lang w:val="en-US"/>
              </w:rPr>
            </w:pPr>
            <w:r w:rsidRPr="00730D74">
              <w:rPr>
                <w:sz w:val="18"/>
                <w:szCs w:val="18"/>
                <w:lang w:val="en-US"/>
              </w:rPr>
              <w:t>CD2</w:t>
            </w:r>
          </w:p>
        </w:tc>
        <w:tc>
          <w:tcPr>
            <w:tcW w:w="290" w:type="pct"/>
            <w:vMerge/>
          </w:tcPr>
          <w:p w14:paraId="32713C47" w14:textId="77777777" w:rsidR="00966BBE" w:rsidRPr="00730D74" w:rsidRDefault="00966BBE" w:rsidP="00BF2D0F">
            <w:pPr>
              <w:jc w:val="center"/>
              <w:rPr>
                <w:sz w:val="18"/>
                <w:szCs w:val="18"/>
                <w:lang w:val="en-US"/>
              </w:rPr>
            </w:pPr>
          </w:p>
        </w:tc>
        <w:tc>
          <w:tcPr>
            <w:tcW w:w="787" w:type="pct"/>
          </w:tcPr>
          <w:p w14:paraId="3D223B9F" w14:textId="77777777" w:rsidR="00966BBE" w:rsidRPr="00730D74" w:rsidRDefault="00966BBE" w:rsidP="00BF2D0F">
            <w:pPr>
              <w:jc w:val="center"/>
              <w:rPr>
                <w:sz w:val="18"/>
                <w:szCs w:val="18"/>
                <w:lang w:val="en-US"/>
              </w:rPr>
            </w:pPr>
            <w:r w:rsidRPr="00730D74">
              <w:rPr>
                <w:sz w:val="18"/>
                <w:szCs w:val="18"/>
                <w:lang w:val="en-US"/>
              </w:rPr>
              <w:t>0.680</w:t>
            </w:r>
          </w:p>
        </w:tc>
        <w:tc>
          <w:tcPr>
            <w:tcW w:w="923" w:type="pct"/>
          </w:tcPr>
          <w:p w14:paraId="655615B5" w14:textId="77777777" w:rsidR="00966BBE" w:rsidRPr="00730D74" w:rsidRDefault="00966BBE" w:rsidP="00BF2D0F">
            <w:pPr>
              <w:jc w:val="center"/>
              <w:rPr>
                <w:sz w:val="18"/>
                <w:szCs w:val="18"/>
                <w:lang w:val="en-US"/>
              </w:rPr>
            </w:pPr>
            <w:r w:rsidRPr="00730D74">
              <w:rPr>
                <w:sz w:val="18"/>
                <w:szCs w:val="18"/>
                <w:lang w:val="en-US"/>
              </w:rPr>
              <w:t>0.60</w:t>
            </w:r>
          </w:p>
        </w:tc>
        <w:tc>
          <w:tcPr>
            <w:tcW w:w="922" w:type="pct"/>
          </w:tcPr>
          <w:p w14:paraId="328B9D84" w14:textId="77777777" w:rsidR="00966BBE" w:rsidRPr="00730D74" w:rsidRDefault="00966BBE" w:rsidP="00BF2D0F">
            <w:pPr>
              <w:jc w:val="center"/>
              <w:rPr>
                <w:sz w:val="18"/>
                <w:szCs w:val="18"/>
                <w:lang w:val="en-US"/>
              </w:rPr>
            </w:pPr>
            <w:r w:rsidRPr="00730D74">
              <w:rPr>
                <w:sz w:val="18"/>
                <w:szCs w:val="18"/>
                <w:lang w:val="en-US"/>
              </w:rPr>
              <w:t>0.80</w:t>
            </w:r>
          </w:p>
        </w:tc>
      </w:tr>
      <w:tr w:rsidR="00966BBE" w:rsidRPr="00ED7551" w14:paraId="040BCF88" w14:textId="77777777" w:rsidTr="00B02182">
        <w:trPr>
          <w:trHeight w:val="107"/>
        </w:trPr>
        <w:tc>
          <w:tcPr>
            <w:tcW w:w="2077" w:type="pct"/>
          </w:tcPr>
          <w:p w14:paraId="32B547F4" w14:textId="77777777" w:rsidR="00966BBE" w:rsidRPr="00730D74" w:rsidRDefault="00966BBE" w:rsidP="00BF2D0F">
            <w:pPr>
              <w:rPr>
                <w:sz w:val="18"/>
                <w:szCs w:val="18"/>
                <w:lang w:val="en-US"/>
              </w:rPr>
            </w:pPr>
            <w:r w:rsidRPr="00730D74">
              <w:rPr>
                <w:sz w:val="18"/>
                <w:szCs w:val="18"/>
                <w:lang w:val="en-US"/>
              </w:rPr>
              <w:t>CD62P</w:t>
            </w:r>
          </w:p>
        </w:tc>
        <w:tc>
          <w:tcPr>
            <w:tcW w:w="290" w:type="pct"/>
            <w:vMerge/>
          </w:tcPr>
          <w:p w14:paraId="6F963879" w14:textId="77777777" w:rsidR="00966BBE" w:rsidRPr="00730D74" w:rsidRDefault="00966BBE" w:rsidP="00BF2D0F">
            <w:pPr>
              <w:jc w:val="center"/>
              <w:rPr>
                <w:sz w:val="18"/>
                <w:szCs w:val="18"/>
                <w:lang w:val="en-US"/>
              </w:rPr>
            </w:pPr>
          </w:p>
        </w:tc>
        <w:tc>
          <w:tcPr>
            <w:tcW w:w="787" w:type="pct"/>
          </w:tcPr>
          <w:p w14:paraId="71017C2E" w14:textId="77777777" w:rsidR="00966BBE" w:rsidRPr="00730D74" w:rsidRDefault="00966BBE" w:rsidP="00BF2D0F">
            <w:pPr>
              <w:jc w:val="center"/>
              <w:rPr>
                <w:sz w:val="18"/>
                <w:szCs w:val="18"/>
                <w:lang w:val="en-US"/>
              </w:rPr>
            </w:pPr>
            <w:r w:rsidRPr="00730D74">
              <w:rPr>
                <w:sz w:val="18"/>
                <w:szCs w:val="18"/>
                <w:lang w:val="en-US"/>
              </w:rPr>
              <w:t>0.759</w:t>
            </w:r>
          </w:p>
        </w:tc>
        <w:tc>
          <w:tcPr>
            <w:tcW w:w="923" w:type="pct"/>
          </w:tcPr>
          <w:p w14:paraId="6105E539" w14:textId="77777777" w:rsidR="00966BBE" w:rsidRPr="00730D74" w:rsidRDefault="00966BBE" w:rsidP="00BF2D0F">
            <w:pPr>
              <w:jc w:val="center"/>
              <w:rPr>
                <w:sz w:val="18"/>
                <w:szCs w:val="18"/>
                <w:lang w:val="en-US"/>
              </w:rPr>
            </w:pPr>
            <w:r w:rsidRPr="00730D74">
              <w:rPr>
                <w:sz w:val="18"/>
                <w:szCs w:val="18"/>
                <w:lang w:val="en-US"/>
              </w:rPr>
              <w:t>0.87</w:t>
            </w:r>
          </w:p>
        </w:tc>
        <w:tc>
          <w:tcPr>
            <w:tcW w:w="922" w:type="pct"/>
          </w:tcPr>
          <w:p w14:paraId="3A37A6EE" w14:textId="77777777" w:rsidR="00966BBE" w:rsidRPr="00730D74" w:rsidRDefault="00966BBE" w:rsidP="00BF2D0F">
            <w:pPr>
              <w:jc w:val="center"/>
              <w:rPr>
                <w:sz w:val="18"/>
                <w:szCs w:val="18"/>
                <w:lang w:val="en-US"/>
              </w:rPr>
            </w:pPr>
            <w:r w:rsidRPr="00730D74">
              <w:rPr>
                <w:sz w:val="18"/>
                <w:szCs w:val="18"/>
                <w:lang w:val="en-US"/>
              </w:rPr>
              <w:t>0.51</w:t>
            </w:r>
          </w:p>
        </w:tc>
      </w:tr>
      <w:tr w:rsidR="00966BBE" w:rsidRPr="00ED7551" w14:paraId="7FDA5C0C" w14:textId="77777777" w:rsidTr="00B02182">
        <w:trPr>
          <w:trHeight w:val="165"/>
        </w:trPr>
        <w:tc>
          <w:tcPr>
            <w:tcW w:w="2077" w:type="pct"/>
          </w:tcPr>
          <w:p w14:paraId="54254A6E" w14:textId="77777777" w:rsidR="00966BBE" w:rsidRPr="00730D74" w:rsidRDefault="00966BBE" w:rsidP="00BF2D0F">
            <w:pPr>
              <w:rPr>
                <w:sz w:val="18"/>
                <w:szCs w:val="18"/>
                <w:lang w:val="en-US"/>
              </w:rPr>
            </w:pPr>
            <w:r w:rsidRPr="00730D74">
              <w:rPr>
                <w:sz w:val="18"/>
                <w:szCs w:val="18"/>
                <w:lang w:val="en-US"/>
              </w:rPr>
              <w:t>MCSP</w:t>
            </w:r>
          </w:p>
        </w:tc>
        <w:tc>
          <w:tcPr>
            <w:tcW w:w="290" w:type="pct"/>
            <w:vMerge/>
          </w:tcPr>
          <w:p w14:paraId="35A53661" w14:textId="77777777" w:rsidR="00966BBE" w:rsidRPr="00730D74" w:rsidRDefault="00966BBE" w:rsidP="00BF2D0F">
            <w:pPr>
              <w:jc w:val="center"/>
              <w:rPr>
                <w:sz w:val="18"/>
                <w:szCs w:val="18"/>
                <w:lang w:val="en-US"/>
              </w:rPr>
            </w:pPr>
          </w:p>
        </w:tc>
        <w:tc>
          <w:tcPr>
            <w:tcW w:w="787" w:type="pct"/>
          </w:tcPr>
          <w:p w14:paraId="1E23E79B" w14:textId="77777777" w:rsidR="00966BBE" w:rsidRPr="00730D74" w:rsidRDefault="00966BBE" w:rsidP="00BF2D0F">
            <w:pPr>
              <w:jc w:val="center"/>
              <w:rPr>
                <w:sz w:val="18"/>
                <w:szCs w:val="18"/>
                <w:lang w:val="en-US"/>
              </w:rPr>
            </w:pPr>
            <w:r w:rsidRPr="00730D74">
              <w:rPr>
                <w:sz w:val="18"/>
                <w:szCs w:val="18"/>
                <w:lang w:val="en-US"/>
              </w:rPr>
              <w:t>0.707</w:t>
            </w:r>
          </w:p>
        </w:tc>
        <w:tc>
          <w:tcPr>
            <w:tcW w:w="923" w:type="pct"/>
          </w:tcPr>
          <w:p w14:paraId="6278D9E8" w14:textId="77777777" w:rsidR="00966BBE" w:rsidRPr="00730D74" w:rsidRDefault="00966BBE" w:rsidP="00BF2D0F">
            <w:pPr>
              <w:jc w:val="center"/>
              <w:rPr>
                <w:sz w:val="18"/>
                <w:szCs w:val="18"/>
                <w:lang w:val="en-US"/>
              </w:rPr>
            </w:pPr>
            <w:r w:rsidRPr="00730D74">
              <w:rPr>
                <w:sz w:val="18"/>
                <w:szCs w:val="18"/>
                <w:lang w:val="en-US"/>
              </w:rPr>
              <w:t>0.80</w:t>
            </w:r>
          </w:p>
        </w:tc>
        <w:tc>
          <w:tcPr>
            <w:tcW w:w="922" w:type="pct"/>
          </w:tcPr>
          <w:p w14:paraId="514C86C0" w14:textId="77777777" w:rsidR="00966BBE" w:rsidRPr="00730D74" w:rsidRDefault="00966BBE" w:rsidP="00BF2D0F">
            <w:pPr>
              <w:jc w:val="center"/>
              <w:rPr>
                <w:sz w:val="18"/>
                <w:szCs w:val="18"/>
                <w:lang w:val="en-US"/>
              </w:rPr>
            </w:pPr>
            <w:r w:rsidRPr="00730D74">
              <w:rPr>
                <w:sz w:val="18"/>
                <w:szCs w:val="18"/>
                <w:lang w:val="en-US"/>
              </w:rPr>
              <w:t>0.58</w:t>
            </w:r>
          </w:p>
        </w:tc>
      </w:tr>
      <w:tr w:rsidR="00966BBE" w:rsidRPr="00ED7551" w14:paraId="7F34515F" w14:textId="77777777" w:rsidTr="00B02182">
        <w:trPr>
          <w:trHeight w:val="70"/>
        </w:trPr>
        <w:tc>
          <w:tcPr>
            <w:tcW w:w="2077" w:type="pct"/>
          </w:tcPr>
          <w:p w14:paraId="770A3290" w14:textId="77777777" w:rsidR="00966BBE" w:rsidRPr="00730D74" w:rsidRDefault="00966BBE" w:rsidP="00BF2D0F">
            <w:pPr>
              <w:rPr>
                <w:sz w:val="18"/>
                <w:szCs w:val="18"/>
                <w:lang w:val="en-US"/>
              </w:rPr>
            </w:pPr>
            <w:r w:rsidRPr="00730D74">
              <w:rPr>
                <w:sz w:val="18"/>
                <w:szCs w:val="18"/>
                <w:lang w:val="en-US"/>
              </w:rPr>
              <w:t>CD42a</w:t>
            </w:r>
          </w:p>
        </w:tc>
        <w:tc>
          <w:tcPr>
            <w:tcW w:w="290" w:type="pct"/>
            <w:vMerge/>
          </w:tcPr>
          <w:p w14:paraId="5D42C867" w14:textId="77777777" w:rsidR="00966BBE" w:rsidRPr="00730D74" w:rsidRDefault="00966BBE" w:rsidP="00BF2D0F">
            <w:pPr>
              <w:jc w:val="center"/>
              <w:rPr>
                <w:sz w:val="18"/>
                <w:szCs w:val="18"/>
                <w:lang w:val="en-US"/>
              </w:rPr>
            </w:pPr>
          </w:p>
        </w:tc>
        <w:tc>
          <w:tcPr>
            <w:tcW w:w="787" w:type="pct"/>
          </w:tcPr>
          <w:p w14:paraId="660F0EA0" w14:textId="77777777" w:rsidR="00966BBE" w:rsidRPr="00730D74" w:rsidRDefault="00966BBE" w:rsidP="00BF2D0F">
            <w:pPr>
              <w:jc w:val="center"/>
              <w:rPr>
                <w:sz w:val="18"/>
                <w:szCs w:val="18"/>
                <w:lang w:val="en-US"/>
              </w:rPr>
            </w:pPr>
            <w:r w:rsidRPr="00730D74">
              <w:rPr>
                <w:sz w:val="18"/>
                <w:szCs w:val="18"/>
                <w:lang w:val="en-US"/>
              </w:rPr>
              <w:t>0.730</w:t>
            </w:r>
          </w:p>
        </w:tc>
        <w:tc>
          <w:tcPr>
            <w:tcW w:w="923" w:type="pct"/>
          </w:tcPr>
          <w:p w14:paraId="6AB10FF3" w14:textId="77777777" w:rsidR="00966BBE" w:rsidRPr="00730D74" w:rsidRDefault="00966BBE" w:rsidP="00BF2D0F">
            <w:pPr>
              <w:jc w:val="center"/>
              <w:rPr>
                <w:sz w:val="18"/>
                <w:szCs w:val="18"/>
                <w:lang w:val="en-US"/>
              </w:rPr>
            </w:pPr>
            <w:r w:rsidRPr="00730D74">
              <w:rPr>
                <w:sz w:val="18"/>
                <w:szCs w:val="18"/>
                <w:lang w:val="en-US"/>
              </w:rPr>
              <w:t>0.87</w:t>
            </w:r>
          </w:p>
        </w:tc>
        <w:tc>
          <w:tcPr>
            <w:tcW w:w="922" w:type="pct"/>
          </w:tcPr>
          <w:p w14:paraId="25BDD8D6" w14:textId="77777777" w:rsidR="00966BBE" w:rsidRPr="00730D74" w:rsidRDefault="00966BBE" w:rsidP="00BF2D0F">
            <w:pPr>
              <w:jc w:val="center"/>
              <w:rPr>
                <w:sz w:val="18"/>
                <w:szCs w:val="18"/>
                <w:lang w:val="en-US"/>
              </w:rPr>
            </w:pPr>
            <w:r w:rsidRPr="00730D74">
              <w:rPr>
                <w:sz w:val="18"/>
                <w:szCs w:val="18"/>
                <w:lang w:val="en-US"/>
              </w:rPr>
              <w:t>0.53</w:t>
            </w:r>
          </w:p>
        </w:tc>
      </w:tr>
      <w:tr w:rsidR="00966BBE" w:rsidRPr="00ED7551" w14:paraId="2FBE176A" w14:textId="77777777" w:rsidTr="00B02182">
        <w:trPr>
          <w:trHeight w:val="98"/>
        </w:trPr>
        <w:tc>
          <w:tcPr>
            <w:tcW w:w="2077" w:type="pct"/>
          </w:tcPr>
          <w:p w14:paraId="15229C3B" w14:textId="77777777" w:rsidR="00966BBE" w:rsidRPr="00730D74" w:rsidRDefault="00966BBE" w:rsidP="00BF2D0F">
            <w:pPr>
              <w:rPr>
                <w:sz w:val="18"/>
                <w:szCs w:val="18"/>
                <w:lang w:val="en-US"/>
              </w:rPr>
            </w:pPr>
            <w:r w:rsidRPr="00730D74">
              <w:rPr>
                <w:sz w:val="18"/>
                <w:szCs w:val="18"/>
                <w:lang w:val="en-US"/>
              </w:rPr>
              <w:t>CD44</w:t>
            </w:r>
          </w:p>
        </w:tc>
        <w:tc>
          <w:tcPr>
            <w:tcW w:w="290" w:type="pct"/>
            <w:vMerge/>
          </w:tcPr>
          <w:p w14:paraId="6BD03A81" w14:textId="77777777" w:rsidR="00966BBE" w:rsidRPr="00730D74" w:rsidRDefault="00966BBE" w:rsidP="00BF2D0F">
            <w:pPr>
              <w:jc w:val="center"/>
              <w:rPr>
                <w:sz w:val="18"/>
                <w:szCs w:val="18"/>
                <w:lang w:val="en-US"/>
              </w:rPr>
            </w:pPr>
          </w:p>
        </w:tc>
        <w:tc>
          <w:tcPr>
            <w:tcW w:w="787" w:type="pct"/>
          </w:tcPr>
          <w:p w14:paraId="2E61541C" w14:textId="77777777" w:rsidR="00966BBE" w:rsidRPr="00730D74" w:rsidRDefault="00966BBE" w:rsidP="00BF2D0F">
            <w:pPr>
              <w:jc w:val="center"/>
              <w:rPr>
                <w:sz w:val="18"/>
                <w:szCs w:val="18"/>
                <w:lang w:val="en-US"/>
              </w:rPr>
            </w:pPr>
            <w:r w:rsidRPr="00730D74">
              <w:rPr>
                <w:sz w:val="18"/>
                <w:szCs w:val="18"/>
                <w:lang w:val="en-US"/>
              </w:rPr>
              <w:t>0.741</w:t>
            </w:r>
          </w:p>
        </w:tc>
        <w:tc>
          <w:tcPr>
            <w:tcW w:w="923" w:type="pct"/>
          </w:tcPr>
          <w:p w14:paraId="66E489B7" w14:textId="77777777" w:rsidR="00966BBE" w:rsidRPr="00730D74" w:rsidRDefault="00966BBE" w:rsidP="00BF2D0F">
            <w:pPr>
              <w:jc w:val="center"/>
              <w:rPr>
                <w:sz w:val="18"/>
                <w:szCs w:val="18"/>
                <w:lang w:val="en-US"/>
              </w:rPr>
            </w:pPr>
            <w:r w:rsidRPr="00730D74">
              <w:rPr>
                <w:sz w:val="18"/>
                <w:szCs w:val="18"/>
                <w:lang w:val="en-US"/>
              </w:rPr>
              <w:t>0.67</w:t>
            </w:r>
          </w:p>
        </w:tc>
        <w:tc>
          <w:tcPr>
            <w:tcW w:w="922" w:type="pct"/>
          </w:tcPr>
          <w:p w14:paraId="68841F9F" w14:textId="77777777" w:rsidR="00966BBE" w:rsidRPr="00730D74" w:rsidRDefault="00966BBE" w:rsidP="00BF2D0F">
            <w:pPr>
              <w:jc w:val="center"/>
              <w:rPr>
                <w:sz w:val="18"/>
                <w:szCs w:val="18"/>
                <w:lang w:val="en-US"/>
              </w:rPr>
            </w:pPr>
            <w:r w:rsidRPr="00730D74">
              <w:rPr>
                <w:sz w:val="18"/>
                <w:szCs w:val="18"/>
                <w:lang w:val="en-US"/>
              </w:rPr>
              <w:t>0.87</w:t>
            </w:r>
          </w:p>
        </w:tc>
      </w:tr>
      <w:tr w:rsidR="00966BBE" w:rsidRPr="00ED7551" w14:paraId="6CDB774A" w14:textId="77777777" w:rsidTr="00B02182">
        <w:trPr>
          <w:trHeight w:val="188"/>
        </w:trPr>
        <w:tc>
          <w:tcPr>
            <w:tcW w:w="2077" w:type="pct"/>
          </w:tcPr>
          <w:p w14:paraId="2A9512A1" w14:textId="77777777" w:rsidR="00966BBE" w:rsidRPr="00730D74" w:rsidRDefault="00966BBE" w:rsidP="00BF2D0F">
            <w:pPr>
              <w:rPr>
                <w:sz w:val="18"/>
                <w:szCs w:val="18"/>
                <w:lang w:val="en-US"/>
              </w:rPr>
            </w:pPr>
            <w:r w:rsidRPr="00730D74">
              <w:rPr>
                <w:sz w:val="18"/>
                <w:szCs w:val="18"/>
                <w:lang w:val="en-US"/>
              </w:rPr>
              <w:t>CD326</w:t>
            </w:r>
          </w:p>
        </w:tc>
        <w:tc>
          <w:tcPr>
            <w:tcW w:w="290" w:type="pct"/>
            <w:vMerge/>
          </w:tcPr>
          <w:p w14:paraId="33F86B27" w14:textId="77777777" w:rsidR="00966BBE" w:rsidRPr="00730D74" w:rsidRDefault="00966BBE" w:rsidP="00BF2D0F">
            <w:pPr>
              <w:jc w:val="center"/>
              <w:rPr>
                <w:sz w:val="18"/>
                <w:szCs w:val="18"/>
                <w:lang w:val="en-US"/>
              </w:rPr>
            </w:pPr>
          </w:p>
        </w:tc>
        <w:tc>
          <w:tcPr>
            <w:tcW w:w="787" w:type="pct"/>
          </w:tcPr>
          <w:p w14:paraId="5C3387A4" w14:textId="77777777" w:rsidR="00966BBE" w:rsidRPr="00730D74" w:rsidRDefault="00966BBE" w:rsidP="00BF2D0F">
            <w:pPr>
              <w:jc w:val="center"/>
              <w:rPr>
                <w:sz w:val="18"/>
                <w:szCs w:val="18"/>
                <w:lang w:val="en-US"/>
              </w:rPr>
            </w:pPr>
            <w:r w:rsidRPr="00730D74">
              <w:rPr>
                <w:sz w:val="18"/>
                <w:szCs w:val="18"/>
                <w:lang w:val="en-US"/>
              </w:rPr>
              <w:t>0.730</w:t>
            </w:r>
          </w:p>
        </w:tc>
        <w:tc>
          <w:tcPr>
            <w:tcW w:w="923" w:type="pct"/>
          </w:tcPr>
          <w:p w14:paraId="3FE77B91" w14:textId="77777777" w:rsidR="00966BBE" w:rsidRPr="00730D74" w:rsidRDefault="00966BBE" w:rsidP="00BF2D0F">
            <w:pPr>
              <w:jc w:val="center"/>
              <w:rPr>
                <w:sz w:val="18"/>
                <w:szCs w:val="18"/>
                <w:lang w:val="en-US"/>
              </w:rPr>
            </w:pPr>
            <w:r w:rsidRPr="00730D74">
              <w:rPr>
                <w:sz w:val="18"/>
                <w:szCs w:val="18"/>
                <w:lang w:val="en-US"/>
              </w:rPr>
              <w:t>0.60</w:t>
            </w:r>
          </w:p>
        </w:tc>
        <w:tc>
          <w:tcPr>
            <w:tcW w:w="922" w:type="pct"/>
          </w:tcPr>
          <w:p w14:paraId="2E7C2D1D" w14:textId="77777777" w:rsidR="00966BBE" w:rsidRPr="00730D74" w:rsidRDefault="00966BBE" w:rsidP="00BF2D0F">
            <w:pPr>
              <w:jc w:val="center"/>
              <w:rPr>
                <w:sz w:val="18"/>
                <w:szCs w:val="18"/>
                <w:lang w:val="en-US"/>
              </w:rPr>
            </w:pPr>
            <w:r w:rsidRPr="00730D74">
              <w:rPr>
                <w:sz w:val="18"/>
                <w:szCs w:val="18"/>
                <w:lang w:val="en-US"/>
              </w:rPr>
              <w:t>0.82</w:t>
            </w:r>
          </w:p>
        </w:tc>
      </w:tr>
      <w:tr w:rsidR="00966BBE" w:rsidRPr="00ED7551" w14:paraId="4AEA29F7" w14:textId="77777777" w:rsidTr="00B02182">
        <w:trPr>
          <w:trHeight w:val="143"/>
        </w:trPr>
        <w:tc>
          <w:tcPr>
            <w:tcW w:w="2077" w:type="pct"/>
          </w:tcPr>
          <w:p w14:paraId="3A7C5635" w14:textId="77777777" w:rsidR="00966BBE" w:rsidRPr="00730D74" w:rsidRDefault="00966BBE" w:rsidP="00BF2D0F">
            <w:pPr>
              <w:rPr>
                <w:sz w:val="18"/>
                <w:szCs w:val="18"/>
                <w:lang w:val="en-US"/>
              </w:rPr>
            </w:pPr>
            <w:r w:rsidRPr="00730D74">
              <w:rPr>
                <w:sz w:val="18"/>
                <w:szCs w:val="18"/>
                <w:lang w:val="en-US"/>
              </w:rPr>
              <w:t>CD142</w:t>
            </w:r>
          </w:p>
        </w:tc>
        <w:tc>
          <w:tcPr>
            <w:tcW w:w="290" w:type="pct"/>
            <w:vMerge/>
          </w:tcPr>
          <w:p w14:paraId="4F0400B3" w14:textId="77777777" w:rsidR="00966BBE" w:rsidRPr="00730D74" w:rsidRDefault="00966BBE" w:rsidP="00BF2D0F">
            <w:pPr>
              <w:jc w:val="center"/>
              <w:rPr>
                <w:sz w:val="18"/>
                <w:szCs w:val="18"/>
                <w:lang w:val="en-US"/>
              </w:rPr>
            </w:pPr>
          </w:p>
        </w:tc>
        <w:tc>
          <w:tcPr>
            <w:tcW w:w="787" w:type="pct"/>
          </w:tcPr>
          <w:p w14:paraId="679BBDDF" w14:textId="77777777" w:rsidR="00966BBE" w:rsidRPr="00730D74" w:rsidRDefault="00966BBE" w:rsidP="00BF2D0F">
            <w:pPr>
              <w:jc w:val="center"/>
              <w:rPr>
                <w:sz w:val="18"/>
                <w:szCs w:val="18"/>
                <w:lang w:val="en-US"/>
              </w:rPr>
            </w:pPr>
            <w:r w:rsidRPr="00730D74">
              <w:rPr>
                <w:sz w:val="18"/>
                <w:szCs w:val="18"/>
                <w:lang w:val="en-US"/>
              </w:rPr>
              <w:t>0.670</w:t>
            </w:r>
          </w:p>
        </w:tc>
        <w:tc>
          <w:tcPr>
            <w:tcW w:w="923" w:type="pct"/>
          </w:tcPr>
          <w:p w14:paraId="5CD014F6" w14:textId="77777777" w:rsidR="00966BBE" w:rsidRPr="00730D74" w:rsidRDefault="00966BBE" w:rsidP="00BF2D0F">
            <w:pPr>
              <w:jc w:val="center"/>
              <w:rPr>
                <w:sz w:val="18"/>
                <w:szCs w:val="18"/>
                <w:lang w:val="en-US"/>
              </w:rPr>
            </w:pPr>
            <w:r w:rsidRPr="00730D74">
              <w:rPr>
                <w:sz w:val="18"/>
                <w:szCs w:val="18"/>
                <w:lang w:val="en-US"/>
              </w:rPr>
              <w:t>0.67</w:t>
            </w:r>
          </w:p>
        </w:tc>
        <w:tc>
          <w:tcPr>
            <w:tcW w:w="922" w:type="pct"/>
          </w:tcPr>
          <w:p w14:paraId="35C1125C" w14:textId="77777777" w:rsidR="00966BBE" w:rsidRPr="00730D74" w:rsidRDefault="00966BBE" w:rsidP="00BF2D0F">
            <w:pPr>
              <w:jc w:val="center"/>
              <w:rPr>
                <w:sz w:val="18"/>
                <w:szCs w:val="18"/>
                <w:lang w:val="en-US"/>
              </w:rPr>
            </w:pPr>
            <w:r w:rsidRPr="00730D74">
              <w:rPr>
                <w:sz w:val="18"/>
                <w:szCs w:val="18"/>
                <w:lang w:val="en-US"/>
              </w:rPr>
              <w:t>0.67</w:t>
            </w:r>
          </w:p>
        </w:tc>
      </w:tr>
      <w:tr w:rsidR="00966BBE" w:rsidRPr="00ED7551" w14:paraId="01B5DD25" w14:textId="77777777" w:rsidTr="00B02182">
        <w:trPr>
          <w:trHeight w:val="197"/>
        </w:trPr>
        <w:tc>
          <w:tcPr>
            <w:tcW w:w="2077" w:type="pct"/>
          </w:tcPr>
          <w:p w14:paraId="1458BAB4" w14:textId="77777777" w:rsidR="00966BBE" w:rsidRPr="00730D74" w:rsidRDefault="00966BBE" w:rsidP="00BF2D0F">
            <w:pPr>
              <w:rPr>
                <w:sz w:val="18"/>
                <w:szCs w:val="18"/>
                <w:lang w:val="en-US"/>
              </w:rPr>
            </w:pPr>
            <w:r w:rsidRPr="00730D74">
              <w:rPr>
                <w:sz w:val="18"/>
                <w:szCs w:val="18"/>
                <w:lang w:val="en-US"/>
              </w:rPr>
              <w:t>CD31</w:t>
            </w:r>
          </w:p>
        </w:tc>
        <w:tc>
          <w:tcPr>
            <w:tcW w:w="290" w:type="pct"/>
            <w:vMerge/>
          </w:tcPr>
          <w:p w14:paraId="2AFF5A4B" w14:textId="77777777" w:rsidR="00966BBE" w:rsidRPr="00730D74" w:rsidRDefault="00966BBE" w:rsidP="00BF2D0F">
            <w:pPr>
              <w:jc w:val="center"/>
              <w:rPr>
                <w:sz w:val="18"/>
                <w:szCs w:val="18"/>
                <w:lang w:val="en-US"/>
              </w:rPr>
            </w:pPr>
          </w:p>
        </w:tc>
        <w:tc>
          <w:tcPr>
            <w:tcW w:w="787" w:type="pct"/>
          </w:tcPr>
          <w:p w14:paraId="2137ACFD" w14:textId="77777777" w:rsidR="00966BBE" w:rsidRPr="00730D74" w:rsidRDefault="00966BBE" w:rsidP="00BF2D0F">
            <w:pPr>
              <w:jc w:val="center"/>
              <w:rPr>
                <w:sz w:val="18"/>
                <w:szCs w:val="18"/>
                <w:lang w:val="en-US"/>
              </w:rPr>
            </w:pPr>
            <w:r w:rsidRPr="00730D74">
              <w:rPr>
                <w:sz w:val="18"/>
                <w:szCs w:val="18"/>
                <w:lang w:val="en-US"/>
              </w:rPr>
              <w:t>0.641</w:t>
            </w:r>
          </w:p>
        </w:tc>
        <w:tc>
          <w:tcPr>
            <w:tcW w:w="923" w:type="pct"/>
          </w:tcPr>
          <w:p w14:paraId="6FF43329" w14:textId="77777777" w:rsidR="00966BBE" w:rsidRPr="00730D74" w:rsidRDefault="00966BBE" w:rsidP="00BF2D0F">
            <w:pPr>
              <w:jc w:val="center"/>
              <w:rPr>
                <w:sz w:val="18"/>
                <w:szCs w:val="18"/>
                <w:lang w:val="en-US"/>
              </w:rPr>
            </w:pPr>
            <w:r w:rsidRPr="00730D74">
              <w:rPr>
                <w:sz w:val="18"/>
                <w:szCs w:val="18"/>
                <w:lang w:val="en-US"/>
              </w:rPr>
              <w:t>0.87</w:t>
            </w:r>
          </w:p>
        </w:tc>
        <w:tc>
          <w:tcPr>
            <w:tcW w:w="922" w:type="pct"/>
          </w:tcPr>
          <w:p w14:paraId="065B9027" w14:textId="77777777" w:rsidR="00966BBE" w:rsidRPr="00730D74" w:rsidRDefault="00966BBE" w:rsidP="00BF2D0F">
            <w:pPr>
              <w:jc w:val="center"/>
              <w:rPr>
                <w:sz w:val="18"/>
                <w:szCs w:val="18"/>
                <w:lang w:val="en-US"/>
              </w:rPr>
            </w:pPr>
            <w:r w:rsidRPr="00730D74">
              <w:rPr>
                <w:sz w:val="18"/>
                <w:szCs w:val="18"/>
                <w:lang w:val="en-US"/>
              </w:rPr>
              <w:t>0.53</w:t>
            </w:r>
          </w:p>
        </w:tc>
      </w:tr>
      <w:tr w:rsidR="00966BBE" w:rsidRPr="00ED7551" w14:paraId="43ED7C83" w14:textId="77777777" w:rsidTr="00B02182">
        <w:trPr>
          <w:trHeight w:val="152"/>
        </w:trPr>
        <w:tc>
          <w:tcPr>
            <w:tcW w:w="2077" w:type="pct"/>
          </w:tcPr>
          <w:p w14:paraId="38F19807" w14:textId="77777777" w:rsidR="00966BBE" w:rsidRPr="00730D74" w:rsidRDefault="00966BBE" w:rsidP="00BF2D0F">
            <w:pPr>
              <w:rPr>
                <w:sz w:val="18"/>
                <w:szCs w:val="18"/>
                <w:lang w:val="en-US"/>
              </w:rPr>
            </w:pPr>
            <w:r w:rsidRPr="00730D74">
              <w:rPr>
                <w:sz w:val="18"/>
                <w:szCs w:val="18"/>
                <w:lang w:val="en-US"/>
              </w:rPr>
              <w:t>CD14</w:t>
            </w:r>
          </w:p>
        </w:tc>
        <w:tc>
          <w:tcPr>
            <w:tcW w:w="290" w:type="pct"/>
            <w:vMerge/>
          </w:tcPr>
          <w:p w14:paraId="2762183E" w14:textId="77777777" w:rsidR="00966BBE" w:rsidRPr="00730D74" w:rsidRDefault="00966BBE" w:rsidP="00BF2D0F">
            <w:pPr>
              <w:jc w:val="center"/>
              <w:rPr>
                <w:sz w:val="18"/>
                <w:szCs w:val="18"/>
                <w:lang w:val="en-US"/>
              </w:rPr>
            </w:pPr>
          </w:p>
        </w:tc>
        <w:tc>
          <w:tcPr>
            <w:tcW w:w="787" w:type="pct"/>
          </w:tcPr>
          <w:p w14:paraId="7948C8E1" w14:textId="77777777" w:rsidR="00966BBE" w:rsidRPr="00730D74" w:rsidRDefault="00966BBE" w:rsidP="00BF2D0F">
            <w:pPr>
              <w:jc w:val="center"/>
              <w:rPr>
                <w:sz w:val="18"/>
                <w:szCs w:val="18"/>
                <w:lang w:val="en-US"/>
              </w:rPr>
            </w:pPr>
            <w:r w:rsidRPr="00730D74">
              <w:rPr>
                <w:sz w:val="18"/>
                <w:szCs w:val="18"/>
                <w:lang w:val="en-US"/>
              </w:rPr>
              <w:t>0.730</w:t>
            </w:r>
          </w:p>
        </w:tc>
        <w:tc>
          <w:tcPr>
            <w:tcW w:w="923" w:type="pct"/>
          </w:tcPr>
          <w:p w14:paraId="784F4F14" w14:textId="77777777" w:rsidR="00966BBE" w:rsidRPr="00730D74" w:rsidRDefault="00966BBE" w:rsidP="00BF2D0F">
            <w:pPr>
              <w:jc w:val="center"/>
              <w:rPr>
                <w:sz w:val="18"/>
                <w:szCs w:val="18"/>
                <w:lang w:val="en-US"/>
              </w:rPr>
            </w:pPr>
            <w:r w:rsidRPr="00730D74">
              <w:rPr>
                <w:sz w:val="18"/>
                <w:szCs w:val="18"/>
                <w:lang w:val="en-US"/>
              </w:rPr>
              <w:t>0.80</w:t>
            </w:r>
          </w:p>
        </w:tc>
        <w:tc>
          <w:tcPr>
            <w:tcW w:w="922" w:type="pct"/>
          </w:tcPr>
          <w:p w14:paraId="1599AF79" w14:textId="77777777" w:rsidR="00966BBE" w:rsidRPr="00730D74" w:rsidRDefault="00966BBE" w:rsidP="00BF2D0F">
            <w:pPr>
              <w:jc w:val="center"/>
              <w:rPr>
                <w:sz w:val="18"/>
                <w:szCs w:val="18"/>
                <w:lang w:val="en-US"/>
              </w:rPr>
            </w:pPr>
            <w:r w:rsidRPr="00730D74">
              <w:rPr>
                <w:sz w:val="18"/>
                <w:szCs w:val="18"/>
                <w:lang w:val="en-US"/>
              </w:rPr>
              <w:t>0.73</w:t>
            </w:r>
          </w:p>
        </w:tc>
      </w:tr>
      <w:tr w:rsidR="00966BBE" w:rsidRPr="00ED7551" w14:paraId="4240947B" w14:textId="77777777" w:rsidTr="00B02182">
        <w:trPr>
          <w:trHeight w:val="242"/>
        </w:trPr>
        <w:tc>
          <w:tcPr>
            <w:tcW w:w="2077" w:type="pct"/>
          </w:tcPr>
          <w:p w14:paraId="08CE9957" w14:textId="77777777" w:rsidR="00966BBE" w:rsidRPr="00730D74" w:rsidRDefault="00966BBE" w:rsidP="00BF2D0F">
            <w:pPr>
              <w:rPr>
                <w:sz w:val="18"/>
                <w:szCs w:val="18"/>
                <w:lang w:val="en-US"/>
              </w:rPr>
            </w:pPr>
            <w:r w:rsidRPr="00730D74">
              <w:rPr>
                <w:sz w:val="18"/>
                <w:szCs w:val="18"/>
                <w:lang w:val="en-US"/>
              </w:rPr>
              <w:t>Compound EV marker (CD42a-CD31-CD14)</w:t>
            </w:r>
          </w:p>
        </w:tc>
        <w:tc>
          <w:tcPr>
            <w:tcW w:w="290" w:type="pct"/>
            <w:vMerge/>
          </w:tcPr>
          <w:p w14:paraId="78DD59B9" w14:textId="77777777" w:rsidR="00966BBE" w:rsidRPr="00730D74" w:rsidRDefault="00966BBE" w:rsidP="00BF2D0F">
            <w:pPr>
              <w:jc w:val="center"/>
              <w:rPr>
                <w:sz w:val="18"/>
                <w:szCs w:val="18"/>
                <w:lang w:val="en-US"/>
              </w:rPr>
            </w:pPr>
          </w:p>
        </w:tc>
        <w:tc>
          <w:tcPr>
            <w:tcW w:w="787" w:type="pct"/>
          </w:tcPr>
          <w:p w14:paraId="5EC7F41C" w14:textId="77777777" w:rsidR="00966BBE" w:rsidRPr="00730D74" w:rsidRDefault="00966BBE" w:rsidP="00BF2D0F">
            <w:pPr>
              <w:jc w:val="center"/>
              <w:rPr>
                <w:sz w:val="18"/>
                <w:szCs w:val="18"/>
                <w:lang w:val="en-US"/>
              </w:rPr>
            </w:pPr>
            <w:r w:rsidRPr="00730D74">
              <w:rPr>
                <w:sz w:val="18"/>
                <w:szCs w:val="18"/>
                <w:lang w:val="en-US"/>
              </w:rPr>
              <w:t>0.851</w:t>
            </w:r>
          </w:p>
        </w:tc>
        <w:tc>
          <w:tcPr>
            <w:tcW w:w="923" w:type="pct"/>
          </w:tcPr>
          <w:p w14:paraId="37ECB136" w14:textId="77777777" w:rsidR="00966BBE" w:rsidRPr="00730D74" w:rsidRDefault="00966BBE" w:rsidP="00BF2D0F">
            <w:pPr>
              <w:jc w:val="center"/>
              <w:rPr>
                <w:sz w:val="18"/>
                <w:szCs w:val="18"/>
                <w:lang w:val="en-US"/>
              </w:rPr>
            </w:pPr>
            <w:r w:rsidRPr="00730D74">
              <w:rPr>
                <w:sz w:val="18"/>
                <w:szCs w:val="18"/>
                <w:lang w:val="en-US"/>
              </w:rPr>
              <w:t>0.93</w:t>
            </w:r>
          </w:p>
        </w:tc>
        <w:tc>
          <w:tcPr>
            <w:tcW w:w="922" w:type="pct"/>
          </w:tcPr>
          <w:p w14:paraId="0E5732B2" w14:textId="77777777" w:rsidR="00966BBE" w:rsidRPr="00730D74" w:rsidRDefault="00966BBE" w:rsidP="00BF2D0F">
            <w:pPr>
              <w:jc w:val="center"/>
              <w:rPr>
                <w:sz w:val="18"/>
                <w:szCs w:val="18"/>
                <w:lang w:val="en-US"/>
              </w:rPr>
            </w:pPr>
            <w:r w:rsidRPr="00730D74">
              <w:rPr>
                <w:sz w:val="18"/>
                <w:szCs w:val="18"/>
                <w:lang w:val="en-US"/>
              </w:rPr>
              <w:t>0.64</w:t>
            </w:r>
          </w:p>
        </w:tc>
      </w:tr>
    </w:tbl>
    <w:p w14:paraId="21AF2BD8" w14:textId="0A38D09B" w:rsidR="00B02182" w:rsidRPr="00730D74" w:rsidRDefault="00B02182" w:rsidP="00B02182">
      <w:pPr>
        <w:jc w:val="both"/>
        <w:rPr>
          <w:i/>
          <w:iCs/>
          <w:sz w:val="18"/>
          <w:szCs w:val="18"/>
          <w:lang w:val="en-US"/>
        </w:rPr>
      </w:pPr>
      <w:r w:rsidRPr="00730D74">
        <w:rPr>
          <w:i/>
          <w:iCs/>
          <w:sz w:val="18"/>
          <w:szCs w:val="18"/>
          <w:lang w:val="en-US"/>
        </w:rPr>
        <w:t>Diagnostic performances of extracellular vesicle (EV) -surface antigens in patients with symptoms suspicious for TIA and subsequently stratified with the PREDISC score (categories: TIA unlikely, n=10; TIA possible-probable, n=15; TIA very likely, n=15) compared to controls (Ctrl, n=20). Ten EV-surface markers were differentially expressed in the entire cohort and were included in the analysis</w:t>
      </w:r>
      <w:r w:rsidRPr="00730D74">
        <w:rPr>
          <w:i/>
          <w:iCs/>
          <w:lang w:val="en-US"/>
        </w:rPr>
        <w:t>.</w:t>
      </w:r>
    </w:p>
    <w:p w14:paraId="374EAC0D" w14:textId="5831CB8B" w:rsidR="00966BBE" w:rsidRPr="00730D74" w:rsidRDefault="00966BBE" w:rsidP="00B02182">
      <w:pPr>
        <w:jc w:val="both"/>
        <w:rPr>
          <w:i/>
          <w:iCs/>
          <w:lang w:val="en-US"/>
        </w:rPr>
      </w:pPr>
      <w:r w:rsidRPr="00730D74">
        <w:rPr>
          <w:i/>
          <w:iCs/>
          <w:lang w:val="en-US"/>
        </w:rPr>
        <w:br/>
      </w:r>
    </w:p>
    <w:p w14:paraId="331D3F24" w14:textId="77777777" w:rsidR="00966BBE" w:rsidRPr="00730D74" w:rsidRDefault="00966BBE" w:rsidP="0066323E">
      <w:pPr>
        <w:rPr>
          <w:rFonts w:eastAsia="Calibri"/>
          <w:lang w:val="en-US"/>
        </w:rPr>
      </w:pPr>
    </w:p>
    <w:p w14:paraId="5A531018" w14:textId="77777777" w:rsidR="00F24916" w:rsidRDefault="00F24916" w:rsidP="0066323E">
      <w:pPr>
        <w:rPr>
          <w:rFonts w:eastAsia="Calibri"/>
        </w:rPr>
      </w:pPr>
    </w:p>
    <w:p w14:paraId="62329EDD" w14:textId="77777777" w:rsidR="00B07E2B" w:rsidRDefault="00B07E2B" w:rsidP="0066323E">
      <w:pPr>
        <w:rPr>
          <w:rFonts w:eastAsia="Calibri"/>
        </w:rPr>
      </w:pPr>
    </w:p>
    <w:p w14:paraId="2BFAF521" w14:textId="77777777" w:rsidR="00B07E2B" w:rsidRDefault="00B07E2B" w:rsidP="0066323E">
      <w:pPr>
        <w:rPr>
          <w:rFonts w:eastAsia="Calibri"/>
        </w:rPr>
      </w:pPr>
    </w:p>
    <w:p w14:paraId="2C9CEA9D" w14:textId="77777777" w:rsidR="00B07E2B" w:rsidRDefault="00B07E2B" w:rsidP="0066323E">
      <w:pPr>
        <w:rPr>
          <w:rFonts w:eastAsia="Calibri"/>
        </w:rPr>
      </w:pPr>
    </w:p>
    <w:p w14:paraId="52CEE63A" w14:textId="77777777" w:rsidR="00B07E2B" w:rsidRDefault="00B07E2B" w:rsidP="0066323E">
      <w:pPr>
        <w:rPr>
          <w:rFonts w:eastAsia="Calibri"/>
        </w:rPr>
      </w:pPr>
    </w:p>
    <w:p w14:paraId="0648EB95" w14:textId="77777777" w:rsidR="00B07E2B" w:rsidRDefault="00B07E2B" w:rsidP="0066323E">
      <w:pPr>
        <w:rPr>
          <w:rFonts w:eastAsia="Calibri"/>
        </w:rPr>
      </w:pPr>
    </w:p>
    <w:p w14:paraId="44847006" w14:textId="77777777" w:rsidR="00B07E2B" w:rsidRDefault="00B07E2B" w:rsidP="0066323E">
      <w:pPr>
        <w:rPr>
          <w:rFonts w:eastAsia="Calibri"/>
        </w:rPr>
      </w:pPr>
    </w:p>
    <w:p w14:paraId="1A97743E" w14:textId="77777777" w:rsidR="00B07E2B" w:rsidRDefault="00B07E2B" w:rsidP="0066323E">
      <w:pPr>
        <w:rPr>
          <w:rFonts w:eastAsia="Calibri"/>
        </w:rPr>
      </w:pPr>
    </w:p>
    <w:p w14:paraId="768AE64B" w14:textId="77777777" w:rsidR="00B07E2B" w:rsidRDefault="00B07E2B" w:rsidP="0066323E">
      <w:pPr>
        <w:rPr>
          <w:rFonts w:eastAsia="Calibri"/>
        </w:rPr>
      </w:pPr>
    </w:p>
    <w:p w14:paraId="44837059" w14:textId="77777777" w:rsidR="00B07E2B" w:rsidRDefault="00B07E2B" w:rsidP="0066323E">
      <w:pPr>
        <w:rPr>
          <w:rFonts w:eastAsia="Calibri"/>
        </w:rPr>
      </w:pPr>
    </w:p>
    <w:p w14:paraId="3E48CABF" w14:textId="77777777" w:rsidR="00B07E2B" w:rsidRDefault="00B07E2B" w:rsidP="0066323E">
      <w:pPr>
        <w:rPr>
          <w:rFonts w:eastAsia="Calibri"/>
        </w:rPr>
      </w:pPr>
    </w:p>
    <w:p w14:paraId="7D33E862" w14:textId="77777777" w:rsidR="00B07E2B" w:rsidRDefault="00B07E2B" w:rsidP="0066323E">
      <w:pPr>
        <w:rPr>
          <w:rFonts w:eastAsia="Calibri"/>
        </w:rPr>
      </w:pPr>
    </w:p>
    <w:p w14:paraId="45468DBA" w14:textId="77777777" w:rsidR="00B07E2B" w:rsidRDefault="00B07E2B" w:rsidP="0066323E">
      <w:pPr>
        <w:rPr>
          <w:rFonts w:eastAsia="Calibri"/>
        </w:rPr>
      </w:pPr>
    </w:p>
    <w:p w14:paraId="2F26B6FC" w14:textId="77777777" w:rsidR="00B07E2B" w:rsidRDefault="00B07E2B" w:rsidP="0066323E">
      <w:pPr>
        <w:rPr>
          <w:rFonts w:eastAsia="Calibri"/>
        </w:rPr>
      </w:pPr>
    </w:p>
    <w:p w14:paraId="62DA7EC8" w14:textId="77777777" w:rsidR="00B07E2B" w:rsidRDefault="00B07E2B" w:rsidP="0066323E">
      <w:pPr>
        <w:rPr>
          <w:rFonts w:eastAsia="Calibri"/>
        </w:rPr>
      </w:pPr>
    </w:p>
    <w:p w14:paraId="47C85FA1" w14:textId="77777777" w:rsidR="00B07E2B" w:rsidRDefault="00B07E2B" w:rsidP="0066323E">
      <w:pPr>
        <w:rPr>
          <w:rFonts w:eastAsia="Calibri"/>
        </w:rPr>
      </w:pPr>
    </w:p>
    <w:p w14:paraId="21E5BC7F" w14:textId="77777777" w:rsidR="00B07E2B" w:rsidRDefault="00B07E2B" w:rsidP="0066323E">
      <w:pPr>
        <w:rPr>
          <w:rFonts w:eastAsia="Calibri"/>
        </w:rPr>
      </w:pPr>
    </w:p>
    <w:p w14:paraId="2D3A2E6D" w14:textId="77777777" w:rsidR="00B07E2B" w:rsidRDefault="00B07E2B" w:rsidP="0066323E">
      <w:pPr>
        <w:rPr>
          <w:rFonts w:eastAsia="Calibri"/>
        </w:rPr>
      </w:pPr>
    </w:p>
    <w:p w14:paraId="10C91D36" w14:textId="77777777" w:rsidR="00B07E2B" w:rsidRDefault="00B07E2B" w:rsidP="0066323E">
      <w:pPr>
        <w:rPr>
          <w:rFonts w:eastAsia="Calibri"/>
        </w:rPr>
      </w:pPr>
    </w:p>
    <w:p w14:paraId="51FCFACE" w14:textId="77777777" w:rsidR="00B07E2B" w:rsidRDefault="00B07E2B" w:rsidP="0066323E">
      <w:pPr>
        <w:rPr>
          <w:rFonts w:eastAsia="Calibri"/>
        </w:rPr>
      </w:pPr>
    </w:p>
    <w:p w14:paraId="23458C9B" w14:textId="77777777" w:rsidR="00B07E2B" w:rsidRDefault="00B07E2B" w:rsidP="0066323E">
      <w:pPr>
        <w:rPr>
          <w:rFonts w:eastAsia="Calibri"/>
        </w:rPr>
      </w:pPr>
    </w:p>
    <w:p w14:paraId="4CEC5834" w14:textId="77777777" w:rsidR="00B07E2B" w:rsidRDefault="00B07E2B" w:rsidP="0066323E">
      <w:pPr>
        <w:rPr>
          <w:rFonts w:eastAsia="Calibri"/>
        </w:rPr>
      </w:pPr>
    </w:p>
    <w:p w14:paraId="0F63A2C3" w14:textId="77777777" w:rsidR="00B07E2B" w:rsidRDefault="00B07E2B" w:rsidP="0066323E">
      <w:pPr>
        <w:rPr>
          <w:rFonts w:eastAsia="Calibri"/>
        </w:rPr>
      </w:pPr>
    </w:p>
    <w:p w14:paraId="327AF6C2" w14:textId="77777777" w:rsidR="00B07E2B" w:rsidRDefault="00B07E2B" w:rsidP="0066323E">
      <w:pPr>
        <w:rPr>
          <w:rFonts w:eastAsia="Calibri"/>
        </w:rPr>
      </w:pPr>
    </w:p>
    <w:p w14:paraId="229C841B" w14:textId="77777777" w:rsidR="00B07E2B" w:rsidRDefault="00B07E2B" w:rsidP="0066323E">
      <w:pPr>
        <w:rPr>
          <w:rFonts w:eastAsia="Calibri"/>
        </w:rPr>
      </w:pPr>
    </w:p>
    <w:p w14:paraId="2500F09F" w14:textId="77777777" w:rsidR="00B07E2B" w:rsidRDefault="00B07E2B" w:rsidP="0066323E">
      <w:pPr>
        <w:rPr>
          <w:rFonts w:eastAsia="Calibri"/>
        </w:rPr>
      </w:pPr>
    </w:p>
    <w:p w14:paraId="01B686C9" w14:textId="77777777" w:rsidR="00B07E2B" w:rsidRDefault="00B07E2B" w:rsidP="0066323E">
      <w:pPr>
        <w:rPr>
          <w:rFonts w:eastAsia="Calibri"/>
        </w:rPr>
      </w:pPr>
    </w:p>
    <w:p w14:paraId="6632FF9A" w14:textId="77777777" w:rsidR="00B07E2B" w:rsidRPr="00B07E2B" w:rsidRDefault="00B07E2B" w:rsidP="0066323E">
      <w:pPr>
        <w:rPr>
          <w:rFonts w:eastAsia="Calibri"/>
        </w:rPr>
      </w:pPr>
    </w:p>
    <w:p w14:paraId="6E5DD0A5" w14:textId="77777777" w:rsidR="0066323E" w:rsidRPr="00730D74" w:rsidRDefault="0066323E" w:rsidP="0066323E">
      <w:pPr>
        <w:rPr>
          <w:rFonts w:eastAsia="Calibri"/>
          <w:lang w:val="en-US"/>
        </w:rPr>
      </w:pPr>
    </w:p>
    <w:p w14:paraId="66D3172D" w14:textId="305A13BA" w:rsidR="003B436B" w:rsidRPr="00730D74" w:rsidRDefault="003B436B" w:rsidP="009040AF">
      <w:pPr>
        <w:keepNext/>
        <w:spacing w:line="360" w:lineRule="auto"/>
        <w:outlineLvl w:val="0"/>
        <w:rPr>
          <w:b/>
          <w:bCs/>
          <w:kern w:val="32"/>
          <w:sz w:val="32"/>
          <w:szCs w:val="32"/>
          <w:lang w:val="en-US" w:eastAsia="en-US"/>
        </w:rPr>
      </w:pPr>
      <w:bookmarkStart w:id="166" w:name="_Toc199787423"/>
      <w:bookmarkStart w:id="167" w:name="_Toc199946494"/>
      <w:r w:rsidRPr="00A831E7">
        <w:rPr>
          <w:b/>
          <w:bCs/>
          <w:kern w:val="32"/>
          <w:sz w:val="32"/>
          <w:szCs w:val="32"/>
          <w:lang w:eastAsia="en-US"/>
        </w:rPr>
        <w:lastRenderedPageBreak/>
        <w:t>Βιβλιογραφία</w:t>
      </w:r>
      <w:bookmarkEnd w:id="30"/>
      <w:bookmarkEnd w:id="166"/>
      <w:bookmarkEnd w:id="167"/>
    </w:p>
    <w:bookmarkStart w:id="168" w:name="_Hlk199146641"/>
    <w:p w14:paraId="1C291DC4" w14:textId="77777777" w:rsidR="00306BD8" w:rsidRDefault="003B436B" w:rsidP="00306BD8">
      <w:pPr>
        <w:pStyle w:val="ae"/>
      </w:pPr>
      <w:r w:rsidRPr="00A831E7">
        <w:fldChar w:fldCharType="begin"/>
      </w:r>
      <w:r w:rsidR="00306BD8">
        <w:rPr>
          <w:lang w:val="en-US"/>
        </w:rPr>
        <w:instrText xml:space="preserve"> ADDIN ZOTERO_BIBL {"uncited":[],"omitted":[],"custom":[]} CSL_BIBLIOGRAPHY </w:instrText>
      </w:r>
      <w:r w:rsidRPr="00A831E7">
        <w:fldChar w:fldCharType="separate"/>
      </w:r>
      <w:r w:rsidR="00306BD8">
        <w:t>[1]</w:t>
      </w:r>
      <w:r w:rsidR="00306BD8">
        <w:tab/>
        <w:t xml:space="preserve">V. L. Feigin </w:t>
      </w:r>
      <w:r w:rsidR="00306BD8">
        <w:rPr>
          <w:i/>
          <w:iCs/>
        </w:rPr>
        <w:t>et al.</w:t>
      </w:r>
      <w:r w:rsidR="00306BD8">
        <w:t xml:space="preserve">, “Global, regional, and national burden of stroke and its risk factors, 1990–2019: a systematic analysis for the Global Burden of Disease Study 2019,” </w:t>
      </w:r>
      <w:r w:rsidR="00306BD8">
        <w:rPr>
          <w:i/>
          <w:iCs/>
        </w:rPr>
        <w:t>Lancet Neurol.</w:t>
      </w:r>
      <w:r w:rsidR="00306BD8">
        <w:t>, vol. 20, no. 10, pp. 795–820, Oct. 2021, doi: 10.1016/S1474-4422(21)00252-0.</w:t>
      </w:r>
    </w:p>
    <w:p w14:paraId="7067A365" w14:textId="77777777" w:rsidR="00306BD8" w:rsidRDefault="00306BD8" w:rsidP="00306BD8">
      <w:pPr>
        <w:pStyle w:val="ae"/>
      </w:pPr>
      <w:r>
        <w:t>[2]</w:t>
      </w:r>
      <w:r>
        <w:tab/>
        <w:t xml:space="preserve">K. Hochrainer and W. Yang, “Stroke Proteomics: From Discovery to Diagnostic and Therapeutic Applications,” </w:t>
      </w:r>
      <w:r>
        <w:rPr>
          <w:i/>
          <w:iCs/>
        </w:rPr>
        <w:t>Circ. Res.</w:t>
      </w:r>
      <w:r>
        <w:t>, vol. 130, no. 8, p. 1145, Apr. 2022, doi: 10.1161/CIRCRESAHA.122.320110.</w:t>
      </w:r>
    </w:p>
    <w:p w14:paraId="52F44690" w14:textId="77777777" w:rsidR="00306BD8" w:rsidRDefault="00306BD8" w:rsidP="00306BD8">
      <w:pPr>
        <w:pStyle w:val="ae"/>
      </w:pPr>
      <w:r>
        <w:t>[3]</w:t>
      </w:r>
      <w:r>
        <w:tab/>
        <w:t xml:space="preserve">L. B. Goldstein </w:t>
      </w:r>
      <w:r>
        <w:rPr>
          <w:i/>
          <w:iCs/>
        </w:rPr>
        <w:t>et al.</w:t>
      </w:r>
      <w:r>
        <w:t xml:space="preserve">, “Primary prevention of ischemic stroke: a guideline from the American Heart Association/American Stroke Association Stroke Council: cosponsored by the Atherosclerotic Peripheral Vascular Disease Interdisciplinary Working Group; Cardiovascular Nursing Council; Clinical Cardiology Council; Nutrition, Physical Activity, and Metabolism Council; and the Quality of Care and Outcomes Research Interdisciplinary Working Group: the American Academy of Neurology affirms the value of this guideline,” </w:t>
      </w:r>
      <w:r>
        <w:rPr>
          <w:i/>
          <w:iCs/>
        </w:rPr>
        <w:t>Stroke</w:t>
      </w:r>
      <w:r>
        <w:t>, vol. 37, no. 6, pp. 1583–1633, Jun. 2006, doi: 10.1161/01.STR.0000223048.70103.F1.</w:t>
      </w:r>
    </w:p>
    <w:p w14:paraId="0043D94F" w14:textId="77777777" w:rsidR="00306BD8" w:rsidRDefault="00306BD8" w:rsidP="00306BD8">
      <w:pPr>
        <w:pStyle w:val="ae"/>
      </w:pPr>
      <w:r>
        <w:t>[4]</w:t>
      </w:r>
      <w:r>
        <w:tab/>
        <w:t xml:space="preserve">E. C. Lee </w:t>
      </w:r>
      <w:r>
        <w:rPr>
          <w:i/>
          <w:iCs/>
        </w:rPr>
        <w:t>et al.</w:t>
      </w:r>
      <w:r>
        <w:t xml:space="preserve">, “Utility of Exosomes in Ischemic and Hemorrhagic Stroke Diagnosis and Treatment,” </w:t>
      </w:r>
      <w:r>
        <w:rPr>
          <w:i/>
          <w:iCs/>
        </w:rPr>
        <w:t>Int. J. Mol. Sci.</w:t>
      </w:r>
      <w:r>
        <w:t>, vol. 23, no. 15, p. 8367, Jul. 2022, doi: 10.3390/ijms23158367.</w:t>
      </w:r>
    </w:p>
    <w:p w14:paraId="45F45AC1" w14:textId="77777777" w:rsidR="00306BD8" w:rsidRDefault="00306BD8" w:rsidP="00306BD8">
      <w:pPr>
        <w:pStyle w:val="ae"/>
      </w:pPr>
      <w:r>
        <w:t>[5]</w:t>
      </w:r>
      <w:r>
        <w:tab/>
        <w:t xml:space="preserve">T. G. Jovin </w:t>
      </w:r>
      <w:r>
        <w:rPr>
          <w:i/>
          <w:iCs/>
        </w:rPr>
        <w:t>et al.</w:t>
      </w:r>
      <w:r>
        <w:t xml:space="preserve">, “Thrombectomy within 8 Hours after Symptom Onset in Ischemic Stroke,” </w:t>
      </w:r>
      <w:r>
        <w:rPr>
          <w:i/>
          <w:iCs/>
        </w:rPr>
        <w:t>N. Engl. J. Med.</w:t>
      </w:r>
      <w:r>
        <w:t>, vol. 372, no. 24, pp. 2296–2306, Jun. 2015, doi: 10.1056/NEJMoa1503780.</w:t>
      </w:r>
    </w:p>
    <w:p w14:paraId="4A4A7AA7" w14:textId="77777777" w:rsidR="00306BD8" w:rsidRDefault="00306BD8" w:rsidP="00306BD8">
      <w:pPr>
        <w:pStyle w:val="ae"/>
      </w:pPr>
      <w:r>
        <w:t>[6]</w:t>
      </w:r>
      <w:r>
        <w:tab/>
        <w:t xml:space="preserve">S. Paolucci </w:t>
      </w:r>
      <w:r>
        <w:rPr>
          <w:i/>
          <w:iCs/>
        </w:rPr>
        <w:t>et al.</w:t>
      </w:r>
      <w:r>
        <w:t xml:space="preserve">, “Functional Outcome of Ischemic and Hemorrhagic Stroke Patients After Inpatient Rehabilitation,” </w:t>
      </w:r>
      <w:r>
        <w:rPr>
          <w:i/>
          <w:iCs/>
        </w:rPr>
        <w:t>Stroke</w:t>
      </w:r>
      <w:r>
        <w:t>, vol. 34, no. 12, pp. 2861–2865, Dec. 2003, doi: 10.1161/01.STR.0000102902.39759.D3.</w:t>
      </w:r>
    </w:p>
    <w:p w14:paraId="2650270B" w14:textId="77777777" w:rsidR="00306BD8" w:rsidRDefault="00306BD8" w:rsidP="00306BD8">
      <w:pPr>
        <w:pStyle w:val="ae"/>
      </w:pPr>
      <w:r>
        <w:t>[7]</w:t>
      </w:r>
      <w:r>
        <w:tab/>
        <w:t xml:space="preserve">B. Sun and Z. Wang, “A Short Review on Advances in Early Diagnosis and Treatment of Ischemic Stroke,” </w:t>
      </w:r>
      <w:r>
        <w:rPr>
          <w:i/>
          <w:iCs/>
        </w:rPr>
        <w:t>Galen Med. J.</w:t>
      </w:r>
      <w:r>
        <w:t>, vol. 12, p. 1, Aug. 2023, doi: 10.31661/gmj.v12i0.2993.</w:t>
      </w:r>
    </w:p>
    <w:p w14:paraId="6BF6AAAF" w14:textId="77777777" w:rsidR="00306BD8" w:rsidRDefault="00306BD8" w:rsidP="00306BD8">
      <w:pPr>
        <w:pStyle w:val="ae"/>
      </w:pPr>
      <w:r>
        <w:t>[8]</w:t>
      </w:r>
      <w:r>
        <w:tab/>
        <w:t xml:space="preserve">H. Jalo </w:t>
      </w:r>
      <w:r>
        <w:rPr>
          <w:i/>
          <w:iCs/>
        </w:rPr>
        <w:t>et al.</w:t>
      </w:r>
      <w:r>
        <w:t xml:space="preserve">, “Early identification and characterisation of stroke to support prehospital decision-making using artificial intelligence: a scoping review protocol,” </w:t>
      </w:r>
      <w:r>
        <w:rPr>
          <w:i/>
          <w:iCs/>
        </w:rPr>
        <w:t>BMJ Open</w:t>
      </w:r>
      <w:r>
        <w:t>, vol. 13, no. 5, p. e069660, May 2023, doi: 10.1136/bmjopen-2022-069660.</w:t>
      </w:r>
    </w:p>
    <w:p w14:paraId="70FEE5AC" w14:textId="3BBF14B6" w:rsidR="00306BD8" w:rsidRDefault="00306BD8" w:rsidP="00306BD8">
      <w:pPr>
        <w:pStyle w:val="ae"/>
      </w:pPr>
      <w:r>
        <w:t>[9]</w:t>
      </w:r>
      <w:r>
        <w:tab/>
      </w:r>
      <w:r w:rsidR="00780547" w:rsidRPr="00780547">
        <w:t>Μαρία Γιαννάκου, “ Αγγειακό Εγκεφαλικό Επεισόδιο: Οι πρώτες ώρες, ” EAEIBE, Τεύχος 11.23 Δεκέμβριος 2001 [Online]. Available: https://anesthesia.gr/download/TOMOS_11/tefhos_23/11.pdf</w:t>
      </w:r>
    </w:p>
    <w:p w14:paraId="7DBDD91D" w14:textId="77777777" w:rsidR="00306BD8" w:rsidRDefault="00306BD8" w:rsidP="00306BD8">
      <w:pPr>
        <w:pStyle w:val="ae"/>
      </w:pPr>
      <w:r>
        <w:t>[10]</w:t>
      </w:r>
      <w:r>
        <w:tab/>
        <w:t xml:space="preserve">M. Y. S. Kalani </w:t>
      </w:r>
      <w:r>
        <w:rPr>
          <w:i/>
          <w:iCs/>
        </w:rPr>
        <w:t>et al.</w:t>
      </w:r>
      <w:r>
        <w:t xml:space="preserve">, “Extracellular microRNAs in blood differentiate between ischaemic and haemorrhagic stroke subtypes,” </w:t>
      </w:r>
      <w:r>
        <w:rPr>
          <w:i/>
          <w:iCs/>
        </w:rPr>
        <w:t>J. Extracell. Vesicles</w:t>
      </w:r>
      <w:r>
        <w:t>, vol. 9, no. 1, Art. no. 1, Jan. 2020, doi: 10.1080/20013078.2020.1713540.</w:t>
      </w:r>
    </w:p>
    <w:p w14:paraId="773F2172" w14:textId="77777777" w:rsidR="00306BD8" w:rsidRDefault="00306BD8" w:rsidP="00306BD8">
      <w:pPr>
        <w:pStyle w:val="ae"/>
      </w:pPr>
      <w:r>
        <w:t>[11]</w:t>
      </w:r>
      <w:r>
        <w:tab/>
        <w:t xml:space="preserve">K. T. Stenz, J. Just, R. A. Blauenfeldt, and K. R. Drasbek, “Extracellular Vesicles in Acute Stroke Diagnostics,” </w:t>
      </w:r>
      <w:r>
        <w:rPr>
          <w:i/>
          <w:iCs/>
        </w:rPr>
        <w:t>Biomedicines</w:t>
      </w:r>
      <w:r>
        <w:t>, vol. 8, no. 8, p. 248, Jul. 2020, doi: 10.3390/biomedicines8080248.</w:t>
      </w:r>
    </w:p>
    <w:p w14:paraId="4BF3129E" w14:textId="77777777" w:rsidR="00306BD8" w:rsidRDefault="00306BD8" w:rsidP="00306BD8">
      <w:pPr>
        <w:pStyle w:val="ae"/>
      </w:pPr>
      <w:r>
        <w:t>[12]</w:t>
      </w:r>
      <w:r>
        <w:tab/>
        <w:t xml:space="preserve">D. Harpaz, E. Eltzov, R. C. S. Seet, R. S. Marks, and A. I. Y. Tok, “Point-of-Care-Testing in Acute Stroke Management: An Unmet Need Ripe for Technological Harvest,” </w:t>
      </w:r>
      <w:r>
        <w:rPr>
          <w:i/>
          <w:iCs/>
        </w:rPr>
        <w:t>Biosensors</w:t>
      </w:r>
      <w:r>
        <w:t>, vol. 7, no. 3, p. 30, Aug. 2017, doi: 10.3390/bios7030030.</w:t>
      </w:r>
    </w:p>
    <w:p w14:paraId="471E0925" w14:textId="77777777" w:rsidR="00306BD8" w:rsidRDefault="00306BD8" w:rsidP="00306BD8">
      <w:pPr>
        <w:pStyle w:val="ae"/>
      </w:pPr>
      <w:r>
        <w:t>[13]</w:t>
      </w:r>
      <w:r>
        <w:tab/>
        <w:t xml:space="preserve">E. S. Donkor, “Stroke in the 21st Century: A Snapshot of the Burden, Epidemiology, and Quality of Life,” </w:t>
      </w:r>
      <w:r>
        <w:rPr>
          <w:i/>
          <w:iCs/>
        </w:rPr>
        <w:t>Stroke Res. Treat.</w:t>
      </w:r>
      <w:r>
        <w:t>, vol. 2018, p. 3238165, 2018, doi: 10.1155/2018/3238165.</w:t>
      </w:r>
    </w:p>
    <w:p w14:paraId="6651B0CC" w14:textId="77777777" w:rsidR="00306BD8" w:rsidRDefault="00306BD8" w:rsidP="00306BD8">
      <w:pPr>
        <w:pStyle w:val="ae"/>
      </w:pPr>
      <w:r>
        <w:lastRenderedPageBreak/>
        <w:t>[14]</w:t>
      </w:r>
      <w:r>
        <w:tab/>
        <w:t xml:space="preserve">P. L. Kolominsky-Rabas, M. Weber, O. Gefeller, B. Neundoerfer, and P. U. Heuschmann, “Epidemiology of Ischemic Stroke Subtypes According to TOAST Criteria,” </w:t>
      </w:r>
      <w:r>
        <w:rPr>
          <w:i/>
          <w:iCs/>
        </w:rPr>
        <w:t>Stroke</w:t>
      </w:r>
      <w:r>
        <w:t>, vol. 32, no. 12, pp. 2735–2740, Dec. 2001, doi: 10.1161/hs1201.100209.</w:t>
      </w:r>
    </w:p>
    <w:p w14:paraId="66F87293" w14:textId="77777777" w:rsidR="00306BD8" w:rsidRDefault="00306BD8" w:rsidP="00306BD8">
      <w:pPr>
        <w:pStyle w:val="ae"/>
      </w:pPr>
      <w:r>
        <w:t>[15]</w:t>
      </w:r>
      <w:r>
        <w:tab/>
        <w:t xml:space="preserve">P. Sedova </w:t>
      </w:r>
      <w:r>
        <w:rPr>
          <w:i/>
          <w:iCs/>
        </w:rPr>
        <w:t>et al.</w:t>
      </w:r>
      <w:r>
        <w:t xml:space="preserve">, “Incidence of Stroke and Ischemic Stroke Subtypes: A Community-Based Study in Brno, Czech Republic,” </w:t>
      </w:r>
      <w:r>
        <w:rPr>
          <w:i/>
          <w:iCs/>
        </w:rPr>
        <w:t>Cerebrovasc. Dis.</w:t>
      </w:r>
      <w:r>
        <w:t>, vol. 50, no. 1, pp. 54–61, Dec. 2020, doi: 10.1159/000512180.</w:t>
      </w:r>
    </w:p>
    <w:p w14:paraId="645063E4" w14:textId="77777777" w:rsidR="00306BD8" w:rsidRDefault="00306BD8" w:rsidP="00306BD8">
      <w:pPr>
        <w:pStyle w:val="ae"/>
      </w:pPr>
      <w:r>
        <w:t>[16]</w:t>
      </w:r>
      <w:r>
        <w:tab/>
        <w:t xml:space="preserve">H. Wijerathne, M. A. Witek, A. E. Baird, and S. A. Soper, “Liquid biopsy markers for stroke diagnosis,” </w:t>
      </w:r>
      <w:r>
        <w:rPr>
          <w:i/>
          <w:iCs/>
        </w:rPr>
        <w:t>Expert Rev. Mol. Diagn.</w:t>
      </w:r>
      <w:r>
        <w:t>, vol. 20, no. 8, p. 771, Jul. 2020, doi: 10.1080/14737159.2020.1777859.</w:t>
      </w:r>
    </w:p>
    <w:p w14:paraId="7B1510A5" w14:textId="77777777" w:rsidR="00306BD8" w:rsidRDefault="00306BD8" w:rsidP="00306BD8">
      <w:pPr>
        <w:pStyle w:val="ae"/>
      </w:pPr>
      <w:r>
        <w:t>[17]</w:t>
      </w:r>
      <w:r>
        <w:tab/>
        <w:t xml:space="preserve">P. Vilela, “Acute stroke differential diagnosis: Stroke mimics,” </w:t>
      </w:r>
      <w:r>
        <w:rPr>
          <w:i/>
          <w:iCs/>
        </w:rPr>
        <w:t>Eur. J. Radiol.</w:t>
      </w:r>
      <w:r>
        <w:t>, vol. 96, pp. 133–144, Nov. 2017, doi: 10.1016/j.ejrad.2017.05.008.</w:t>
      </w:r>
    </w:p>
    <w:p w14:paraId="722C7C94" w14:textId="77777777" w:rsidR="00306BD8" w:rsidRDefault="00306BD8" w:rsidP="00306BD8">
      <w:pPr>
        <w:pStyle w:val="ae"/>
      </w:pPr>
      <w:r>
        <w:t>[18]</w:t>
      </w:r>
      <w:r>
        <w:tab/>
        <w:t xml:space="preserve">N. A. Hilkens, B. Casolla, T. W. Leung, and F.-E. de Leeuw, “Stroke,” </w:t>
      </w:r>
      <w:r>
        <w:rPr>
          <w:i/>
          <w:iCs/>
        </w:rPr>
        <w:t>The Lancet</w:t>
      </w:r>
      <w:r>
        <w:t>, vol. 403, no. 10446, pp. 2820–2836, Jun. 2024, doi: 10.1016/S0140-6736(24)00642-1.</w:t>
      </w:r>
    </w:p>
    <w:p w14:paraId="2FB436AC" w14:textId="77777777" w:rsidR="00306BD8" w:rsidRDefault="00306BD8" w:rsidP="00306BD8">
      <w:pPr>
        <w:pStyle w:val="ae"/>
      </w:pPr>
      <w:r>
        <w:t>[19]</w:t>
      </w:r>
      <w:r>
        <w:tab/>
        <w:t xml:space="preserve">K. j Röhrs and H. Audebert, “Pre-Hospital Stroke Care beyond the MSU,” </w:t>
      </w:r>
      <w:r>
        <w:rPr>
          <w:i/>
          <w:iCs/>
        </w:rPr>
        <w:t>Curr. Neurol. Neurosci. Rep.</w:t>
      </w:r>
      <w:r>
        <w:t>, vol. 24, no. 8, p. 315, Jun. 2024, doi: 10.1007/s11910-024-01351-0.</w:t>
      </w:r>
    </w:p>
    <w:p w14:paraId="2FA23688" w14:textId="77777777" w:rsidR="00306BD8" w:rsidRDefault="00306BD8" w:rsidP="00306BD8">
      <w:pPr>
        <w:pStyle w:val="ae"/>
      </w:pPr>
      <w:r>
        <w:t>[20]</w:t>
      </w:r>
      <w:r>
        <w:tab/>
        <w:t xml:space="preserve">X. Gao, D. Liu, K. Yue, Z. Zhang, X. Jiang, and P. Luo, “Revolutionizing Ischemic Stroke Diagnosis and Treatment: The Promising Role of Neurovascular Unit-Derived Extracellular Vesicles,” </w:t>
      </w:r>
      <w:r>
        <w:rPr>
          <w:i/>
          <w:iCs/>
        </w:rPr>
        <w:t>Biomolecules</w:t>
      </w:r>
      <w:r>
        <w:t>, vol. 14, no. 3, p. 378, Mar. 2024, doi: 10.3390/biom14030378.</w:t>
      </w:r>
    </w:p>
    <w:p w14:paraId="7D12D545" w14:textId="77777777" w:rsidR="00306BD8" w:rsidRDefault="00306BD8" w:rsidP="00306BD8">
      <w:pPr>
        <w:pStyle w:val="ae"/>
      </w:pPr>
      <w:r>
        <w:t>[21]</w:t>
      </w:r>
      <w:r>
        <w:tab/>
        <w:t xml:space="preserve">X. Zhao </w:t>
      </w:r>
      <w:r>
        <w:rPr>
          <w:i/>
          <w:iCs/>
        </w:rPr>
        <w:t>et al.</w:t>
      </w:r>
      <w:r>
        <w:t xml:space="preserve">, “Machine Learning Analysis of MicroRNA Expression Data Reveals Novel Diagnostic Biomarker for Ischemic Stroke,” </w:t>
      </w:r>
      <w:r>
        <w:rPr>
          <w:i/>
          <w:iCs/>
        </w:rPr>
        <w:t>J. Stroke Cerebrovasc. Dis. Off. J. Natl. Stroke Assoc.</w:t>
      </w:r>
      <w:r>
        <w:t>, vol. 30, no. 8, p. 105825, Aug. 2021, doi: 10.1016/j.jstrokecerebrovasdis.2021.105825.</w:t>
      </w:r>
    </w:p>
    <w:p w14:paraId="568CBE69" w14:textId="77777777" w:rsidR="00306BD8" w:rsidRDefault="00306BD8" w:rsidP="00306BD8">
      <w:pPr>
        <w:pStyle w:val="ae"/>
      </w:pPr>
      <w:r>
        <w:t>[22]</w:t>
      </w:r>
      <w:r>
        <w:tab/>
        <w:t xml:space="preserve">G. A. U. R. I. Parvathy </w:t>
      </w:r>
      <w:r>
        <w:rPr>
          <w:i/>
          <w:iCs/>
        </w:rPr>
        <w:t>et al.</w:t>
      </w:r>
      <w:r>
        <w:t xml:space="preserve">, “Emerging artificial intelligence-aided diagnosis and management methods for ischemic strokes and vascular occlusions: A comprehensive review,” </w:t>
      </w:r>
      <w:r>
        <w:rPr>
          <w:i/>
          <w:iCs/>
        </w:rPr>
        <w:t>World Neurosurg. X</w:t>
      </w:r>
      <w:r>
        <w:t>, vol. 22, p. 100303, Apr. 2024, doi: 10.1016/j.wnsx.2024.100303.</w:t>
      </w:r>
    </w:p>
    <w:p w14:paraId="7071B635" w14:textId="77777777" w:rsidR="00306BD8" w:rsidRDefault="00306BD8" w:rsidP="00306BD8">
      <w:pPr>
        <w:pStyle w:val="ae"/>
      </w:pPr>
      <w:r>
        <w:t>[23]</w:t>
      </w:r>
      <w:r>
        <w:tab/>
        <w:t xml:space="preserve">G. Zhu, B. Jiang, L. Tong, Y. Xie, G. Zaharchuk, and M. Wintermark, “Applications of Deep Learning to Neuro-Imaging Techniques,” </w:t>
      </w:r>
      <w:r>
        <w:rPr>
          <w:i/>
          <w:iCs/>
        </w:rPr>
        <w:t>Front. Neurol.</w:t>
      </w:r>
      <w:r>
        <w:t>, vol. 10, Aug. 2019, doi: 10.3389/fneur.2019.00869.</w:t>
      </w:r>
    </w:p>
    <w:p w14:paraId="5567F6F4" w14:textId="77777777" w:rsidR="00306BD8" w:rsidRDefault="00306BD8" w:rsidP="00306BD8">
      <w:pPr>
        <w:pStyle w:val="ae"/>
      </w:pPr>
      <w:r>
        <w:t>[24]</w:t>
      </w:r>
      <w:r>
        <w:tab/>
        <w:t>“Deep Learning in Neuroradiology | American Journal of Neuroradiology.” Accessed: Feb. 05, 2025. [Online]. Available: https://www.ajnr.org/content/39/10/1776</w:t>
      </w:r>
    </w:p>
    <w:p w14:paraId="1079D778" w14:textId="77777777" w:rsidR="00306BD8" w:rsidRDefault="00306BD8" w:rsidP="00306BD8">
      <w:pPr>
        <w:pStyle w:val="ae"/>
      </w:pPr>
      <w:r>
        <w:t>[25]</w:t>
      </w:r>
      <w:r>
        <w:tab/>
        <w:t xml:space="preserve">R. Y. Choi, A. S. Coyner, J. Kalpathy-Cramer, M. F. Chiang, and J. P. Campbell, “Introduction to Machine Learning, Neural Networks, and Deep Learning,” </w:t>
      </w:r>
      <w:r>
        <w:rPr>
          <w:i/>
          <w:iCs/>
        </w:rPr>
        <w:t>Transl. Vis. Sci. Technol.</w:t>
      </w:r>
      <w:r>
        <w:t>, vol. 9, no. 2, p. 14, doi: 10.1167/tvst.9.2.14.</w:t>
      </w:r>
    </w:p>
    <w:p w14:paraId="2D4BCE7E" w14:textId="77777777" w:rsidR="00306BD8" w:rsidRDefault="00306BD8" w:rsidP="00306BD8">
      <w:pPr>
        <w:pStyle w:val="ae"/>
      </w:pPr>
      <w:r>
        <w:t>[26]</w:t>
      </w:r>
      <w:r>
        <w:tab/>
        <w:t xml:space="preserve">V. S. Yedavalli, E. Tong, D. Martin, K. W. Yeom, and N. D. Forkert, “Artificial intelligence in stroke imaging: Current and future perspectives,” </w:t>
      </w:r>
      <w:r>
        <w:rPr>
          <w:i/>
          <w:iCs/>
        </w:rPr>
        <w:t>Clin. Imaging</w:t>
      </w:r>
      <w:r>
        <w:t>, vol. 69, pp. 246–254, Jan. 2021, doi: 10.1016/j.clinimag.2020.09.005.</w:t>
      </w:r>
    </w:p>
    <w:p w14:paraId="503D7E94" w14:textId="77777777" w:rsidR="00306BD8" w:rsidRDefault="00306BD8" w:rsidP="00306BD8">
      <w:pPr>
        <w:pStyle w:val="ae"/>
      </w:pPr>
      <w:r>
        <w:t>[27]</w:t>
      </w:r>
      <w:r>
        <w:tab/>
        <w:t xml:space="preserve">M. Wintermark </w:t>
      </w:r>
      <w:r>
        <w:rPr>
          <w:i/>
          <w:iCs/>
        </w:rPr>
        <w:t>et al.</w:t>
      </w:r>
      <w:r>
        <w:t xml:space="preserve">, “Imaging recommendations for acute stroke and transient ischemic attack patients: A joint statement by the American Society of Neuroradiology, the American College of Radiology, and the Society of NeuroInterventional Surgery,” </w:t>
      </w:r>
      <w:r>
        <w:rPr>
          <w:i/>
          <w:iCs/>
        </w:rPr>
        <w:t>AJNR Am. J. Neuroradiol.</w:t>
      </w:r>
      <w:r>
        <w:t>, vol. 34, no. 11, pp. E117-127, 2013, doi: 10.3174/ajnr.A3690.</w:t>
      </w:r>
    </w:p>
    <w:p w14:paraId="622DE68E" w14:textId="77777777" w:rsidR="00306BD8" w:rsidRDefault="00306BD8" w:rsidP="00306BD8">
      <w:pPr>
        <w:pStyle w:val="ae"/>
      </w:pPr>
      <w:r>
        <w:t>[28]</w:t>
      </w:r>
      <w:r>
        <w:tab/>
        <w:t xml:space="preserve">J. M. Wardlaw, J. Seymour, J. Cairns, S. Keir, S. Lewis, and P. Sandercock, “Immediate Computed Tomography Scanning of Acute Stroke Is Cost-Effective </w:t>
      </w:r>
      <w:r>
        <w:lastRenderedPageBreak/>
        <w:t xml:space="preserve">and Improves Quality of Life,” </w:t>
      </w:r>
      <w:r>
        <w:rPr>
          <w:i/>
          <w:iCs/>
        </w:rPr>
        <w:t>Stroke</w:t>
      </w:r>
      <w:r>
        <w:t>, vol. 35, no. 11, pp. 2477–2483, Nov. 2004, doi: 10.1161/01.STR.0000143453.78005.44.</w:t>
      </w:r>
    </w:p>
    <w:p w14:paraId="15F2B9EB" w14:textId="77777777" w:rsidR="00306BD8" w:rsidRDefault="00306BD8" w:rsidP="00306BD8">
      <w:pPr>
        <w:pStyle w:val="ae"/>
      </w:pPr>
      <w:r>
        <w:t>[29]</w:t>
      </w:r>
      <w:r>
        <w:tab/>
        <w:t xml:space="preserve">M. H. Lev </w:t>
      </w:r>
      <w:r>
        <w:rPr>
          <w:i/>
          <w:iCs/>
        </w:rPr>
        <w:t>et al.</w:t>
      </w:r>
      <w:r>
        <w:t xml:space="preserve">, “Acute Stroke: Improved Nonenhanced CT Detection—Benefits of Soft-Copy Interpretation by Using Variable Window Width and Center Level Settings,” </w:t>
      </w:r>
      <w:r>
        <w:rPr>
          <w:i/>
          <w:iCs/>
        </w:rPr>
        <w:t>Radiology</w:t>
      </w:r>
      <w:r>
        <w:t>, vol. 213, no. 1, pp. 150–155, Oct. 1999, doi: 10.1148/radiology.213.1.r99oc10150.</w:t>
      </w:r>
    </w:p>
    <w:p w14:paraId="1BD3282B" w14:textId="77777777" w:rsidR="00306BD8" w:rsidRDefault="00306BD8" w:rsidP="00306BD8">
      <w:pPr>
        <w:pStyle w:val="ae"/>
      </w:pPr>
      <w:r>
        <w:t>[30]</w:t>
      </w:r>
      <w:r>
        <w:tab/>
        <w:t xml:space="preserve">J. M. Wardlaw and O. Mielke, “Early Signs of Brain Infarction at CT: Observer Reliability and Outcome after Thrombolytic Treatment—Systematic Review,” </w:t>
      </w:r>
      <w:r>
        <w:rPr>
          <w:i/>
          <w:iCs/>
        </w:rPr>
        <w:t>Radiology</w:t>
      </w:r>
      <w:r>
        <w:t>, vol. 235, no. 2, pp. 444–453, May 2005, doi: 10.1148/radiol.2352040262.</w:t>
      </w:r>
    </w:p>
    <w:p w14:paraId="0EB8AB27" w14:textId="77777777" w:rsidR="00306BD8" w:rsidRDefault="00306BD8" w:rsidP="00306BD8">
      <w:pPr>
        <w:pStyle w:val="ae"/>
      </w:pPr>
      <w:r>
        <w:t>[31]</w:t>
      </w:r>
      <w:r>
        <w:tab/>
        <w:t xml:space="preserve">A. Morotti and J. N. Goldstein, “Diagnosis and Management of Acute Intracerebral Hemorrhage,” </w:t>
      </w:r>
      <w:r>
        <w:rPr>
          <w:i/>
          <w:iCs/>
        </w:rPr>
        <w:t>Emerg. Med. Clin. North Am.</w:t>
      </w:r>
      <w:r>
        <w:t>, vol. 34, no. 4, pp. 883–899, Nov. 2016, doi: 10.1016/j.emc.2016.06.010.</w:t>
      </w:r>
    </w:p>
    <w:p w14:paraId="5D8AAD1D" w14:textId="77777777" w:rsidR="00306BD8" w:rsidRDefault="00306BD8" w:rsidP="00306BD8">
      <w:pPr>
        <w:pStyle w:val="ae"/>
      </w:pPr>
      <w:r>
        <w:t>[32]</w:t>
      </w:r>
      <w:r>
        <w:tab/>
        <w:t xml:space="preserve">J. A. Chalela </w:t>
      </w:r>
      <w:r>
        <w:rPr>
          <w:i/>
          <w:iCs/>
        </w:rPr>
        <w:t>et al.</w:t>
      </w:r>
      <w:r>
        <w:t xml:space="preserve">, “Magnetic resonance imaging and computed tomography in emergency assessment of patients with suspected acute stroke: a prospective comparison,” </w:t>
      </w:r>
      <w:r>
        <w:rPr>
          <w:i/>
          <w:iCs/>
        </w:rPr>
        <w:t>Lancet</w:t>
      </w:r>
      <w:r>
        <w:t>, vol. 369, no. 9558, pp. 293–298, Jan. 2007, doi: 10.1016/S0140-6736(07)60151-2.</w:t>
      </w:r>
    </w:p>
    <w:p w14:paraId="2C202959" w14:textId="77777777" w:rsidR="00306BD8" w:rsidRDefault="00306BD8" w:rsidP="00306BD8">
      <w:pPr>
        <w:pStyle w:val="ae"/>
      </w:pPr>
      <w:r>
        <w:t>[33]</w:t>
      </w:r>
      <w:r>
        <w:tab/>
        <w:t xml:space="preserve">S. H. Fung, L. Roccatagliata, R. G. Gonzalez, and P. W. Schaefer, “MR diffusion imaging in ischemic stroke,” </w:t>
      </w:r>
      <w:r>
        <w:rPr>
          <w:i/>
          <w:iCs/>
        </w:rPr>
        <w:t>Neuroimaging Clin. N. Am.</w:t>
      </w:r>
      <w:r>
        <w:t>, vol. 21, no. 2, pp. 345–377, xi, May 2011, doi: 10.1016/j.nic.2011.03.001.</w:t>
      </w:r>
    </w:p>
    <w:p w14:paraId="68DEFFD0" w14:textId="77777777" w:rsidR="00306BD8" w:rsidRDefault="00306BD8" w:rsidP="00306BD8">
      <w:pPr>
        <w:pStyle w:val="ae"/>
      </w:pPr>
      <w:r>
        <w:t>[34]</w:t>
      </w:r>
      <w:r>
        <w:tab/>
        <w:t>“Intracranial vascular stenosis and occlusive disease: evaluation with CT angiography, MR angiography, and digital subtraction angiography - PubMed.” Accessed: May 12, 2025. [Online]. Available: https://pubmed.ncbi.nlm.nih.gov/15891154/</w:t>
      </w:r>
    </w:p>
    <w:p w14:paraId="4E08CF83" w14:textId="77777777" w:rsidR="00306BD8" w:rsidRDefault="00306BD8" w:rsidP="00306BD8">
      <w:pPr>
        <w:pStyle w:val="ae"/>
      </w:pPr>
      <w:r>
        <w:t>[35]</w:t>
      </w:r>
      <w:r>
        <w:tab/>
        <w:t xml:space="preserve">L. M. Prevedello </w:t>
      </w:r>
      <w:r>
        <w:rPr>
          <w:i/>
          <w:iCs/>
        </w:rPr>
        <w:t>et al.</w:t>
      </w:r>
      <w:r>
        <w:t xml:space="preserve">, “Automated Critical Test Findings Identification and Online Notification System Using Artificial Intelligence in Imaging,” </w:t>
      </w:r>
      <w:r>
        <w:rPr>
          <w:i/>
          <w:iCs/>
        </w:rPr>
        <w:t>Radiology</w:t>
      </w:r>
      <w:r>
        <w:t>, Jul. 2017, doi: 10.1148/radiol.2017162664.</w:t>
      </w:r>
    </w:p>
    <w:p w14:paraId="430DC595" w14:textId="77777777" w:rsidR="00306BD8" w:rsidRDefault="00306BD8" w:rsidP="00306BD8">
      <w:pPr>
        <w:pStyle w:val="ae"/>
      </w:pPr>
      <w:r>
        <w:t>[36]</w:t>
      </w:r>
      <w:r>
        <w:tab/>
        <w:t xml:space="preserve">K. H. Jin, M. T. McCann, E. Froustey, and M. Unser, “Deep Convolutional Neural Network for Inverse Problems in Imaging,” </w:t>
      </w:r>
      <w:r>
        <w:rPr>
          <w:i/>
          <w:iCs/>
        </w:rPr>
        <w:t>IEEE Trans. Image Process.</w:t>
      </w:r>
      <w:r>
        <w:t>, vol. 26, no. 9, pp. 4509–4522, Sep. 2017, doi: 10.1109/TIP.2017.2713099.</w:t>
      </w:r>
    </w:p>
    <w:p w14:paraId="0261BBAD" w14:textId="77777777" w:rsidR="00306BD8" w:rsidRDefault="00306BD8" w:rsidP="00306BD8">
      <w:pPr>
        <w:pStyle w:val="ae"/>
      </w:pPr>
      <w:r>
        <w:t>[37]</w:t>
      </w:r>
      <w:r>
        <w:tab/>
        <w:t xml:space="preserve">B. Zhu, J. Z. Liu, S. F. Cauley, B. R. Rosen, and M. S. Rosen, “Image reconstruction by domain-transform manifold learning,” </w:t>
      </w:r>
      <w:r>
        <w:rPr>
          <w:i/>
          <w:iCs/>
        </w:rPr>
        <w:t>Nature</w:t>
      </w:r>
      <w:r>
        <w:t>, vol. 555, no. 7697, pp. 487–492, Mar. 2018, doi: 10.1038/nature25988.</w:t>
      </w:r>
    </w:p>
    <w:p w14:paraId="7A698774" w14:textId="77777777" w:rsidR="00306BD8" w:rsidRDefault="00306BD8" w:rsidP="00306BD8">
      <w:pPr>
        <w:pStyle w:val="ae"/>
      </w:pPr>
      <w:r>
        <w:t>[38]</w:t>
      </w:r>
      <w:r>
        <w:tab/>
        <w:t xml:space="preserve">Y. Han, J. Yoo, H. H. Kim, H. J. Shin, K. Sung, and J. C. Ye, “Deep learning with domain adaptation for accelerated projection-reconstruction MR,” </w:t>
      </w:r>
      <w:r>
        <w:rPr>
          <w:i/>
          <w:iCs/>
        </w:rPr>
        <w:t>Magn. Reson. Med.</w:t>
      </w:r>
      <w:r>
        <w:t>, vol. 80, no. 3, pp. 1189–1205, 2018, doi: 10.1002/mrm.27106.</w:t>
      </w:r>
    </w:p>
    <w:p w14:paraId="3D7E6268" w14:textId="77777777" w:rsidR="00306BD8" w:rsidRDefault="00306BD8" w:rsidP="00306BD8">
      <w:pPr>
        <w:pStyle w:val="ae"/>
      </w:pPr>
      <w:r>
        <w:t>[39]</w:t>
      </w:r>
      <w:r>
        <w:tab/>
        <w:t xml:space="preserve">E. Gong, J. M. Pauly, M. Wintermark, and G. Zaharchuk, “Deep learning enables reduced gadolinium dose for contrast-enhanced brain MRI,” </w:t>
      </w:r>
      <w:r>
        <w:rPr>
          <w:i/>
          <w:iCs/>
        </w:rPr>
        <w:t>J. Magn. Reson. Imaging</w:t>
      </w:r>
      <w:r>
        <w:t>, vol. 48, no. 2, pp. 330–340, 2018, doi: 10.1002/jmri.25970.</w:t>
      </w:r>
    </w:p>
    <w:p w14:paraId="34920487" w14:textId="77777777" w:rsidR="00306BD8" w:rsidRDefault="00306BD8" w:rsidP="00306BD8">
      <w:pPr>
        <w:pStyle w:val="ae"/>
      </w:pPr>
      <w:r>
        <w:t>[40]</w:t>
      </w:r>
      <w:r>
        <w:tab/>
        <w:t xml:space="preserve">H. Chen </w:t>
      </w:r>
      <w:r>
        <w:rPr>
          <w:i/>
          <w:iCs/>
        </w:rPr>
        <w:t>et al.</w:t>
      </w:r>
      <w:r>
        <w:t xml:space="preserve">, “Low-dose CT via convolutional neural network,” </w:t>
      </w:r>
      <w:r>
        <w:rPr>
          <w:i/>
          <w:iCs/>
        </w:rPr>
        <w:t>Biomed. Opt. Express</w:t>
      </w:r>
      <w:r>
        <w:t>, vol. 8, no. 2, pp. 679–694, Feb. 2017, doi: 10.1364/BOE.8.000679.</w:t>
      </w:r>
    </w:p>
    <w:p w14:paraId="60C4733A" w14:textId="77777777" w:rsidR="00306BD8" w:rsidRDefault="00306BD8" w:rsidP="00306BD8">
      <w:pPr>
        <w:pStyle w:val="ae"/>
      </w:pPr>
      <w:r>
        <w:t>[41]</w:t>
      </w:r>
      <w:r>
        <w:tab/>
        <w:t xml:space="preserve">W. Du, H. Chen, Z. Wu, H. Sun, P. Liao, and Y. Zhang, “Stacked competitive networks for noise reduction in low-dose CT,” </w:t>
      </w:r>
      <w:r>
        <w:rPr>
          <w:i/>
          <w:iCs/>
        </w:rPr>
        <w:t>PLOS ONE</w:t>
      </w:r>
      <w:r>
        <w:t>, vol. 12, no. 12, p. e0190069, Dec. 2017, doi: 10.1371/journal.pone.0190069.</w:t>
      </w:r>
    </w:p>
    <w:p w14:paraId="6B855D25" w14:textId="77777777" w:rsidR="00306BD8" w:rsidRDefault="00306BD8" w:rsidP="00306BD8">
      <w:pPr>
        <w:pStyle w:val="ae"/>
      </w:pPr>
      <w:r>
        <w:t>[42]</w:t>
      </w:r>
      <w:r>
        <w:tab/>
        <w:t xml:space="preserve">D. Jiang, W. Dou, L. Vosters, X. Xu, Y. Sun, and T. Tan, “Denoising of 3D magnetic resonance images with multi-channel residual learning of convolutional neural network,” </w:t>
      </w:r>
      <w:r>
        <w:rPr>
          <w:i/>
          <w:iCs/>
        </w:rPr>
        <w:t>Jpn. J. Radiol.</w:t>
      </w:r>
      <w:r>
        <w:t>, vol. 36, no. 9, pp. 566–574, Sep. 2018, doi: 10.1007/s11604-018-0758-8.</w:t>
      </w:r>
    </w:p>
    <w:p w14:paraId="765355EA" w14:textId="77777777" w:rsidR="00306BD8" w:rsidRDefault="00306BD8" w:rsidP="00306BD8">
      <w:pPr>
        <w:pStyle w:val="ae"/>
      </w:pPr>
      <w:r>
        <w:lastRenderedPageBreak/>
        <w:t>[43]</w:t>
      </w:r>
      <w:r>
        <w:tab/>
        <w:t xml:space="preserve">Y. Zhang and H. Yu, “Convolutional Neural Network Based Metal Artifact Reduction in X-Ray Computed Tomography,” </w:t>
      </w:r>
      <w:r>
        <w:rPr>
          <w:i/>
          <w:iCs/>
        </w:rPr>
        <w:t>IEEE Trans. Med. Imaging</w:t>
      </w:r>
      <w:r>
        <w:t>, vol. 37, no. 6, pp. 1370–1381, Jun. 2018, doi: 10.1109/TMI.2018.2823083.</w:t>
      </w:r>
    </w:p>
    <w:p w14:paraId="7613ED69" w14:textId="77777777" w:rsidR="00306BD8" w:rsidRDefault="00306BD8" w:rsidP="00306BD8">
      <w:pPr>
        <w:pStyle w:val="ae"/>
      </w:pPr>
      <w:r>
        <w:t>[44]</w:t>
      </w:r>
      <w:r>
        <w:tab/>
        <w:t xml:space="preserve">K. Pawar, Z. Chen, N. J. Shah, and G. F. Egan, “MoCoNet: Motion Correction in 3D MPRAGE images using a Convolutional Neural Network approach,” </w:t>
      </w:r>
      <w:r>
        <w:rPr>
          <w:i/>
          <w:iCs/>
        </w:rPr>
        <w:t>NMR Biomed.</w:t>
      </w:r>
      <w:r>
        <w:t>, vol. 35, no. 4, p. e4225, Apr. 2022, doi: 10.1002/nbm.4225.</w:t>
      </w:r>
    </w:p>
    <w:p w14:paraId="7587DBA3" w14:textId="77777777" w:rsidR="00306BD8" w:rsidRDefault="00306BD8" w:rsidP="00306BD8">
      <w:pPr>
        <w:pStyle w:val="ae"/>
      </w:pPr>
      <w:r>
        <w:t>[45]</w:t>
      </w:r>
      <w:r>
        <w:tab/>
        <w:t xml:space="preserve">B. A. Duffy </w:t>
      </w:r>
      <w:r>
        <w:rPr>
          <w:i/>
          <w:iCs/>
        </w:rPr>
        <w:t>et al.</w:t>
      </w:r>
      <w:r>
        <w:t>, “Retrospective correction of motion artifact affected structural MRI images using deep learning of simulated motion,” presented at the Medical Imaging with Deep Learning, Jul. 2022. Accessed: May 14, 2025. [Online]. Available: https://openreview.net/forum?id=H1hWfZnjM</w:t>
      </w:r>
    </w:p>
    <w:p w14:paraId="7801FE36" w14:textId="77777777" w:rsidR="00306BD8" w:rsidRDefault="00306BD8" w:rsidP="00306BD8">
      <w:pPr>
        <w:pStyle w:val="ae"/>
      </w:pPr>
      <w:r>
        <w:t>[46]</w:t>
      </w:r>
      <w:r>
        <w:tab/>
        <w:t xml:space="preserve">J. Park, D. Hwang, K. Y. Kim, S. K. Kang, Y. K. Kim, and J. S. Lee, “Computed tomography super-resolution using deep convolutional neural network,” </w:t>
      </w:r>
      <w:r>
        <w:rPr>
          <w:i/>
          <w:iCs/>
        </w:rPr>
        <w:t>Phys. Med. Biol.</w:t>
      </w:r>
      <w:r>
        <w:t>, vol. 63, no. 14, p. 145011, Jul. 2018, doi: 10.1088/1361-6560/aacdd4.</w:t>
      </w:r>
    </w:p>
    <w:p w14:paraId="7F826383" w14:textId="77777777" w:rsidR="00306BD8" w:rsidRDefault="00306BD8" w:rsidP="00306BD8">
      <w:pPr>
        <w:pStyle w:val="ae"/>
      </w:pPr>
      <w:r>
        <w:t>[47]</w:t>
      </w:r>
      <w:r>
        <w:tab/>
        <w:t xml:space="preserve">C. Liu, X. Wu, X. Yu, Y. Tang, J. Zhang, and J. Zhou, “Fusing multi-scale information in convolution network for MR image super-resolution reconstruction,” </w:t>
      </w:r>
      <w:r>
        <w:rPr>
          <w:i/>
          <w:iCs/>
        </w:rPr>
        <w:t>Biomed. Eng. OnLine</w:t>
      </w:r>
      <w:r>
        <w:t>, vol. 17, no. 1, p. 114, Aug. 2018, doi: 10.1186/s12938-018-0546-9.</w:t>
      </w:r>
    </w:p>
    <w:p w14:paraId="48308935" w14:textId="77777777" w:rsidR="00306BD8" w:rsidRDefault="00306BD8" w:rsidP="00306BD8">
      <w:pPr>
        <w:pStyle w:val="ae"/>
      </w:pPr>
      <w:r>
        <w:t>[48]</w:t>
      </w:r>
      <w:r>
        <w:tab/>
        <w:t xml:space="preserve">Y. Chen, Y. Xie, Z. Zhou, F. Shi, A. G. Christodoulou, and D. Li, “Brain MRI super resolution using 3D deep densely connected neural networks,” in </w:t>
      </w:r>
      <w:r>
        <w:rPr>
          <w:i/>
          <w:iCs/>
        </w:rPr>
        <w:t>2018 IEEE 15th International Symposium on Biomedical Imaging (ISBI 2018)</w:t>
      </w:r>
      <w:r>
        <w:t>, Apr. 2018, pp. 739–742. doi: 10.1109/ISBI.2018.8363679.</w:t>
      </w:r>
    </w:p>
    <w:p w14:paraId="090C9065" w14:textId="77777777" w:rsidR="00306BD8" w:rsidRDefault="00306BD8" w:rsidP="00306BD8">
      <w:pPr>
        <w:pStyle w:val="ae"/>
      </w:pPr>
      <w:r>
        <w:t>[49]</w:t>
      </w:r>
      <w:r>
        <w:tab/>
        <w:t xml:space="preserve">K. Bahrami, F. Shi, X. Zong, H. W. Shin, H. An, and D. Shen, “Reconstruction of 7T-Like Images From 3T MRI,” </w:t>
      </w:r>
      <w:r>
        <w:rPr>
          <w:i/>
          <w:iCs/>
        </w:rPr>
        <w:t>IEEE Trans. Med. Imaging</w:t>
      </w:r>
      <w:r>
        <w:t>, vol. 35, no. 9, pp. 2085–2097, Sep. 2016, doi: 10.1109/TMI.2016.2549918.</w:t>
      </w:r>
    </w:p>
    <w:p w14:paraId="420C39E0" w14:textId="77777777" w:rsidR="00306BD8" w:rsidRDefault="00306BD8" w:rsidP="00306BD8">
      <w:pPr>
        <w:pStyle w:val="ae"/>
      </w:pPr>
      <w:r>
        <w:t>[50]</w:t>
      </w:r>
      <w:r>
        <w:tab/>
        <w:t xml:space="preserve">C. Y. Chung </w:t>
      </w:r>
      <w:r>
        <w:rPr>
          <w:i/>
          <w:iCs/>
        </w:rPr>
        <w:t>et al.</w:t>
      </w:r>
      <w:r>
        <w:t xml:space="preserve">, “Abstract WP76: Automated Detection of Hyperdense MCA Sign and Automated Notification of Large Vessel Occlusion Using Artificial Intelligence,” </w:t>
      </w:r>
      <w:r>
        <w:rPr>
          <w:i/>
          <w:iCs/>
        </w:rPr>
        <w:t>Stroke</w:t>
      </w:r>
      <w:r>
        <w:t>, vol. 50, no. Suppl_1, pp. AWP76–AWP76, Feb. 2019, doi: 10.1161/str.50.suppl_1.WP76.</w:t>
      </w:r>
    </w:p>
    <w:p w14:paraId="6A150F47" w14:textId="77777777" w:rsidR="00306BD8" w:rsidRDefault="00306BD8" w:rsidP="00306BD8">
      <w:pPr>
        <w:pStyle w:val="ae"/>
      </w:pPr>
      <w:r>
        <w:t>[51]</w:t>
      </w:r>
      <w:r>
        <w:tab/>
        <w:t xml:space="preserve">H. Kuang </w:t>
      </w:r>
      <w:r>
        <w:rPr>
          <w:i/>
          <w:iCs/>
        </w:rPr>
        <w:t>et al.</w:t>
      </w:r>
      <w:r>
        <w:t xml:space="preserve">, “Automated ASPECTS on Noncontrast CT Scans in Patients with Acute Ischemic Stroke Using Machine Learning,” </w:t>
      </w:r>
      <w:r>
        <w:rPr>
          <w:i/>
          <w:iCs/>
        </w:rPr>
        <w:t>Am. J. Neuroradiol.</w:t>
      </w:r>
      <w:r>
        <w:t>, vol. 40, no. 1, pp. 33–38, Jan. 2019, doi: 10.3174/ajnr.A5889.</w:t>
      </w:r>
    </w:p>
    <w:p w14:paraId="44F80CE1" w14:textId="77777777" w:rsidR="00306BD8" w:rsidRDefault="00306BD8" w:rsidP="00306BD8">
      <w:pPr>
        <w:pStyle w:val="ae"/>
      </w:pPr>
      <w:r>
        <w:t>[52]</w:t>
      </w:r>
      <w:r>
        <w:tab/>
        <w:t>“Abstract WP61: Automated Large Artery Occlusion Detection IN Stroke Imaging - ALADIN Study | Stroke.” Accessed: May 14, 2025. [Online]. Available: https://www.ahajournals.org/doi/10.1161/str.49.suppl_1.WP61</w:t>
      </w:r>
    </w:p>
    <w:p w14:paraId="7B12F7C4" w14:textId="77777777" w:rsidR="00306BD8" w:rsidRDefault="00306BD8" w:rsidP="00306BD8">
      <w:pPr>
        <w:pStyle w:val="ae"/>
      </w:pPr>
      <w:r>
        <w:t>[53]</w:t>
      </w:r>
      <w:r>
        <w:tab/>
        <w:t xml:space="preserve">S. A. Sheth </w:t>
      </w:r>
      <w:r>
        <w:rPr>
          <w:i/>
          <w:iCs/>
        </w:rPr>
        <w:t>et al.</w:t>
      </w:r>
      <w:r>
        <w:t xml:space="preserve">, “Machine Learning–Enabled Automated Determination of Acute Ischemic Core From Computed Tomography Angiography,” </w:t>
      </w:r>
      <w:r>
        <w:rPr>
          <w:i/>
          <w:iCs/>
        </w:rPr>
        <w:t>Stroke</w:t>
      </w:r>
      <w:r>
        <w:t>, vol. 50, no. 11, pp. 3093–3100, Nov. 2019, doi: 10.1161/STROKEAHA.119.026189.</w:t>
      </w:r>
    </w:p>
    <w:p w14:paraId="21B806DA" w14:textId="77777777" w:rsidR="00306BD8" w:rsidRDefault="00306BD8" w:rsidP="00306BD8">
      <w:pPr>
        <w:pStyle w:val="ae"/>
      </w:pPr>
      <w:r>
        <w:t>[54]</w:t>
      </w:r>
      <w:r>
        <w:tab/>
        <w:t xml:space="preserve">S. Huang, Q. Shen, and T. Q. Duong, “Quantitative prediction of acute ischemic tissue fate using support vector machine,” </w:t>
      </w:r>
      <w:r>
        <w:rPr>
          <w:i/>
          <w:iCs/>
        </w:rPr>
        <w:t>Brain Res.</w:t>
      </w:r>
      <w:r>
        <w:t>, vol. 1405, pp. 77–84, Aug. 2011, doi: 10.1016/j.brainres.2011.05.066.</w:t>
      </w:r>
    </w:p>
    <w:p w14:paraId="2BEB9B5C" w14:textId="77777777" w:rsidR="00306BD8" w:rsidRDefault="00306BD8" w:rsidP="00306BD8">
      <w:pPr>
        <w:pStyle w:val="ae"/>
      </w:pPr>
      <w:r>
        <w:t>[55]</w:t>
      </w:r>
      <w:r>
        <w:tab/>
        <w:t xml:space="preserve">O. Maier </w:t>
      </w:r>
      <w:r>
        <w:rPr>
          <w:i/>
          <w:iCs/>
        </w:rPr>
        <w:t>et al.</w:t>
      </w:r>
      <w:r>
        <w:t xml:space="preserve">, “ISLES 2015 - A public evaluation benchmark for ischemic stroke lesion segmentation from multispectral MRI,” </w:t>
      </w:r>
      <w:r>
        <w:rPr>
          <w:i/>
          <w:iCs/>
        </w:rPr>
        <w:t>Med. Image Anal.</w:t>
      </w:r>
      <w:r>
        <w:t>, vol. 35, pp. 250–269, Jan. 2017, doi: 10.1016/j.media.2016.07.009.</w:t>
      </w:r>
    </w:p>
    <w:p w14:paraId="08B3DAD0" w14:textId="77777777" w:rsidR="00306BD8" w:rsidRDefault="00306BD8" w:rsidP="00306BD8">
      <w:pPr>
        <w:pStyle w:val="ae"/>
      </w:pPr>
      <w:r>
        <w:t>[56]</w:t>
      </w:r>
      <w:r>
        <w:tab/>
        <w:t xml:space="preserve">O. Wu </w:t>
      </w:r>
      <w:r>
        <w:rPr>
          <w:i/>
          <w:iCs/>
        </w:rPr>
        <w:t>et al.</w:t>
      </w:r>
      <w:r>
        <w:t xml:space="preserve">, “Predicting Tissue Outcome in Acute Human Cerebral Ischemia Using Combined Diffusion- and Perfusion-Weighted MR Imaging,” </w:t>
      </w:r>
      <w:r>
        <w:rPr>
          <w:i/>
          <w:iCs/>
        </w:rPr>
        <w:t>Stroke</w:t>
      </w:r>
      <w:r>
        <w:t>, vol. 32, no. 4, pp. 933–942, Apr. 2001, doi: 10.1161/01.STR.32.4.933.</w:t>
      </w:r>
    </w:p>
    <w:p w14:paraId="76DE0E7D" w14:textId="77777777" w:rsidR="00306BD8" w:rsidRDefault="00306BD8" w:rsidP="00306BD8">
      <w:pPr>
        <w:pStyle w:val="ae"/>
      </w:pPr>
      <w:r>
        <w:t>[57]</w:t>
      </w:r>
      <w:r>
        <w:tab/>
        <w:t xml:space="preserve">“Prediction of Tissue Outcome and Assessment of Treatment Effect in Acute Ischemic Stroke Using Deep Learning | Stroke.” Accessed: May 14, 2025. </w:t>
      </w:r>
      <w:r>
        <w:lastRenderedPageBreak/>
        <w:t>[Online]. Available: https://www.ahajournals.org/doi/10.1161/STROKEAHA.117.019740</w:t>
      </w:r>
    </w:p>
    <w:p w14:paraId="3FDEC2B4" w14:textId="77777777" w:rsidR="00306BD8" w:rsidRDefault="00306BD8" w:rsidP="00306BD8">
      <w:pPr>
        <w:pStyle w:val="ae"/>
      </w:pPr>
      <w:r>
        <w:t>[58]</w:t>
      </w:r>
      <w:r>
        <w:tab/>
        <w:t>“Multiparametric MRI and CT Models of Infarct Core and Favorable Penumbral Imaging Patterns in Acute Ischemic Stroke | Stroke.” Accessed: May 14, 2025. [Online]. Available: https://www.ahajournals.org/doi/10.1161/STROKEAHA.112.670034</w:t>
      </w:r>
    </w:p>
    <w:p w14:paraId="5FE03F71" w14:textId="77777777" w:rsidR="00306BD8" w:rsidRDefault="00306BD8" w:rsidP="00306BD8">
      <w:pPr>
        <w:pStyle w:val="ae"/>
      </w:pPr>
      <w:r>
        <w:t>[59]</w:t>
      </w:r>
      <w:r>
        <w:tab/>
        <w:t>“Multivariate Dynamic Prediction of Ischemic Infarction and Tissue Salvage as a Function of Time and Degree of Recanalization - André Kemmling, Fabian Flottmann, Nils Daniel Forkert, Jens Minnerup, Walter Heindel, Goetz Thomalla, Bernd Eckert, Michael Knauth, Marios Psychogios, Soenke Langner, Jens Fiehler, 2015.” Accessed: May 14, 2025. [Online]. Available: https://journals.sagepub.com/doi/10.1038/jcbfm.2015.144</w:t>
      </w:r>
    </w:p>
    <w:p w14:paraId="38EEB9E7" w14:textId="77777777" w:rsidR="00306BD8" w:rsidRDefault="00306BD8" w:rsidP="00306BD8">
      <w:pPr>
        <w:pStyle w:val="ae"/>
      </w:pPr>
      <w:r>
        <w:t>[60]</w:t>
      </w:r>
      <w:r>
        <w:tab/>
        <w:t xml:space="preserve">R. Dhar, Y. Chen, H. An, and J.-M. Lee, “Application of Machine Learning to Automated Analysis of Cerebral Edema in Large Cohorts of Ischemic Stroke Patients,” </w:t>
      </w:r>
      <w:r>
        <w:rPr>
          <w:i/>
          <w:iCs/>
        </w:rPr>
        <w:t>Front. Neurol.</w:t>
      </w:r>
      <w:r>
        <w:t>, vol. 9, Aug. 2018, doi: 10.3389/fneur.2018.00687.</w:t>
      </w:r>
    </w:p>
    <w:p w14:paraId="395EA351" w14:textId="77777777" w:rsidR="00306BD8" w:rsidRDefault="00306BD8" w:rsidP="00306BD8">
      <w:pPr>
        <w:pStyle w:val="ae"/>
      </w:pPr>
      <w:r>
        <w:t>[61]</w:t>
      </w:r>
      <w:r>
        <w:tab/>
        <w:t xml:space="preserve">Y. Yu, D. Guo, M. Lou, D. Liebeskind, and F. Scalzo, “Prediction of Hemorrhagic Transformation Severity in Acute Stroke From Source Perfusion MRI,” </w:t>
      </w:r>
      <w:r>
        <w:rPr>
          <w:i/>
          <w:iCs/>
        </w:rPr>
        <w:t>IEEE Trans. Biomed. Eng.</w:t>
      </w:r>
      <w:r>
        <w:t>, vol. 65, no. 9, pp. 2058–2065, Sep. 2018, doi: 10.1109/TBME.2017.2783241.</w:t>
      </w:r>
    </w:p>
    <w:p w14:paraId="7EAC3071" w14:textId="77777777" w:rsidR="00306BD8" w:rsidRDefault="00306BD8" w:rsidP="00306BD8">
      <w:pPr>
        <w:pStyle w:val="ae"/>
      </w:pPr>
      <w:r>
        <w:t>[62]</w:t>
      </w:r>
      <w:r>
        <w:tab/>
        <w:t xml:space="preserve">T.-Y. Tang </w:t>
      </w:r>
      <w:r>
        <w:rPr>
          <w:i/>
          <w:iCs/>
        </w:rPr>
        <w:t>et al.</w:t>
      </w:r>
      <w:r>
        <w:t xml:space="preserve">, “Development and validation of a penumbra-based predictive model for thrombolysis outcome in acute ischemic stroke patients,” </w:t>
      </w:r>
      <w:r>
        <w:rPr>
          <w:i/>
          <w:iCs/>
        </w:rPr>
        <w:t>eBioMedicine</w:t>
      </w:r>
      <w:r>
        <w:t>, vol. 35, pp. 251–259, Sep. 2018, doi: 10.1016/j.ebiom.2018.07.028.</w:t>
      </w:r>
    </w:p>
    <w:p w14:paraId="2ECB4CF9" w14:textId="77777777" w:rsidR="00306BD8" w:rsidRDefault="00306BD8" w:rsidP="00306BD8">
      <w:pPr>
        <w:pStyle w:val="ae"/>
      </w:pPr>
      <w:r>
        <w:t>[63]</w:t>
      </w:r>
      <w:r>
        <w:tab/>
        <w:t xml:space="preserve">A. K. Rehme </w:t>
      </w:r>
      <w:r>
        <w:rPr>
          <w:i/>
          <w:iCs/>
        </w:rPr>
        <w:t>et al.</w:t>
      </w:r>
      <w:r>
        <w:t xml:space="preserve">, “Identifying Neuroimaging Markers of Motor Disability in Acute Stroke by Machine Learning Techniques,” </w:t>
      </w:r>
      <w:r>
        <w:rPr>
          <w:i/>
          <w:iCs/>
        </w:rPr>
        <w:t>Cereb. Cortex</w:t>
      </w:r>
      <w:r>
        <w:t>, vol. 25, no. 9, pp. 3046–3056, Sep. 2015, doi: 10.1093/cercor/bhu100.</w:t>
      </w:r>
    </w:p>
    <w:p w14:paraId="4854B1EA" w14:textId="77777777" w:rsidR="00306BD8" w:rsidRDefault="00306BD8" w:rsidP="00306BD8">
      <w:pPr>
        <w:pStyle w:val="ae"/>
      </w:pPr>
      <w:r>
        <w:t>[64]</w:t>
      </w:r>
      <w:r>
        <w:tab/>
        <w:t xml:space="preserve">D. Harpaz, B. Koh, R. S. Marks, R. C. Seet, I. Abdulhalim, and A. I. Tok, “Point-of-Care Surface Plasmon Resonance Biosensor for Stroke Biomarkers NT-proBNP and S100β Using a Functionalized Gold Chip with Specific Antibody,” </w:t>
      </w:r>
      <w:r>
        <w:rPr>
          <w:i/>
          <w:iCs/>
        </w:rPr>
        <w:t>Sensors</w:t>
      </w:r>
      <w:r>
        <w:t>, vol. 19, no. 11, p. 2533, Jun. 2019, doi: 10.3390/s19112533.</w:t>
      </w:r>
    </w:p>
    <w:p w14:paraId="743A4674" w14:textId="77777777" w:rsidR="00306BD8" w:rsidRDefault="00306BD8" w:rsidP="00306BD8">
      <w:pPr>
        <w:pStyle w:val="ae"/>
      </w:pPr>
      <w:r>
        <w:t>[65]</w:t>
      </w:r>
      <w:r>
        <w:tab/>
        <w:t xml:space="preserve">D. Harpaz, R. C. S. Seet, R. S. Marks, and A. I. Y. Tok, “Blood-Based Biomarkers Are Associated with Different Ischemic Stroke Mechanisms and Enable Rapid Classification between Cardioembolic and Atherosclerosis Etiologies,” </w:t>
      </w:r>
      <w:r>
        <w:rPr>
          <w:i/>
          <w:iCs/>
        </w:rPr>
        <w:t>Diagnostics</w:t>
      </w:r>
      <w:r>
        <w:t>, vol. 10, no. 10, Art. no. 10, Oct. 2020, doi: 10.3390/diagnostics10100804.</w:t>
      </w:r>
    </w:p>
    <w:p w14:paraId="7AADD848" w14:textId="77777777" w:rsidR="00306BD8" w:rsidRDefault="00306BD8" w:rsidP="00306BD8">
      <w:pPr>
        <w:pStyle w:val="ae"/>
      </w:pPr>
      <w:r>
        <w:t>[66]</w:t>
      </w:r>
      <w:r>
        <w:tab/>
        <w:t xml:space="preserve">R. K. Jadav, R. Mortazavi, and K. C. Yee, “Blood Biomarkers for Triaging Patients for Suspected Stroke: Every Minute Counts,” </w:t>
      </w:r>
      <w:r>
        <w:rPr>
          <w:i/>
          <w:iCs/>
        </w:rPr>
        <w:t>J. Clin. Med.</w:t>
      </w:r>
      <w:r>
        <w:t>, vol. 11, no. 14, p. 4243, Jul. 2022, doi: 10.3390/jcm11144243.</w:t>
      </w:r>
    </w:p>
    <w:p w14:paraId="7A4F4401" w14:textId="77777777" w:rsidR="00306BD8" w:rsidRDefault="00306BD8" w:rsidP="00306BD8">
      <w:pPr>
        <w:pStyle w:val="ae"/>
      </w:pPr>
      <w:r>
        <w:t>[67]</w:t>
      </w:r>
      <w:r>
        <w:tab/>
        <w:t xml:space="preserve">E. Han </w:t>
      </w:r>
      <w:r>
        <w:rPr>
          <w:i/>
          <w:iCs/>
        </w:rPr>
        <w:t>et al.</w:t>
      </w:r>
      <w:r>
        <w:t xml:space="preserve">, “Plasma Glial Fibrillary Acidic Protein and N-Terminal Pro B-Type Natriuretic Peptide: Potential Biomarkers to Differentiate Ischemic and Hemorrhagic Stroke,” </w:t>
      </w:r>
      <w:r>
        <w:rPr>
          <w:i/>
          <w:iCs/>
        </w:rPr>
        <w:t>Diagnostics</w:t>
      </w:r>
      <w:r>
        <w:t>, vol. 13, no. 17, p. 2757, Aug. 2023, doi: 10.3390/diagnostics13172757.</w:t>
      </w:r>
    </w:p>
    <w:p w14:paraId="4DF0D253" w14:textId="77777777" w:rsidR="00306BD8" w:rsidRDefault="00306BD8" w:rsidP="00306BD8">
      <w:pPr>
        <w:pStyle w:val="ae"/>
      </w:pPr>
      <w:r>
        <w:t>[68]</w:t>
      </w:r>
      <w:r>
        <w:tab/>
        <w:t xml:space="preserve">S. Luger </w:t>
      </w:r>
      <w:r>
        <w:rPr>
          <w:i/>
          <w:iCs/>
        </w:rPr>
        <w:t>et al.</w:t>
      </w:r>
      <w:r>
        <w:t xml:space="preserve">, “Diagnostic Accuracy of Glial Fibrillary Acidic Protein and Ubiquitin Carboxy-Terminal Hydrolase-L1 Serum Concentrations for Differentiating Acute Intracerebral Hemorrhage from Ischemic Stroke,” </w:t>
      </w:r>
      <w:r>
        <w:rPr>
          <w:i/>
          <w:iCs/>
        </w:rPr>
        <w:t>Neurocrit. Care</w:t>
      </w:r>
      <w:r>
        <w:t>, vol. 33, no. 1, pp. 39–48, Aug. 2020, doi: 10.1007/s12028-020-00931-5.</w:t>
      </w:r>
    </w:p>
    <w:p w14:paraId="2AC18CA6" w14:textId="77777777" w:rsidR="00306BD8" w:rsidRDefault="00306BD8" w:rsidP="00306BD8">
      <w:pPr>
        <w:pStyle w:val="ae"/>
      </w:pPr>
      <w:r>
        <w:t>[69]</w:t>
      </w:r>
      <w:r>
        <w:tab/>
        <w:t xml:space="preserve">G. C. O’Connell, M. L. Alder, C. G. Smothers, C. H. Still, A. R. Webel, and S. M. Moore, “Diagnosis of ischemic stroke using circulating levels of brain-specific </w:t>
      </w:r>
      <w:r>
        <w:lastRenderedPageBreak/>
        <w:t xml:space="preserve">proteins measured via high-sensitivity digital ELISA,” </w:t>
      </w:r>
      <w:r>
        <w:rPr>
          <w:i/>
          <w:iCs/>
        </w:rPr>
        <w:t>Brain Res.</w:t>
      </w:r>
      <w:r>
        <w:t>, vol. 1739, p. 146861, Apr. 2020, doi: 10.1016/j.brainres.2020.146861.</w:t>
      </w:r>
    </w:p>
    <w:p w14:paraId="5E3D959E" w14:textId="77777777" w:rsidR="00306BD8" w:rsidRDefault="00306BD8" w:rsidP="00306BD8">
      <w:pPr>
        <w:pStyle w:val="ae"/>
      </w:pPr>
      <w:r>
        <w:t>[70]</w:t>
      </w:r>
      <w:r>
        <w:tab/>
        <w:t xml:space="preserve">S. Tiedt </w:t>
      </w:r>
      <w:r>
        <w:rPr>
          <w:i/>
          <w:iCs/>
        </w:rPr>
        <w:t>et al.</w:t>
      </w:r>
      <w:r>
        <w:t xml:space="preserve">, “Circulating Metabolites Differentiate Acute Ischemic Stroke from Stroke Mimics,” </w:t>
      </w:r>
      <w:r>
        <w:rPr>
          <w:i/>
          <w:iCs/>
        </w:rPr>
        <w:t>Ann. Neurol.</w:t>
      </w:r>
      <w:r>
        <w:t>, vol. 88, no. 4, pp. 736–746, 2020, doi: 10.1002/ana.25859.</w:t>
      </w:r>
    </w:p>
    <w:p w14:paraId="7BA1BC04" w14:textId="77777777" w:rsidR="00306BD8" w:rsidRDefault="00306BD8" w:rsidP="00306BD8">
      <w:pPr>
        <w:pStyle w:val="ae"/>
      </w:pPr>
      <w:r>
        <w:t>[71]</w:t>
      </w:r>
      <w:r>
        <w:tab/>
        <w:t xml:space="preserve">G. C. O’Connell, M. B. Treadway, C. S. Tennant, N. Lucke-Wold, P. D. Chantler, and T. L. Barr, “Shifts in leukocyte counts drive the differential expression of transcriptional stroke biomarkers in whole blood,” </w:t>
      </w:r>
      <w:r>
        <w:rPr>
          <w:i/>
          <w:iCs/>
        </w:rPr>
        <w:t>Transl. Stroke Res.</w:t>
      </w:r>
      <w:r>
        <w:t>, vol. 10, no. 1, pp. 26–35, Feb. 2019, doi: 10.1007/s12975-018-0623-1.</w:t>
      </w:r>
    </w:p>
    <w:p w14:paraId="06B6DBB2" w14:textId="77777777" w:rsidR="00306BD8" w:rsidRDefault="00306BD8" w:rsidP="00306BD8">
      <w:pPr>
        <w:pStyle w:val="ae"/>
      </w:pPr>
      <w:r>
        <w:t>[72]</w:t>
      </w:r>
      <w:r>
        <w:tab/>
        <w:t xml:space="preserve">C. Marini </w:t>
      </w:r>
      <w:r>
        <w:rPr>
          <w:i/>
          <w:iCs/>
        </w:rPr>
        <w:t>et al.</w:t>
      </w:r>
      <w:r>
        <w:t xml:space="preserve">, “Contribution of atrial fibrillation to incidence and outcome of ischemic stroke: results from a population-based study,” </w:t>
      </w:r>
      <w:r>
        <w:rPr>
          <w:i/>
          <w:iCs/>
        </w:rPr>
        <w:t>Stroke</w:t>
      </w:r>
      <w:r>
        <w:t>, vol. 36, no. 6, pp. 1115–1119, Jun. 2005, doi: 10.1161/01.STR.0000166053.83476.4a.</w:t>
      </w:r>
    </w:p>
    <w:p w14:paraId="3016E10E" w14:textId="77777777" w:rsidR="00306BD8" w:rsidRDefault="00306BD8" w:rsidP="00306BD8">
      <w:pPr>
        <w:pStyle w:val="ae"/>
      </w:pPr>
      <w:r>
        <w:t>[73]</w:t>
      </w:r>
      <w:r>
        <w:tab/>
        <w:t xml:space="preserve">Z. Zhu </w:t>
      </w:r>
      <w:r>
        <w:rPr>
          <w:i/>
          <w:iCs/>
        </w:rPr>
        <w:t>et al.</w:t>
      </w:r>
      <w:r>
        <w:t xml:space="preserve">, “Elevated NT-proBNP predicts unfavorable outcomes in patients with acute ischemic stroke after thrombolytic therapy,” </w:t>
      </w:r>
      <w:r>
        <w:rPr>
          <w:i/>
          <w:iCs/>
        </w:rPr>
        <w:t>BMC Neurol.</w:t>
      </w:r>
      <w:r>
        <w:t>, vol. 23, no. 1, p. 203, May 2023, doi: 10.1186/s12883-023-03222-6.</w:t>
      </w:r>
    </w:p>
    <w:p w14:paraId="78C4A20F" w14:textId="77777777" w:rsidR="00306BD8" w:rsidRDefault="00306BD8" w:rsidP="00306BD8">
      <w:pPr>
        <w:pStyle w:val="ae"/>
      </w:pPr>
      <w:r>
        <w:t>[74]</w:t>
      </w:r>
      <w:r>
        <w:tab/>
        <w:t xml:space="preserve">G. C. O’Connell, P. Stafford, K. B. Walsh, O. Adeoye, and T. L. Barr, “High-Throughput Profiling of Circulating Antibody Signatures for Stroke Diagnosis Using Small Volumes of Whole Blood,” </w:t>
      </w:r>
      <w:r>
        <w:rPr>
          <w:i/>
          <w:iCs/>
        </w:rPr>
        <w:t>Neurotherapeutics</w:t>
      </w:r>
      <w:r>
        <w:t>, vol. 16, no. 3, p. 868, Feb. 2019, doi: 10.1007/s13311-019-00720-9.</w:t>
      </w:r>
    </w:p>
    <w:p w14:paraId="2A8A20B2" w14:textId="77777777" w:rsidR="00306BD8" w:rsidRDefault="00306BD8" w:rsidP="00306BD8">
      <w:pPr>
        <w:pStyle w:val="ae"/>
      </w:pPr>
      <w:r>
        <w:t>[75]</w:t>
      </w:r>
      <w:r>
        <w:tab/>
        <w:t xml:space="preserve">C. Bai </w:t>
      </w:r>
      <w:r>
        <w:rPr>
          <w:i/>
          <w:iCs/>
        </w:rPr>
        <w:t>et al.</w:t>
      </w:r>
      <w:r>
        <w:t xml:space="preserve">, “Identification of immune-related biomarkers for intracerebral hemorrhage diagnosis based on RNA sequencing and machine learning,” </w:t>
      </w:r>
      <w:r>
        <w:rPr>
          <w:i/>
          <w:iCs/>
        </w:rPr>
        <w:t>Front. Immunol.</w:t>
      </w:r>
      <w:r>
        <w:t>, vol. 15, p. 1421942, Aug. 2024, doi: 10.3389/fimmu.2024.1421942.</w:t>
      </w:r>
    </w:p>
    <w:p w14:paraId="10152143" w14:textId="77777777" w:rsidR="00306BD8" w:rsidRDefault="00306BD8" w:rsidP="00306BD8">
      <w:pPr>
        <w:pStyle w:val="ae"/>
      </w:pPr>
      <w:r>
        <w:t>[76]</w:t>
      </w:r>
      <w:r>
        <w:tab/>
        <w:t xml:space="preserve">P. Ren </w:t>
      </w:r>
      <w:r>
        <w:rPr>
          <w:i/>
          <w:iCs/>
        </w:rPr>
        <w:t>et al.</w:t>
      </w:r>
      <w:r>
        <w:t xml:space="preserve">, “Diagnostic model constructed by nine inflammation-related genes for diagnosing ischemic stroke and reflecting the condition of immune-related cells,” </w:t>
      </w:r>
      <w:r>
        <w:rPr>
          <w:i/>
          <w:iCs/>
        </w:rPr>
        <w:t>Front. Immunol.</w:t>
      </w:r>
      <w:r>
        <w:t>, vol. 13, p. 1046966, Dec. 2022, doi: 10.3389/fimmu.2022.1046966.</w:t>
      </w:r>
    </w:p>
    <w:p w14:paraId="15A9BD97" w14:textId="77777777" w:rsidR="00306BD8" w:rsidRDefault="00306BD8" w:rsidP="00306BD8">
      <w:pPr>
        <w:pStyle w:val="ae"/>
      </w:pPr>
      <w:r>
        <w:t>[77]</w:t>
      </w:r>
      <w:r>
        <w:tab/>
        <w:t xml:space="preserve">Z. Wei </w:t>
      </w:r>
      <w:r>
        <w:rPr>
          <w:i/>
          <w:iCs/>
        </w:rPr>
        <w:t>et al.</w:t>
      </w:r>
      <w:r>
        <w:t xml:space="preserve">, “Bioinformatics method combined with logistic regression analysis reveal potentially important miRNAs in ischemic stroke,” </w:t>
      </w:r>
      <w:r>
        <w:rPr>
          <w:i/>
          <w:iCs/>
        </w:rPr>
        <w:t>Biosci. Rep.</w:t>
      </w:r>
      <w:r>
        <w:t>, vol. 40, no. 8, p. BSR20201154, Aug. 2020, doi: 10.1042/BSR20201154.</w:t>
      </w:r>
    </w:p>
    <w:p w14:paraId="2BDB10D0" w14:textId="77777777" w:rsidR="00306BD8" w:rsidRDefault="00306BD8" w:rsidP="00306BD8">
      <w:pPr>
        <w:pStyle w:val="ae"/>
      </w:pPr>
      <w:r>
        <w:t>[78]</w:t>
      </w:r>
      <w:r>
        <w:tab/>
        <w:t xml:space="preserve">Y. Sun, S. Ding, F. Shen, X. Yang, W. Sun, and J. Wan, “Employ machine learning to identify NAD+ metabolism-related diagnostic markers for ischemic stroke and develop a diagnostic model,” </w:t>
      </w:r>
      <w:r>
        <w:rPr>
          <w:i/>
          <w:iCs/>
        </w:rPr>
        <w:t>Exp. Gerontol.</w:t>
      </w:r>
      <w:r>
        <w:t>, vol. 196, p. 112584, Oct. 2024, doi: 10.1016/j.exger.2024.112584.</w:t>
      </w:r>
    </w:p>
    <w:p w14:paraId="0E20D5EE" w14:textId="77777777" w:rsidR="00306BD8" w:rsidRDefault="00306BD8" w:rsidP="00306BD8">
      <w:pPr>
        <w:pStyle w:val="ae"/>
      </w:pPr>
      <w:r>
        <w:t>[79]</w:t>
      </w:r>
      <w:r>
        <w:tab/>
        <w:t xml:space="preserve">J. Liu </w:t>
      </w:r>
      <w:r>
        <w:rPr>
          <w:i/>
          <w:iCs/>
        </w:rPr>
        <w:t>et al.</w:t>
      </w:r>
      <w:r>
        <w:t xml:space="preserve">, “Machine learning identifies novel coagulation genes as diagnostic and immunological biomarkers in ischemic stroke,” </w:t>
      </w:r>
      <w:r>
        <w:rPr>
          <w:i/>
          <w:iCs/>
        </w:rPr>
        <w:t>Aging</w:t>
      </w:r>
      <w:r>
        <w:t>, vol. 16, no. 7, p. 6314, Apr. 2024, doi: 10.18632/aging.205706.</w:t>
      </w:r>
    </w:p>
    <w:p w14:paraId="1CBBC130" w14:textId="77777777" w:rsidR="00306BD8" w:rsidRDefault="00306BD8" w:rsidP="00306BD8">
      <w:pPr>
        <w:pStyle w:val="ae"/>
      </w:pPr>
      <w:r>
        <w:t>[80]</w:t>
      </w:r>
      <w:r>
        <w:tab/>
        <w:t xml:space="preserve">K. Theofilatos, A. Korfiati, S. Mavroudi, M. C. Cowperthwaite, and M. Shpak, “Discovery of stroke-related blood biomarkers from gene expression network models,” </w:t>
      </w:r>
      <w:r>
        <w:rPr>
          <w:i/>
          <w:iCs/>
        </w:rPr>
        <w:t>BMC Med. Genomics</w:t>
      </w:r>
      <w:r>
        <w:t>, vol. 12, p. 118, Aug. 2019, doi: 10.1186/s12920-019-0566-8.</w:t>
      </w:r>
    </w:p>
    <w:p w14:paraId="69EF0AFA" w14:textId="77777777" w:rsidR="00306BD8" w:rsidRDefault="00306BD8" w:rsidP="00306BD8">
      <w:pPr>
        <w:pStyle w:val="ae"/>
      </w:pPr>
      <w:r>
        <w:t>[81]</w:t>
      </w:r>
      <w:r>
        <w:tab/>
        <w:t xml:space="preserve">G. C. O’Connell </w:t>
      </w:r>
      <w:r>
        <w:rPr>
          <w:i/>
          <w:iCs/>
        </w:rPr>
        <w:t>et al.</w:t>
      </w:r>
      <w:r>
        <w:t xml:space="preserve">, “Use of deep artificial neural networks to identify stroke during triage via subtle changes in circulating cell counts,” </w:t>
      </w:r>
      <w:r>
        <w:rPr>
          <w:i/>
          <w:iCs/>
        </w:rPr>
        <w:t>BMC Neurol.</w:t>
      </w:r>
      <w:r>
        <w:t>, vol. 22, p. 206, Jun. 2022, doi: 10.1186/s12883-022-02726-x.</w:t>
      </w:r>
    </w:p>
    <w:p w14:paraId="12851009" w14:textId="77777777" w:rsidR="00306BD8" w:rsidRDefault="00306BD8" w:rsidP="00306BD8">
      <w:pPr>
        <w:pStyle w:val="ae"/>
      </w:pPr>
      <w:r>
        <w:t>[82]</w:t>
      </w:r>
      <w:r>
        <w:tab/>
        <w:t xml:space="preserve">Y. Hu </w:t>
      </w:r>
      <w:r>
        <w:rPr>
          <w:i/>
          <w:iCs/>
        </w:rPr>
        <w:t>et al.</w:t>
      </w:r>
      <w:r>
        <w:t xml:space="preserve">, “FCER1G as a novel immune-associated blood biomarker in cardiogenic stroke,” </w:t>
      </w:r>
      <w:r>
        <w:rPr>
          <w:i/>
          <w:iCs/>
        </w:rPr>
        <w:t>Heliyon</w:t>
      </w:r>
      <w:r>
        <w:t>, vol. 10, no. 13, p. e33846, Jul. 2024, doi: 10.1016/j.heliyon.2024.e33846.</w:t>
      </w:r>
    </w:p>
    <w:p w14:paraId="15C4DC60" w14:textId="77777777" w:rsidR="00306BD8" w:rsidRDefault="00306BD8" w:rsidP="00306BD8">
      <w:pPr>
        <w:pStyle w:val="ae"/>
      </w:pPr>
      <w:r>
        <w:t>[83]</w:t>
      </w:r>
      <w:r>
        <w:tab/>
        <w:t xml:space="preserve">Y. Geng </w:t>
      </w:r>
      <w:r>
        <w:rPr>
          <w:i/>
          <w:iCs/>
        </w:rPr>
        <w:t>et al.</w:t>
      </w:r>
      <w:r>
        <w:t xml:space="preserve">, “Identification and validation of platelet-related diagnostic markers and potential drug screening in ischemic stroke by integrating comprehensive bioinformatics analysis and machine learning,” </w:t>
      </w:r>
      <w:r>
        <w:rPr>
          <w:i/>
          <w:iCs/>
        </w:rPr>
        <w:t>Front. Immunol.</w:t>
      </w:r>
      <w:r>
        <w:t>, vol. 14, p. 1320475, Jan. 2024, doi: 10.3389/fimmu.2023.1320475.</w:t>
      </w:r>
    </w:p>
    <w:p w14:paraId="3C46FDB5" w14:textId="77777777" w:rsidR="00306BD8" w:rsidRDefault="00306BD8" w:rsidP="00306BD8">
      <w:pPr>
        <w:pStyle w:val="ae"/>
      </w:pPr>
      <w:r>
        <w:lastRenderedPageBreak/>
        <w:t>[84]</w:t>
      </w:r>
      <w:r>
        <w:tab/>
        <w:t xml:space="preserve">H. P. Adams </w:t>
      </w:r>
      <w:r>
        <w:rPr>
          <w:i/>
          <w:iCs/>
        </w:rPr>
        <w:t>et al.</w:t>
      </w:r>
      <w:r>
        <w:t xml:space="preserve">, “Guidelines for the early management of adults with ischemic stroke: a guideline from the American Heart Association/American Stroke Association Stroke Council, Clinical Cardiology Council, Cardiovascular Radiology and Intervention Council, and the Atherosclerotic Peripheral Vascular Disease and Quality of Care Outcomes in Research Interdisciplinary Working Groups: The American Academy of Neurology affirms the value of this guideline as an educational tool for neurologists,” </w:t>
      </w:r>
      <w:r>
        <w:rPr>
          <w:i/>
          <w:iCs/>
        </w:rPr>
        <w:t>Circulation</w:t>
      </w:r>
      <w:r>
        <w:t>, vol. 115, no. 20, pp. e478-534, May 2007, doi: 10.1161/CIRCULATIONAHA.107.181486.</w:t>
      </w:r>
    </w:p>
    <w:p w14:paraId="0A7FD064" w14:textId="77777777" w:rsidR="00306BD8" w:rsidRDefault="00306BD8" w:rsidP="00306BD8">
      <w:pPr>
        <w:pStyle w:val="ae"/>
      </w:pPr>
      <w:r>
        <w:t>[85]</w:t>
      </w:r>
      <w:r>
        <w:tab/>
        <w:t xml:space="preserve">Y. Wang </w:t>
      </w:r>
      <w:r>
        <w:rPr>
          <w:i/>
          <w:iCs/>
        </w:rPr>
        <w:t>et al.</w:t>
      </w:r>
      <w:r>
        <w:t xml:space="preserve">, “A colorimetric and SERS-based LFIA for sensitive and simultaneous detection of three stroke biomarkers: An ultra-fast and sensitive point-of-care testing platform,” </w:t>
      </w:r>
      <w:r>
        <w:rPr>
          <w:i/>
          <w:iCs/>
        </w:rPr>
        <w:t>Talanta</w:t>
      </w:r>
      <w:r>
        <w:t>, vol. 283, p. 127166, Feb. 2025, doi: 10.1016/j.talanta.2024.127166.</w:t>
      </w:r>
    </w:p>
    <w:p w14:paraId="646A3251" w14:textId="77777777" w:rsidR="00306BD8" w:rsidRDefault="00306BD8" w:rsidP="00306BD8">
      <w:pPr>
        <w:pStyle w:val="ae"/>
      </w:pPr>
      <w:r>
        <w:t>[86]</w:t>
      </w:r>
      <w:r>
        <w:tab/>
        <w:t xml:space="preserve">T. Schumann </w:t>
      </w:r>
      <w:r>
        <w:rPr>
          <w:i/>
          <w:iCs/>
        </w:rPr>
        <w:t>et al.</w:t>
      </w:r>
      <w:r>
        <w:t xml:space="preserve">, “A-373 Comparison of the CoaguChek ® and Coag-Sense ® PT2 Meter Point of Care INR Devices,” </w:t>
      </w:r>
      <w:r>
        <w:rPr>
          <w:i/>
          <w:iCs/>
        </w:rPr>
        <w:t>Clin. Chem.</w:t>
      </w:r>
      <w:r>
        <w:t>, vol. 69, no. Supplement_1, p. hvad097.329, Oct. 2023, doi: 10.1093/clinchem/hvad097.329.</w:t>
      </w:r>
    </w:p>
    <w:p w14:paraId="59192AC9" w14:textId="77777777" w:rsidR="00306BD8" w:rsidRDefault="00306BD8" w:rsidP="00306BD8">
      <w:pPr>
        <w:pStyle w:val="ae"/>
      </w:pPr>
      <w:r>
        <w:t>[87]</w:t>
      </w:r>
      <w:r>
        <w:tab/>
        <w:t xml:space="preserve">R. Larcher, M. Lottelier, S. Badiou, A.-M. Dupuy, A.-S. Bargnoux, and J.-P. Cristol, “Analytical Performances of the Novel i-STAT Alinity Point-of-Care Analyzer,” </w:t>
      </w:r>
      <w:r>
        <w:rPr>
          <w:i/>
          <w:iCs/>
        </w:rPr>
        <w:t>Diagnostics</w:t>
      </w:r>
      <w:r>
        <w:t>, vol. 13, no. 2, Art. no. 2, Jan. 2023, doi: 10.3390/diagnostics13020297.</w:t>
      </w:r>
    </w:p>
    <w:p w14:paraId="358B474C" w14:textId="77777777" w:rsidR="00306BD8" w:rsidRDefault="00306BD8" w:rsidP="00306BD8">
      <w:pPr>
        <w:pStyle w:val="ae"/>
      </w:pPr>
      <w:r>
        <w:t>[88]</w:t>
      </w:r>
      <w:r>
        <w:tab/>
        <w:t xml:space="preserve">J. Chen, X. Lin, Y. Cai, R. Huang, S. Yang, and G. Zhang, “A Systematic Review of Mobile Stroke Unit Among Acute Stroke Patients: Time Metrics, Adverse Events, Functional Result and Cost-Effectiveness,” </w:t>
      </w:r>
      <w:r>
        <w:rPr>
          <w:i/>
          <w:iCs/>
        </w:rPr>
        <w:t>Front. Neurol.</w:t>
      </w:r>
      <w:r>
        <w:t>, vol. 13, Mar. 2022, doi: 10.3389/fneur.2022.803162.</w:t>
      </w:r>
    </w:p>
    <w:p w14:paraId="3B3B0620" w14:textId="77777777" w:rsidR="00306BD8" w:rsidRDefault="00306BD8" w:rsidP="00306BD8">
      <w:pPr>
        <w:pStyle w:val="ae"/>
      </w:pPr>
      <w:r>
        <w:t>[89]</w:t>
      </w:r>
      <w:r>
        <w:tab/>
        <w:t xml:space="preserve">G. Turc </w:t>
      </w:r>
      <w:r>
        <w:rPr>
          <w:i/>
          <w:iCs/>
        </w:rPr>
        <w:t>et al.</w:t>
      </w:r>
      <w:r>
        <w:t xml:space="preserve">, “Comparison of Mobile Stroke Unit With Usual Care for Acute Ischemic Stroke Management: A Systematic Review and Meta-analysis,” </w:t>
      </w:r>
      <w:r>
        <w:rPr>
          <w:i/>
          <w:iCs/>
        </w:rPr>
        <w:t>JAMA Neurol.</w:t>
      </w:r>
      <w:r>
        <w:t>, vol. 79, no. 3, pp. 281–290, Mar. 2022, doi: 10.1001/jamaneurol.2021.5321.</w:t>
      </w:r>
    </w:p>
    <w:p w14:paraId="6266D975" w14:textId="77777777" w:rsidR="00306BD8" w:rsidRDefault="00306BD8" w:rsidP="00306BD8">
      <w:pPr>
        <w:pStyle w:val="ae"/>
      </w:pPr>
      <w:r>
        <w:t>[90]</w:t>
      </w:r>
      <w:r>
        <w:tab/>
        <w:t xml:space="preserve">S. A. Jaryno </w:t>
      </w:r>
      <w:r>
        <w:rPr>
          <w:i/>
          <w:iCs/>
        </w:rPr>
        <w:t>et al.</w:t>
      </w:r>
      <w:r>
        <w:t xml:space="preserve">, “Validation of the Hemochron Jr. Signature + Microcoagulation System and the Hemochron Configuration Manager,” </w:t>
      </w:r>
      <w:r>
        <w:rPr>
          <w:i/>
          <w:iCs/>
        </w:rPr>
        <w:t>Point Care J. -Patient Test. Amp Technol.</w:t>
      </w:r>
      <w:r>
        <w:t>, vol. 2, no. 2, p. 129, 2003, doi: 10.1097/00134384-200306000-00010.</w:t>
      </w:r>
    </w:p>
    <w:p w14:paraId="1EB1438F" w14:textId="77777777" w:rsidR="00306BD8" w:rsidRDefault="00306BD8" w:rsidP="00306BD8">
      <w:pPr>
        <w:pStyle w:val="ae"/>
      </w:pPr>
      <w:r>
        <w:t>[91]</w:t>
      </w:r>
      <w:r>
        <w:tab/>
        <w:t>“Hemochron and ACT Plus in Cardiac Disease - Clinical Trials Registry - ICH GCP.” Accessed: Jun. 02, 2025. [Online]. Available: https://ichgcp.net/clinical-trials-registry/NCT02484157</w:t>
      </w:r>
    </w:p>
    <w:p w14:paraId="11798790" w14:textId="77777777" w:rsidR="00306BD8" w:rsidRDefault="00306BD8" w:rsidP="00306BD8">
      <w:pPr>
        <w:pStyle w:val="ae"/>
      </w:pPr>
      <w:r>
        <w:t>[92]</w:t>
      </w:r>
      <w:r>
        <w:tab/>
        <w:t xml:space="preserve">D. Mehic </w:t>
      </w:r>
      <w:r>
        <w:rPr>
          <w:i/>
          <w:iCs/>
        </w:rPr>
        <w:t>et al.</w:t>
      </w:r>
      <w:r>
        <w:t xml:space="preserve">, “Utility of the Platelet Function Analyzer (PFA-100) in Patients with Bleeding Disorder of Unknown Cause,” </w:t>
      </w:r>
      <w:r>
        <w:rPr>
          <w:i/>
          <w:iCs/>
        </w:rPr>
        <w:t>Blood</w:t>
      </w:r>
      <w:r>
        <w:t>, vol. 142, no. Supplement 1, p. 3965, Nov. 2023, doi: 10.1182/blood-2023-185756.</w:t>
      </w:r>
    </w:p>
    <w:p w14:paraId="7E526524" w14:textId="77777777" w:rsidR="00306BD8" w:rsidRDefault="00306BD8" w:rsidP="00306BD8">
      <w:pPr>
        <w:pStyle w:val="ae"/>
      </w:pPr>
      <w:r>
        <w:t>[93]</w:t>
      </w:r>
      <w:r>
        <w:tab/>
        <w:t xml:space="preserve">J. M. Cesar, D. de Miguel, A. G. Avello, and C. Burgaleta, “Platelet Dysfunction in Primary Thrombocythemia Using the Platelet Function Analyzer, PFA-100,” </w:t>
      </w:r>
      <w:r>
        <w:rPr>
          <w:i/>
          <w:iCs/>
        </w:rPr>
        <w:t>Am. J. Clin. Pathol.</w:t>
      </w:r>
      <w:r>
        <w:t>, vol. 123, no. 5, pp. 772–777, May 2005, doi: 10.1309/K58EWK4HPD51U3BE.</w:t>
      </w:r>
    </w:p>
    <w:p w14:paraId="39FF215F" w14:textId="77777777" w:rsidR="00306BD8" w:rsidRDefault="00306BD8" w:rsidP="00306BD8">
      <w:pPr>
        <w:pStyle w:val="ae"/>
      </w:pPr>
      <w:r>
        <w:t>[94]</w:t>
      </w:r>
      <w:r>
        <w:tab/>
        <w:t xml:space="preserve">Y. M. Lee </w:t>
      </w:r>
      <w:r>
        <w:rPr>
          <w:i/>
          <w:iCs/>
        </w:rPr>
        <w:t>et al.</w:t>
      </w:r>
      <w:r>
        <w:t xml:space="preserve">, “Point of Care Test Technology Suitable for Early Detection and Monitoring of Ischemic Stroke,” </w:t>
      </w:r>
      <w:r>
        <w:rPr>
          <w:i/>
          <w:iCs/>
        </w:rPr>
        <w:t>Curr. Neurovasc. Res.</w:t>
      </w:r>
      <w:r>
        <w:t>, vol. 18, no. 4, p. 409, Dec. 2021, doi: 10.2174/1567202618666211109103720.</w:t>
      </w:r>
    </w:p>
    <w:p w14:paraId="0BB006C4" w14:textId="77777777" w:rsidR="00306BD8" w:rsidRDefault="00306BD8" w:rsidP="00306BD8">
      <w:pPr>
        <w:pStyle w:val="ae"/>
      </w:pPr>
      <w:r>
        <w:t>[95]</w:t>
      </w:r>
      <w:r>
        <w:tab/>
        <w:t xml:space="preserve">A. Sayad </w:t>
      </w:r>
      <w:r>
        <w:rPr>
          <w:i/>
          <w:iCs/>
        </w:rPr>
        <w:t>et al.</w:t>
      </w:r>
      <w:r>
        <w:t xml:space="preserve">, “A magnetoimpedance biosensor microfluidic platform for detection of glial fibrillary acidic protein in blood for acute stroke classification,” </w:t>
      </w:r>
      <w:r>
        <w:rPr>
          <w:i/>
          <w:iCs/>
        </w:rPr>
        <w:t>Biosens. Bioelectron.</w:t>
      </w:r>
      <w:r>
        <w:t>, vol. 211, p. 114410, Sep. 2022, doi: 10.1016/j.bios.2022.114410.</w:t>
      </w:r>
    </w:p>
    <w:p w14:paraId="7B004B17" w14:textId="77777777" w:rsidR="00306BD8" w:rsidRDefault="00306BD8" w:rsidP="00306BD8">
      <w:pPr>
        <w:pStyle w:val="ae"/>
      </w:pPr>
      <w:r>
        <w:lastRenderedPageBreak/>
        <w:t>[96]</w:t>
      </w:r>
      <w:r>
        <w:tab/>
        <w:t xml:space="preserve">P. Andjus </w:t>
      </w:r>
      <w:r>
        <w:rPr>
          <w:i/>
          <w:iCs/>
        </w:rPr>
        <w:t>et al.</w:t>
      </w:r>
      <w:r>
        <w:t xml:space="preserve">, “Extracellular Vesicles as Innovative Tool for Diagnosis, Regeneration and Protection against Neurological Damage,” </w:t>
      </w:r>
      <w:r>
        <w:rPr>
          <w:i/>
          <w:iCs/>
        </w:rPr>
        <w:t>Int. J. Mol. Sci.</w:t>
      </w:r>
      <w:r>
        <w:t>, vol. 21, no. 18, Art. no. 18, Jan. 2020, doi: 10.3390/ijms21186859.</w:t>
      </w:r>
    </w:p>
    <w:p w14:paraId="554DB2E8" w14:textId="77777777" w:rsidR="00306BD8" w:rsidRDefault="00306BD8" w:rsidP="00306BD8">
      <w:pPr>
        <w:pStyle w:val="ae"/>
      </w:pPr>
      <w:r>
        <w:t>[97]</w:t>
      </w:r>
      <w:r>
        <w:tab/>
        <w:t xml:space="preserve">C. Théry </w:t>
      </w:r>
      <w:r>
        <w:rPr>
          <w:i/>
          <w:iCs/>
        </w:rPr>
        <w:t>et al.</w:t>
      </w:r>
      <w:r>
        <w:t xml:space="preserve">, “Minimal information for studies of extracellular vesicles 2018 (MISEV2018): a position statement of the International Society for Extracellular Vesicles and update of the MISEV2014 guidelines,” </w:t>
      </w:r>
      <w:r>
        <w:rPr>
          <w:i/>
          <w:iCs/>
        </w:rPr>
        <w:t>J. Extracell. Vesicles</w:t>
      </w:r>
      <w:r>
        <w:t>, vol. 7, no. 1, p. 1535750, 2018, doi: 10.1080/20013078.2018.1535750.</w:t>
      </w:r>
    </w:p>
    <w:p w14:paraId="20D54A5F" w14:textId="77777777" w:rsidR="00306BD8" w:rsidRDefault="00306BD8" w:rsidP="00306BD8">
      <w:pPr>
        <w:pStyle w:val="ae"/>
      </w:pPr>
      <w:r>
        <w:t>[98]</w:t>
      </w:r>
      <w:r>
        <w:tab/>
        <w:t xml:space="preserve">M. Colombo, G. Raposo, and C. Théry, “Biogenesis, Secretion, and Intercellular Interactions of Exosomes and Other Extracellular Vesicles,” </w:t>
      </w:r>
      <w:r>
        <w:rPr>
          <w:i/>
          <w:iCs/>
        </w:rPr>
        <w:t>Annu. Rev. Cell Dev. Biol.</w:t>
      </w:r>
      <w:r>
        <w:t>, vol. 30, no. Volume 30, 2014, pp. 255–289, Oct. 2014, doi: 10.1146/annurev-cellbio-101512-122326.</w:t>
      </w:r>
    </w:p>
    <w:p w14:paraId="3192DB0E" w14:textId="77777777" w:rsidR="00306BD8" w:rsidRDefault="00306BD8" w:rsidP="00306BD8">
      <w:pPr>
        <w:pStyle w:val="ae"/>
      </w:pPr>
      <w:r>
        <w:t>[99]</w:t>
      </w:r>
      <w:r>
        <w:tab/>
        <w:t xml:space="preserve">G. van Niel, G. D’Angelo, and G. Raposo, “Shedding light on the cell biology of extracellular vesicles,” </w:t>
      </w:r>
      <w:r>
        <w:rPr>
          <w:i/>
          <w:iCs/>
        </w:rPr>
        <w:t>Nat. Rev. Mol. Cell Biol.</w:t>
      </w:r>
      <w:r>
        <w:t>, vol. 19, no. 4, pp. 213–228, Apr. 2018, doi: 10.1038/nrm.2017.125.</w:t>
      </w:r>
    </w:p>
    <w:p w14:paraId="69EA78EE" w14:textId="77777777" w:rsidR="00306BD8" w:rsidRDefault="00306BD8" w:rsidP="00306BD8">
      <w:pPr>
        <w:pStyle w:val="ae"/>
      </w:pPr>
      <w:r>
        <w:t>[100]</w:t>
      </w:r>
      <w:r>
        <w:tab/>
        <w:t xml:space="preserve">J. H. Bang </w:t>
      </w:r>
      <w:r>
        <w:rPr>
          <w:i/>
          <w:iCs/>
        </w:rPr>
        <w:t>et al.</w:t>
      </w:r>
      <w:r>
        <w:t xml:space="preserve">, “Machine Learning-Based Etiologic Subtyping of Ischemic Stroke Using Circulating Exosomal microRNAs,” </w:t>
      </w:r>
      <w:r>
        <w:rPr>
          <w:i/>
          <w:iCs/>
        </w:rPr>
        <w:t>Int. J. Mol. Sci.</w:t>
      </w:r>
      <w:r>
        <w:t>, vol. 25, no. 12, Art. no. 12, Jun. 2024, doi: 10.3390/ijms25126761.</w:t>
      </w:r>
    </w:p>
    <w:p w14:paraId="632E4249" w14:textId="77777777" w:rsidR="00306BD8" w:rsidRDefault="00306BD8" w:rsidP="00306BD8">
      <w:pPr>
        <w:pStyle w:val="ae"/>
      </w:pPr>
      <w:r>
        <w:t>[101]</w:t>
      </w:r>
      <w:r>
        <w:tab/>
        <w:t xml:space="preserve">B. Manwani </w:t>
      </w:r>
      <w:r>
        <w:rPr>
          <w:i/>
          <w:iCs/>
        </w:rPr>
        <w:t>et al.</w:t>
      </w:r>
      <w:r>
        <w:t xml:space="preserve">, “Small RNA signatures of acute ischemic stroke in L1CAM positive extracellular vesicles,” </w:t>
      </w:r>
      <w:r>
        <w:rPr>
          <w:i/>
          <w:iCs/>
        </w:rPr>
        <w:t>Sci. Rep.</w:t>
      </w:r>
      <w:r>
        <w:t>, vol. 14, p. 13560, Jun. 2024, doi: 10.1038/s41598-024-63633-4.</w:t>
      </w:r>
    </w:p>
    <w:p w14:paraId="00B1E615" w14:textId="77777777" w:rsidR="00306BD8" w:rsidRDefault="00306BD8" w:rsidP="00306BD8">
      <w:pPr>
        <w:pStyle w:val="ae"/>
      </w:pPr>
      <w:r>
        <w:t>[102]</w:t>
      </w:r>
      <w:r>
        <w:tab/>
        <w:t xml:space="preserve">J. L. Saver, “Time Is Brain—Quantified,” </w:t>
      </w:r>
      <w:r>
        <w:rPr>
          <w:i/>
          <w:iCs/>
        </w:rPr>
        <w:t>Stroke</w:t>
      </w:r>
      <w:r>
        <w:t>, vol. 37, no. 1, pp. 263–266, Jan. 2006, doi: 10.1161/01.STR.0000196957.55928.ab.</w:t>
      </w:r>
    </w:p>
    <w:p w14:paraId="43D454E6" w14:textId="77777777" w:rsidR="00306BD8" w:rsidRDefault="00306BD8" w:rsidP="00306BD8">
      <w:pPr>
        <w:pStyle w:val="ae"/>
      </w:pPr>
      <w:r>
        <w:t>[103]</w:t>
      </w:r>
      <w:r>
        <w:tab/>
        <w:t>“Review of the Isolation, Characterization, Biological Function, and Multifarious Therapeutic Approaches of Exosomes.” Accessed: May 23, 2025. [Online]. Available: https://www.mdpi.com/2073-4409/8/4/307</w:t>
      </w:r>
    </w:p>
    <w:p w14:paraId="43C9C7E8" w14:textId="77777777" w:rsidR="00306BD8" w:rsidRDefault="00306BD8" w:rsidP="00306BD8">
      <w:pPr>
        <w:pStyle w:val="ae"/>
      </w:pPr>
      <w:r>
        <w:t>[104]</w:t>
      </w:r>
      <w:r>
        <w:tab/>
        <w:t>“Reassessment of Exosome Composition: Cell.” Accessed: May 23, 2025. [Online]. Available: https://www.cell.com/cell/fulltext/S0092-8674(19)30212-0?_returnURL=https%3A%2F%2Flinkinghub.elsevier.com%2Fretrieve%2Fpii%2FS0092867419302120%3Fshowall%3Dtrue</w:t>
      </w:r>
    </w:p>
    <w:p w14:paraId="2F06F81B" w14:textId="77777777" w:rsidR="00306BD8" w:rsidRDefault="00306BD8" w:rsidP="00306BD8">
      <w:pPr>
        <w:pStyle w:val="ae"/>
      </w:pPr>
      <w:r>
        <w:t>[105]</w:t>
      </w:r>
      <w:r>
        <w:tab/>
        <w:t xml:space="preserve">R.-T. T. Morales and J. Ko, “Future of Digital Assays to Resolve Clinical Heterogeneity of Single Extracellular Vesicles,” </w:t>
      </w:r>
      <w:r>
        <w:rPr>
          <w:i/>
          <w:iCs/>
        </w:rPr>
        <w:t>ACS Nano</w:t>
      </w:r>
      <w:r>
        <w:t>, vol. 16, no. 8, pp. 11619–11645, Aug. 2022, doi: 10.1021/acsnano.2c04337.</w:t>
      </w:r>
    </w:p>
    <w:p w14:paraId="39690212" w14:textId="77777777" w:rsidR="00306BD8" w:rsidRDefault="00306BD8" w:rsidP="00306BD8">
      <w:pPr>
        <w:pStyle w:val="ae"/>
      </w:pPr>
      <w:r>
        <w:t>[106]</w:t>
      </w:r>
      <w:r>
        <w:tab/>
        <w:t xml:space="preserve">J. Simak, M. P. Gelderman, H. Yu, V. Wright, and A. E. Baird, “Circulating endothelial microparticles in acute ischemic stroke: a link to severity, lesion volume and outcome,” </w:t>
      </w:r>
      <w:r>
        <w:rPr>
          <w:i/>
          <w:iCs/>
        </w:rPr>
        <w:t>J. Thromb. Haemost.</w:t>
      </w:r>
      <w:r>
        <w:t>, vol. 4, no. 6, pp. 1296–1302, Jun. 2006, doi: 10.1111/j.1538-7836.2006.01911.x.</w:t>
      </w:r>
    </w:p>
    <w:p w14:paraId="0C81335A" w14:textId="77777777" w:rsidR="00306BD8" w:rsidRDefault="00306BD8" w:rsidP="00306BD8">
      <w:pPr>
        <w:pStyle w:val="ae"/>
      </w:pPr>
      <w:r>
        <w:t>[107]</w:t>
      </w:r>
      <w:r>
        <w:tab/>
        <w:t xml:space="preserve">Y. Chen </w:t>
      </w:r>
      <w:r>
        <w:rPr>
          <w:i/>
          <w:iCs/>
        </w:rPr>
        <w:t>et al.</w:t>
      </w:r>
      <w:r>
        <w:t xml:space="preserve">, “Increased Circulating Exosomal miRNA-223 Is Associated with Acute Ischemic Stroke,” </w:t>
      </w:r>
      <w:r>
        <w:rPr>
          <w:i/>
          <w:iCs/>
        </w:rPr>
        <w:t>Front. Neurol.</w:t>
      </w:r>
      <w:r>
        <w:t>, vol. 8, p. 57, Feb. 2017, doi: 10.3389/fneur.2017.00057.</w:t>
      </w:r>
    </w:p>
    <w:p w14:paraId="539BA9C2" w14:textId="77777777" w:rsidR="00306BD8" w:rsidRDefault="00306BD8" w:rsidP="00306BD8">
      <w:pPr>
        <w:pStyle w:val="ae"/>
      </w:pPr>
      <w:r>
        <w:t>[108]</w:t>
      </w:r>
      <w:r>
        <w:tab/>
        <w:t xml:space="preserve">W. Lu, D. Hou, X. Chen, P. Zhong, X. Liu, and D. Wu, “Elevated SIRT2 of serum exosomes is positively correlated with diagnosis of acute ischemic stroke patients,” </w:t>
      </w:r>
      <w:r>
        <w:rPr>
          <w:i/>
          <w:iCs/>
        </w:rPr>
        <w:t>BMC Neurol.</w:t>
      </w:r>
      <w:r>
        <w:t>, vol. 23, p. 321, Sep. 2023, doi: 10.1186/s12883-023-03348-7.</w:t>
      </w:r>
    </w:p>
    <w:p w14:paraId="15CC5BCF" w14:textId="77777777" w:rsidR="00306BD8" w:rsidRDefault="00306BD8" w:rsidP="00306BD8">
      <w:pPr>
        <w:pStyle w:val="ae"/>
      </w:pPr>
      <w:r>
        <w:t>[109]</w:t>
      </w:r>
      <w:r>
        <w:tab/>
        <w:t xml:space="preserve">J. Zhou </w:t>
      </w:r>
      <w:r>
        <w:rPr>
          <w:i/>
          <w:iCs/>
        </w:rPr>
        <w:t>et al.</w:t>
      </w:r>
      <w:r>
        <w:t xml:space="preserve">, “Increased serum exosomal miR-134 expression in the acute ischemic stroke patients,” </w:t>
      </w:r>
      <w:r>
        <w:rPr>
          <w:i/>
          <w:iCs/>
        </w:rPr>
        <w:t>BMC Neurol.</w:t>
      </w:r>
      <w:r>
        <w:t>, vol. 18, p. 198, Dec. 2018, doi: 10.1186/s12883-018-1196-z.</w:t>
      </w:r>
    </w:p>
    <w:p w14:paraId="5BEACFFE" w14:textId="77777777" w:rsidR="00306BD8" w:rsidRDefault="00306BD8" w:rsidP="00306BD8">
      <w:pPr>
        <w:pStyle w:val="ae"/>
      </w:pPr>
      <w:r>
        <w:t>[110]</w:t>
      </w:r>
      <w:r>
        <w:tab/>
        <w:t xml:space="preserve">W. Wang </w:t>
      </w:r>
      <w:r>
        <w:rPr>
          <w:i/>
          <w:iCs/>
        </w:rPr>
        <w:t>et al.</w:t>
      </w:r>
      <w:r>
        <w:t xml:space="preserve">, “Diagnosis of Hyperacute and Acute Ischaemic Stroke: The Potential Utility of Exosomal MicroRNA-21-5p and MicroRNA-30a-5p,” </w:t>
      </w:r>
      <w:r>
        <w:rPr>
          <w:i/>
          <w:iCs/>
        </w:rPr>
        <w:t>Cerebrovasc. Dis. Basel Switz.</w:t>
      </w:r>
      <w:r>
        <w:t>, vol. 45, no. 5–6, pp. 204–212, 2018, doi: 10.1159/000488365.</w:t>
      </w:r>
    </w:p>
    <w:p w14:paraId="5A3A1B2A" w14:textId="77777777" w:rsidR="00306BD8" w:rsidRDefault="00306BD8" w:rsidP="00306BD8">
      <w:pPr>
        <w:pStyle w:val="ae"/>
      </w:pPr>
      <w:r>
        <w:lastRenderedPageBreak/>
        <w:t>[111]</w:t>
      </w:r>
      <w:r>
        <w:tab/>
        <w:t xml:space="preserve">Q. Xiao </w:t>
      </w:r>
      <w:r>
        <w:rPr>
          <w:i/>
          <w:iCs/>
        </w:rPr>
        <w:t>et al.</w:t>
      </w:r>
      <w:r>
        <w:t xml:space="preserve">, “Circulating Exosomal circRNAs Contribute to Potential Diagnostic Value of Large Artery Atherosclerotic Stroke,” </w:t>
      </w:r>
      <w:r>
        <w:rPr>
          <w:i/>
          <w:iCs/>
        </w:rPr>
        <w:t>Front. Immunol.</w:t>
      </w:r>
      <w:r>
        <w:t>, vol. 12, p. 830018, Jan. 2022, doi: 10.3389/fimmu.2021.830018.</w:t>
      </w:r>
    </w:p>
    <w:p w14:paraId="0230F693" w14:textId="77777777" w:rsidR="00306BD8" w:rsidRDefault="00306BD8" w:rsidP="00306BD8">
      <w:pPr>
        <w:pStyle w:val="ae"/>
      </w:pPr>
      <w:r>
        <w:t>[112]</w:t>
      </w:r>
      <w:r>
        <w:tab/>
        <w:t xml:space="preserve">J. Zhao </w:t>
      </w:r>
      <w:r>
        <w:rPr>
          <w:i/>
          <w:iCs/>
        </w:rPr>
        <w:t>et al.</w:t>
      </w:r>
      <w:r>
        <w:t xml:space="preserve">, “Circular RNA landscape in extracellular vesicles from human biofluids,” </w:t>
      </w:r>
      <w:r>
        <w:rPr>
          <w:i/>
          <w:iCs/>
        </w:rPr>
        <w:t>Genome Med.</w:t>
      </w:r>
      <w:r>
        <w:t>, vol. 16, no. 1, p. 126, Oct. 2024, doi: 10.1186/s13073-024-01400-w.</w:t>
      </w:r>
    </w:p>
    <w:p w14:paraId="2B70107D" w14:textId="77777777" w:rsidR="00306BD8" w:rsidRDefault="00306BD8" w:rsidP="00306BD8">
      <w:pPr>
        <w:pStyle w:val="ae"/>
      </w:pPr>
      <w:r>
        <w:t>[113]</w:t>
      </w:r>
      <w:r>
        <w:tab/>
        <w:t xml:space="preserve">Y. Hirsch </w:t>
      </w:r>
      <w:r>
        <w:rPr>
          <w:i/>
          <w:iCs/>
        </w:rPr>
        <w:t>et al.</w:t>
      </w:r>
      <w:r>
        <w:t xml:space="preserve">, “Unpacking the Role of Extracellular Vesicles in Ischemic and Hemorrhagic Stroke: Pathophysiology and Therapeutic Implications,” </w:t>
      </w:r>
      <w:r>
        <w:rPr>
          <w:i/>
          <w:iCs/>
        </w:rPr>
        <w:t>Transl. Stroke Res.</w:t>
      </w:r>
      <w:r>
        <w:t>, vol. 14, no. 2, pp. 146–159, Apr. 2023, doi: 10.1007/s12975-022-01027-2.</w:t>
      </w:r>
    </w:p>
    <w:p w14:paraId="05354FE7" w14:textId="77777777" w:rsidR="00306BD8" w:rsidRDefault="00306BD8" w:rsidP="00306BD8">
      <w:pPr>
        <w:pStyle w:val="ae"/>
      </w:pPr>
      <w:r>
        <w:t>[114]</w:t>
      </w:r>
      <w:r>
        <w:tab/>
        <w:t xml:space="preserve">T. A. Hartjes, S. Mytnyk, G. W. Jenster, V. van Steijn, and M. E. van Royen, “Extracellular Vesicle Quantification and Characterization: Common Methods and Emerging Approaches,” </w:t>
      </w:r>
      <w:r>
        <w:rPr>
          <w:i/>
          <w:iCs/>
        </w:rPr>
        <w:t>Bioengineering</w:t>
      </w:r>
      <w:r>
        <w:t>, vol. 6, no. 1, Art. no. 1, Mar. 2019, doi: 10.3390/bioengineering6010007.</w:t>
      </w:r>
    </w:p>
    <w:p w14:paraId="6946F5C8" w14:textId="77777777" w:rsidR="00306BD8" w:rsidRDefault="00306BD8" w:rsidP="00306BD8">
      <w:pPr>
        <w:pStyle w:val="ae"/>
      </w:pPr>
      <w:r>
        <w:t>[115]</w:t>
      </w:r>
      <w:r>
        <w:tab/>
        <w:t xml:space="preserve">J. Burrello </w:t>
      </w:r>
      <w:r>
        <w:rPr>
          <w:i/>
          <w:iCs/>
        </w:rPr>
        <w:t>et al.</w:t>
      </w:r>
      <w:r>
        <w:t xml:space="preserve">, “Extracellular Vesicle Surface Markers as a Diagnostic Tool in Transient Ischemic Attacks,” </w:t>
      </w:r>
      <w:r>
        <w:rPr>
          <w:i/>
          <w:iCs/>
        </w:rPr>
        <w:t>Stroke</w:t>
      </w:r>
      <w:r>
        <w:t>, vol. 52, no. 10, pp. 3335–3347, Oct. 2021, doi: 10.1161/STROKEAHA.120.033170.</w:t>
      </w:r>
    </w:p>
    <w:p w14:paraId="624FE194" w14:textId="77777777" w:rsidR="00306BD8" w:rsidRDefault="00306BD8" w:rsidP="00306BD8">
      <w:pPr>
        <w:pStyle w:val="ae"/>
      </w:pPr>
      <w:r>
        <w:t>[116]</w:t>
      </w:r>
      <w:r>
        <w:tab/>
        <w:t>“RNA-Seq Identifies Circulating miR-125a-5p, miR-125b-5p, and miR-143-3p as Potential Biomarkers for Acute Ischemic Stroke | Circulation Research.” Accessed: Nov. 20, 2024. [Online]. Available: https://www.ahajournals.org/doi/full/10.1161/CIRCRESAHA.117.311572</w:t>
      </w:r>
    </w:p>
    <w:p w14:paraId="2D8DE87F" w14:textId="77777777" w:rsidR="00306BD8" w:rsidRDefault="00306BD8" w:rsidP="00306BD8">
      <w:pPr>
        <w:pStyle w:val="ae"/>
      </w:pPr>
      <w:r>
        <w:t>[117]</w:t>
      </w:r>
      <w:r>
        <w:tab/>
        <w:t xml:space="preserve">Z. Qi, Y. Zhao, Y. Su, B. Cao, J.-J. Yang, and Q. Xing, “Serum Extracellular Vesicle–Derived miR-124-3p as a Diagnostic and Predictive Marker for Early-Stage Acute Ischemic Stroke,” </w:t>
      </w:r>
      <w:r>
        <w:rPr>
          <w:i/>
          <w:iCs/>
        </w:rPr>
        <w:t>Front. Mol. Biosci.</w:t>
      </w:r>
      <w:r>
        <w:t>, vol. 8, Jul. 2021, doi: 10.3389/fmolb.2021.685088.</w:t>
      </w:r>
    </w:p>
    <w:p w14:paraId="381D2209" w14:textId="77777777" w:rsidR="00306BD8" w:rsidRDefault="00306BD8" w:rsidP="00306BD8">
      <w:pPr>
        <w:pStyle w:val="ae"/>
      </w:pPr>
      <w:r>
        <w:t>[118]</w:t>
      </w:r>
      <w:r>
        <w:tab/>
        <w:t xml:space="preserve">A. Dias, I. Silva, I. M. Pinto, and L. F. Maia, “Timely and Blood-Based Multiplex Molecular Profiling of Acute Stroke,” </w:t>
      </w:r>
      <w:r>
        <w:rPr>
          <w:i/>
          <w:iCs/>
        </w:rPr>
        <w:t>Life</w:t>
      </w:r>
      <w:r>
        <w:t>, vol. 11, no. 8, Art. no. 8, Aug. 2021, doi: 10.3390/life11080816.</w:t>
      </w:r>
    </w:p>
    <w:p w14:paraId="50AF7B33" w14:textId="77777777" w:rsidR="00306BD8" w:rsidRDefault="00306BD8" w:rsidP="00306BD8">
      <w:pPr>
        <w:pStyle w:val="ae"/>
      </w:pPr>
      <w:r>
        <w:t>[119]</w:t>
      </w:r>
      <w:r>
        <w:tab/>
        <w:t xml:space="preserve">M. Lee </w:t>
      </w:r>
      <w:r>
        <w:rPr>
          <w:i/>
          <w:iCs/>
        </w:rPr>
        <w:t>et al.</w:t>
      </w:r>
      <w:r>
        <w:t xml:space="preserve">, “A comprehensive Exdia TRF-LFIA for simultaneous quantification of GFAP and NT-proBNP in distinguishing ischemic and hemorrhagic stroke,” </w:t>
      </w:r>
      <w:r>
        <w:rPr>
          <w:i/>
          <w:iCs/>
        </w:rPr>
        <w:t>Clin. Chim. Acta</w:t>
      </w:r>
      <w:r>
        <w:t>, vol. 557, p. 117872, Apr. 2024, doi: 10.1016/j.cca.2024.117872.</w:t>
      </w:r>
    </w:p>
    <w:p w14:paraId="77163BC0" w14:textId="77777777" w:rsidR="00306BD8" w:rsidRDefault="00306BD8" w:rsidP="00306BD8">
      <w:pPr>
        <w:pStyle w:val="ae"/>
      </w:pPr>
      <w:r>
        <w:t>[120]</w:t>
      </w:r>
      <w:r>
        <w:tab/>
        <w:t xml:space="preserve">M. Wu </w:t>
      </w:r>
      <w:r>
        <w:rPr>
          <w:i/>
          <w:iCs/>
        </w:rPr>
        <w:t>et al.</w:t>
      </w:r>
      <w:r>
        <w:t xml:space="preserve">, “Isolation of exosomes from whole blood by integrating acoustics and microfluidics,” </w:t>
      </w:r>
      <w:r>
        <w:rPr>
          <w:i/>
          <w:iCs/>
        </w:rPr>
        <w:t>Proc. Natl. Acad. Sci.</w:t>
      </w:r>
      <w:r>
        <w:t>, vol. 114, no. 40, pp. 10584–10589, Oct. 2017, doi: 10.1073/pnas.1709210114.</w:t>
      </w:r>
    </w:p>
    <w:p w14:paraId="2AFF27FE" w14:textId="77777777" w:rsidR="00306BD8" w:rsidRDefault="00306BD8" w:rsidP="00306BD8">
      <w:pPr>
        <w:pStyle w:val="ae"/>
      </w:pPr>
      <w:r>
        <w:t>[121]</w:t>
      </w:r>
      <w:r>
        <w:tab/>
        <w:t xml:space="preserve">M. Havers, A. Broman, A. Lenshof, and T. Laurell, “Advancement and obstacles in microfluidics-based isolation of extracellular vesicles,” </w:t>
      </w:r>
      <w:r>
        <w:rPr>
          <w:i/>
          <w:iCs/>
        </w:rPr>
        <w:t>Anal. Bioanal. Chem.</w:t>
      </w:r>
      <w:r>
        <w:t>, vol. 415, no. 7, pp. 1265–1285, Mar. 2023, doi: 10.1007/s00216-022-04362-3.</w:t>
      </w:r>
    </w:p>
    <w:p w14:paraId="3A29A763" w14:textId="42C9751C" w:rsidR="005A6B05" w:rsidRPr="00371600" w:rsidRDefault="003B436B" w:rsidP="008F5648">
      <w:pPr>
        <w:spacing w:line="360" w:lineRule="auto"/>
      </w:pPr>
      <w:r w:rsidRPr="00A831E7">
        <w:fldChar w:fldCharType="end"/>
      </w:r>
      <w:bookmarkEnd w:id="168"/>
    </w:p>
    <w:sectPr w:rsidR="005A6B05" w:rsidRPr="00371600" w:rsidSect="00924BAE">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0A657" w14:textId="77777777" w:rsidR="00D057C2" w:rsidRPr="00A831E7" w:rsidRDefault="00D057C2" w:rsidP="004E69CD">
      <w:r w:rsidRPr="00A831E7">
        <w:separator/>
      </w:r>
    </w:p>
  </w:endnote>
  <w:endnote w:type="continuationSeparator" w:id="0">
    <w:p w14:paraId="5F3659E7" w14:textId="77777777" w:rsidR="00D057C2" w:rsidRPr="00A831E7" w:rsidRDefault="00D057C2" w:rsidP="004E69CD">
      <w:r w:rsidRPr="00A831E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lasTimes">
    <w:altName w:val="Courier New"/>
    <w:charset w:val="00"/>
    <w:family w:val="roman"/>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Times-Roman">
    <w:altName w:val="Times New Roman"/>
    <w:charset w:val="00"/>
    <w:family w:val="roman"/>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D19D6" w14:textId="77777777" w:rsidR="0007342C" w:rsidRPr="00A831E7" w:rsidRDefault="0007342C">
    <w:pPr>
      <w:pStyle w:val="ab"/>
      <w:pBdr>
        <w:bottom w:val="none" w:sz="0" w:space="0" w:color="auto"/>
      </w:pBdr>
      <w:rPr>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523C" w14:textId="77777777" w:rsidR="0007342C" w:rsidRPr="00A831E7" w:rsidRDefault="0007342C">
    <w:pPr>
      <w:pStyle w:val="ab"/>
      <w:pBdr>
        <w:bottom w:val="none" w:sz="0" w:space="0" w:color="auto"/>
      </w:pBdr>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l-GR"/>
      </w:rPr>
      <w:id w:val="1930533932"/>
      <w:docPartObj>
        <w:docPartGallery w:val="Page Numbers (Bottom of Page)"/>
        <w:docPartUnique/>
      </w:docPartObj>
    </w:sdtPr>
    <w:sdtContent>
      <w:p w14:paraId="5C7D474A" w14:textId="1910EE0A" w:rsidR="004E69CD" w:rsidRPr="00A831E7" w:rsidRDefault="004E69CD">
        <w:pPr>
          <w:pStyle w:val="ab"/>
          <w:jc w:val="center"/>
          <w:rPr>
            <w:lang w:val="el-GR"/>
          </w:rPr>
        </w:pPr>
        <w:r w:rsidRPr="00A831E7">
          <w:rPr>
            <w:lang w:val="el-GR"/>
          </w:rPr>
          <w:fldChar w:fldCharType="begin"/>
        </w:r>
        <w:r w:rsidRPr="00A831E7">
          <w:rPr>
            <w:lang w:val="el-GR"/>
          </w:rPr>
          <w:instrText>PAGE   \* MERGEFORMAT</w:instrText>
        </w:r>
        <w:r w:rsidRPr="00A831E7">
          <w:rPr>
            <w:lang w:val="el-GR"/>
          </w:rPr>
          <w:fldChar w:fldCharType="separate"/>
        </w:r>
        <w:r w:rsidRPr="00A831E7">
          <w:rPr>
            <w:lang w:val="el-GR"/>
          </w:rPr>
          <w:t>2</w:t>
        </w:r>
        <w:r w:rsidRPr="00A831E7">
          <w:rPr>
            <w:lang w:val="el-GR"/>
          </w:rPr>
          <w:fldChar w:fldCharType="end"/>
        </w:r>
      </w:p>
    </w:sdtContent>
  </w:sdt>
  <w:p w14:paraId="7E98A4C0" w14:textId="77777777" w:rsidR="0007342C" w:rsidRPr="00A831E7" w:rsidRDefault="0007342C">
    <w:pPr>
      <w:pStyle w:val="ab"/>
      <w:pBdr>
        <w:bottom w:val="none" w:sz="0" w:space="0" w:color="auto"/>
      </w:pBdr>
      <w:rPr>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l-GR"/>
      </w:rPr>
      <w:id w:val="-1589775693"/>
      <w:docPartObj>
        <w:docPartGallery w:val="Page Numbers (Bottom of Page)"/>
        <w:docPartUnique/>
      </w:docPartObj>
    </w:sdtPr>
    <w:sdtContent>
      <w:p w14:paraId="435D3554" w14:textId="77777777" w:rsidR="005A6B05" w:rsidRPr="00A831E7" w:rsidRDefault="005A6B05">
        <w:pPr>
          <w:pStyle w:val="ab"/>
          <w:jc w:val="center"/>
          <w:rPr>
            <w:lang w:val="el-GR"/>
          </w:rPr>
        </w:pPr>
        <w:r w:rsidRPr="00A831E7">
          <w:rPr>
            <w:lang w:val="el-GR"/>
          </w:rPr>
          <w:fldChar w:fldCharType="begin"/>
        </w:r>
        <w:r w:rsidRPr="00A831E7">
          <w:rPr>
            <w:lang w:val="el-GR"/>
          </w:rPr>
          <w:instrText>PAGE   \* MERGEFORMAT</w:instrText>
        </w:r>
        <w:r w:rsidRPr="00A831E7">
          <w:rPr>
            <w:lang w:val="el-GR"/>
          </w:rPr>
          <w:fldChar w:fldCharType="separate"/>
        </w:r>
        <w:r w:rsidRPr="00A831E7">
          <w:rPr>
            <w:lang w:val="el-GR"/>
          </w:rPr>
          <w:t>2</w:t>
        </w:r>
        <w:r w:rsidRPr="00A831E7">
          <w:rPr>
            <w:lang w:val="el-GR"/>
          </w:rPr>
          <w:fldChar w:fldCharType="end"/>
        </w:r>
      </w:p>
    </w:sdtContent>
  </w:sdt>
  <w:p w14:paraId="69D3A178" w14:textId="77777777" w:rsidR="005A6B05" w:rsidRPr="00A831E7" w:rsidRDefault="005A6B05">
    <w:pPr>
      <w:pStyle w:val="ab"/>
      <w:pBdr>
        <w:bottom w:val="none" w:sz="0" w:space="0" w:color="auto"/>
      </w:pBd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A6EF4" w14:textId="77777777" w:rsidR="00D057C2" w:rsidRPr="00A831E7" w:rsidRDefault="00D057C2" w:rsidP="004E69CD">
      <w:r w:rsidRPr="00A831E7">
        <w:separator/>
      </w:r>
    </w:p>
  </w:footnote>
  <w:footnote w:type="continuationSeparator" w:id="0">
    <w:p w14:paraId="764AA42E" w14:textId="77777777" w:rsidR="00D057C2" w:rsidRPr="00A831E7" w:rsidRDefault="00D057C2" w:rsidP="004E69CD">
      <w:r w:rsidRPr="00A831E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3F37" w14:textId="77777777" w:rsidR="0007342C" w:rsidRPr="00A831E7" w:rsidRDefault="0007342C">
    <w:pPr>
      <w:pStyle w:val="aa"/>
      <w:pBdr>
        <w:bottom w:val="none" w:sz="0" w:space="0" w:color="auto"/>
      </w:pBdr>
      <w:rPr>
        <w:rFonts w:ascii="Times New Roman" w:hAnsi="Times New Roman"/>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B2BC" w14:textId="77777777" w:rsidR="0007342C" w:rsidRPr="00A831E7" w:rsidRDefault="0007342C">
    <w:pPr>
      <w:pStyle w:val="aa"/>
      <w:pBdr>
        <w:bottom w:val="none" w:sz="0" w:space="0" w:color="auto"/>
      </w:pBdr>
      <w:rPr>
        <w:lang w:val="el-G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DF4D" w14:textId="77777777" w:rsidR="0007342C" w:rsidRPr="00A831E7" w:rsidRDefault="0007342C">
    <w:pPr>
      <w:pStyle w:val="aa"/>
      <w:pBdr>
        <w:bottom w:val="none" w:sz="0" w:space="0" w:color="auto"/>
      </w:pBdr>
      <w:rPr>
        <w:lang w:val="el-G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0F81" w14:textId="77777777" w:rsidR="005A6B05" w:rsidRPr="00A831E7" w:rsidRDefault="005A6B05">
    <w:pPr>
      <w:pStyle w:val="aa"/>
      <w:pBdr>
        <w:bottom w:val="none" w:sz="0" w:space="0" w:color="auto"/>
      </w:pBd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7878"/>
    <w:multiLevelType w:val="hybridMultilevel"/>
    <w:tmpl w:val="6692782A"/>
    <w:lvl w:ilvl="0" w:tplc="00000065">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E160C0"/>
    <w:multiLevelType w:val="hybridMultilevel"/>
    <w:tmpl w:val="87124508"/>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B0958"/>
    <w:multiLevelType w:val="hybridMultilevel"/>
    <w:tmpl w:val="3530DA2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E3C25"/>
    <w:multiLevelType w:val="hybridMultilevel"/>
    <w:tmpl w:val="093E04AA"/>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720" w:hanging="360"/>
      </w:pPr>
      <w:rPr>
        <w:rFonts w:ascii="Wingdings" w:hAnsi="Wingdings" w:hint="default"/>
      </w:rPr>
    </w:lvl>
    <w:lvl w:ilvl="3" w:tplc="04080001" w:tentative="1">
      <w:start w:val="1"/>
      <w:numFmt w:val="bullet"/>
      <w:lvlText w:val=""/>
      <w:lvlJc w:val="left"/>
      <w:pPr>
        <w:ind w:left="0" w:hanging="360"/>
      </w:pPr>
      <w:rPr>
        <w:rFonts w:ascii="Symbol" w:hAnsi="Symbol" w:hint="default"/>
      </w:rPr>
    </w:lvl>
    <w:lvl w:ilvl="4" w:tplc="04080003" w:tentative="1">
      <w:start w:val="1"/>
      <w:numFmt w:val="bullet"/>
      <w:lvlText w:val="o"/>
      <w:lvlJc w:val="left"/>
      <w:pPr>
        <w:ind w:left="720" w:hanging="360"/>
      </w:pPr>
      <w:rPr>
        <w:rFonts w:ascii="Courier New" w:hAnsi="Courier New" w:cs="Courier New" w:hint="default"/>
      </w:rPr>
    </w:lvl>
    <w:lvl w:ilvl="5" w:tplc="04080005" w:tentative="1">
      <w:start w:val="1"/>
      <w:numFmt w:val="bullet"/>
      <w:lvlText w:val=""/>
      <w:lvlJc w:val="left"/>
      <w:pPr>
        <w:ind w:left="1440" w:hanging="360"/>
      </w:pPr>
      <w:rPr>
        <w:rFonts w:ascii="Wingdings" w:hAnsi="Wingdings" w:hint="default"/>
      </w:rPr>
    </w:lvl>
    <w:lvl w:ilvl="6" w:tplc="04080001" w:tentative="1">
      <w:start w:val="1"/>
      <w:numFmt w:val="bullet"/>
      <w:lvlText w:val=""/>
      <w:lvlJc w:val="left"/>
      <w:pPr>
        <w:ind w:left="2160" w:hanging="360"/>
      </w:pPr>
      <w:rPr>
        <w:rFonts w:ascii="Symbol" w:hAnsi="Symbol" w:hint="default"/>
      </w:rPr>
    </w:lvl>
    <w:lvl w:ilvl="7" w:tplc="04080003" w:tentative="1">
      <w:start w:val="1"/>
      <w:numFmt w:val="bullet"/>
      <w:lvlText w:val="o"/>
      <w:lvlJc w:val="left"/>
      <w:pPr>
        <w:ind w:left="2880" w:hanging="360"/>
      </w:pPr>
      <w:rPr>
        <w:rFonts w:ascii="Courier New" w:hAnsi="Courier New" w:cs="Courier New" w:hint="default"/>
      </w:rPr>
    </w:lvl>
    <w:lvl w:ilvl="8" w:tplc="04080005" w:tentative="1">
      <w:start w:val="1"/>
      <w:numFmt w:val="bullet"/>
      <w:lvlText w:val=""/>
      <w:lvlJc w:val="left"/>
      <w:pPr>
        <w:ind w:left="3600" w:hanging="360"/>
      </w:pPr>
      <w:rPr>
        <w:rFonts w:ascii="Wingdings" w:hAnsi="Wingdings" w:hint="default"/>
      </w:rPr>
    </w:lvl>
  </w:abstractNum>
  <w:abstractNum w:abstractNumId="4" w15:restartNumberingAfterBreak="0">
    <w:nsid w:val="0AF92218"/>
    <w:multiLevelType w:val="hybridMultilevel"/>
    <w:tmpl w:val="68EA5BF8"/>
    <w:lvl w:ilvl="0" w:tplc="0408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 w15:restartNumberingAfterBreak="0">
    <w:nsid w:val="0CB819E7"/>
    <w:multiLevelType w:val="hybridMultilevel"/>
    <w:tmpl w:val="BA1EBE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AC6DAB"/>
    <w:multiLevelType w:val="hybridMultilevel"/>
    <w:tmpl w:val="1BD4E608"/>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B7253"/>
    <w:multiLevelType w:val="multilevel"/>
    <w:tmpl w:val="75FCD82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D17108"/>
    <w:multiLevelType w:val="hybridMultilevel"/>
    <w:tmpl w:val="443A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643D4"/>
    <w:multiLevelType w:val="hybridMultilevel"/>
    <w:tmpl w:val="9F7CE46C"/>
    <w:lvl w:ilvl="0" w:tplc="00000065">
      <w:start w:val="1"/>
      <w:numFmt w:val="bullet"/>
      <w:lvlText w:val="•"/>
      <w:lvlJc w:val="left"/>
      <w:pPr>
        <w:ind w:left="1146" w:hanging="360"/>
      </w:p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2B604EC4"/>
    <w:multiLevelType w:val="hybridMultilevel"/>
    <w:tmpl w:val="99D89C12"/>
    <w:lvl w:ilvl="0" w:tplc="D422C014">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F870F2D"/>
    <w:multiLevelType w:val="hybridMultilevel"/>
    <w:tmpl w:val="A448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A01C3"/>
    <w:multiLevelType w:val="hybridMultilevel"/>
    <w:tmpl w:val="88EC427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04824"/>
    <w:multiLevelType w:val="hybridMultilevel"/>
    <w:tmpl w:val="C5140EA4"/>
    <w:lvl w:ilvl="0" w:tplc="00000065">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CA31D8"/>
    <w:multiLevelType w:val="hybridMultilevel"/>
    <w:tmpl w:val="B8D8D2A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2478CD"/>
    <w:multiLevelType w:val="hybridMultilevel"/>
    <w:tmpl w:val="67EE8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E13A53"/>
    <w:multiLevelType w:val="hybridMultilevel"/>
    <w:tmpl w:val="7674D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71D61D3"/>
    <w:multiLevelType w:val="hybridMultilevel"/>
    <w:tmpl w:val="4DE6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A43013"/>
    <w:multiLevelType w:val="hybridMultilevel"/>
    <w:tmpl w:val="1A604D2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67F6A"/>
    <w:multiLevelType w:val="hybridMultilevel"/>
    <w:tmpl w:val="920A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95329"/>
    <w:multiLevelType w:val="hybridMultilevel"/>
    <w:tmpl w:val="4C109ADA"/>
    <w:lvl w:ilvl="0" w:tplc="FCFE3C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E5EAA"/>
    <w:multiLevelType w:val="hybridMultilevel"/>
    <w:tmpl w:val="10C6C83A"/>
    <w:lvl w:ilvl="0" w:tplc="4BFA4380">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69F5665"/>
    <w:multiLevelType w:val="hybridMultilevel"/>
    <w:tmpl w:val="3A10E8F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20BBB"/>
    <w:multiLevelType w:val="hybridMultilevel"/>
    <w:tmpl w:val="407071CC"/>
    <w:lvl w:ilvl="0" w:tplc="EDF45292">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C725C6D"/>
    <w:multiLevelType w:val="hybridMultilevel"/>
    <w:tmpl w:val="5B98486C"/>
    <w:lvl w:ilvl="0" w:tplc="7D221B82">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1954AD0"/>
    <w:multiLevelType w:val="hybridMultilevel"/>
    <w:tmpl w:val="DD0213D6"/>
    <w:lvl w:ilvl="0" w:tplc="FA16AA54">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74664F"/>
    <w:multiLevelType w:val="hybridMultilevel"/>
    <w:tmpl w:val="6C9283E4"/>
    <w:lvl w:ilvl="0" w:tplc="00000065">
      <w:start w:val="1"/>
      <w:numFmt w:val="bullet"/>
      <w:lvlText w:val="•"/>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8DF7F46"/>
    <w:multiLevelType w:val="hybridMultilevel"/>
    <w:tmpl w:val="0B3A249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601C0"/>
    <w:multiLevelType w:val="hybridMultilevel"/>
    <w:tmpl w:val="AD1E00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6C00641"/>
    <w:multiLevelType w:val="hybridMultilevel"/>
    <w:tmpl w:val="19866DC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02ED0"/>
    <w:multiLevelType w:val="hybridMultilevel"/>
    <w:tmpl w:val="F39E775A"/>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3D0EB1"/>
    <w:multiLevelType w:val="hybridMultilevel"/>
    <w:tmpl w:val="A8100D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975100">
    <w:abstractNumId w:val="24"/>
  </w:num>
  <w:num w:numId="2" w16cid:durableId="1152286073">
    <w:abstractNumId w:val="7"/>
  </w:num>
  <w:num w:numId="3" w16cid:durableId="384837013">
    <w:abstractNumId w:val="28"/>
  </w:num>
  <w:num w:numId="4" w16cid:durableId="516776687">
    <w:abstractNumId w:val="21"/>
  </w:num>
  <w:num w:numId="5" w16cid:durableId="1994681487">
    <w:abstractNumId w:val="3"/>
  </w:num>
  <w:num w:numId="6" w16cid:durableId="2092237937">
    <w:abstractNumId w:val="10"/>
  </w:num>
  <w:num w:numId="7" w16cid:durableId="470754509">
    <w:abstractNumId w:val="23"/>
  </w:num>
  <w:num w:numId="8" w16cid:durableId="1183283933">
    <w:abstractNumId w:val="16"/>
  </w:num>
  <w:num w:numId="9" w16cid:durableId="1847673806">
    <w:abstractNumId w:val="25"/>
  </w:num>
  <w:num w:numId="10" w16cid:durableId="1078820016">
    <w:abstractNumId w:val="19"/>
  </w:num>
  <w:num w:numId="11" w16cid:durableId="21058781">
    <w:abstractNumId w:val="30"/>
  </w:num>
  <w:num w:numId="12" w16cid:durableId="718672134">
    <w:abstractNumId w:val="18"/>
  </w:num>
  <w:num w:numId="13" w16cid:durableId="1540585799">
    <w:abstractNumId w:val="1"/>
  </w:num>
  <w:num w:numId="14" w16cid:durableId="394278761">
    <w:abstractNumId w:val="29"/>
  </w:num>
  <w:num w:numId="15" w16cid:durableId="2051882789">
    <w:abstractNumId w:val="15"/>
  </w:num>
  <w:num w:numId="16" w16cid:durableId="831218906">
    <w:abstractNumId w:val="0"/>
  </w:num>
  <w:num w:numId="17" w16cid:durableId="59446537">
    <w:abstractNumId w:val="13"/>
  </w:num>
  <w:num w:numId="18" w16cid:durableId="1985045212">
    <w:abstractNumId w:val="26"/>
  </w:num>
  <w:num w:numId="19" w16cid:durableId="1675915828">
    <w:abstractNumId w:val="6"/>
  </w:num>
  <w:num w:numId="20" w16cid:durableId="1968319669">
    <w:abstractNumId w:val="5"/>
  </w:num>
  <w:num w:numId="21" w16cid:durableId="1534617159">
    <w:abstractNumId w:val="2"/>
  </w:num>
  <w:num w:numId="22" w16cid:durableId="1147866272">
    <w:abstractNumId w:val="20"/>
  </w:num>
  <w:num w:numId="23" w16cid:durableId="813063578">
    <w:abstractNumId w:val="9"/>
  </w:num>
  <w:num w:numId="24" w16cid:durableId="1000884765">
    <w:abstractNumId w:val="4"/>
  </w:num>
  <w:num w:numId="25" w16cid:durableId="819275853">
    <w:abstractNumId w:val="22"/>
  </w:num>
  <w:num w:numId="26" w16cid:durableId="1392803469">
    <w:abstractNumId w:val="12"/>
  </w:num>
  <w:num w:numId="27" w16cid:durableId="1929650760">
    <w:abstractNumId w:val="27"/>
  </w:num>
  <w:num w:numId="28" w16cid:durableId="2067483183">
    <w:abstractNumId w:val="14"/>
  </w:num>
  <w:num w:numId="29" w16cid:durableId="1488206671">
    <w:abstractNumId w:val="31"/>
  </w:num>
  <w:num w:numId="30" w16cid:durableId="555892600">
    <w:abstractNumId w:val="8"/>
  </w:num>
  <w:num w:numId="31" w16cid:durableId="1567257108">
    <w:abstractNumId w:val="17"/>
  </w:num>
  <w:num w:numId="32" w16cid:durableId="950429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9CD"/>
    <w:rsid w:val="00001C61"/>
    <w:rsid w:val="00002799"/>
    <w:rsid w:val="000105F8"/>
    <w:rsid w:val="00010EB7"/>
    <w:rsid w:val="000111A7"/>
    <w:rsid w:val="000128CC"/>
    <w:rsid w:val="00014F58"/>
    <w:rsid w:val="00015C57"/>
    <w:rsid w:val="000162D7"/>
    <w:rsid w:val="00016B5D"/>
    <w:rsid w:val="00021B80"/>
    <w:rsid w:val="00022510"/>
    <w:rsid w:val="00023E78"/>
    <w:rsid w:val="000251C5"/>
    <w:rsid w:val="000251EE"/>
    <w:rsid w:val="000252BC"/>
    <w:rsid w:val="00025BB7"/>
    <w:rsid w:val="00026488"/>
    <w:rsid w:val="000264D2"/>
    <w:rsid w:val="0002795B"/>
    <w:rsid w:val="000330BC"/>
    <w:rsid w:val="000331B3"/>
    <w:rsid w:val="00036669"/>
    <w:rsid w:val="00061EE9"/>
    <w:rsid w:val="0006234C"/>
    <w:rsid w:val="000634A4"/>
    <w:rsid w:val="00064B71"/>
    <w:rsid w:val="00065765"/>
    <w:rsid w:val="00070D4C"/>
    <w:rsid w:val="00071933"/>
    <w:rsid w:val="0007342C"/>
    <w:rsid w:val="000742C0"/>
    <w:rsid w:val="00080A80"/>
    <w:rsid w:val="00080A8A"/>
    <w:rsid w:val="00087CB6"/>
    <w:rsid w:val="000924B0"/>
    <w:rsid w:val="00093CE3"/>
    <w:rsid w:val="0009484F"/>
    <w:rsid w:val="00095321"/>
    <w:rsid w:val="000A0CC4"/>
    <w:rsid w:val="000A30AC"/>
    <w:rsid w:val="000A3391"/>
    <w:rsid w:val="000A4A6D"/>
    <w:rsid w:val="000A5D74"/>
    <w:rsid w:val="000B0A63"/>
    <w:rsid w:val="000B5FE9"/>
    <w:rsid w:val="000C1070"/>
    <w:rsid w:val="000C1BEC"/>
    <w:rsid w:val="000C314E"/>
    <w:rsid w:val="000C3A62"/>
    <w:rsid w:val="000C454E"/>
    <w:rsid w:val="000C4B17"/>
    <w:rsid w:val="000D2CB1"/>
    <w:rsid w:val="000D69B0"/>
    <w:rsid w:val="000E407E"/>
    <w:rsid w:val="000E7BF1"/>
    <w:rsid w:val="000F3B6A"/>
    <w:rsid w:val="000F7633"/>
    <w:rsid w:val="000F77E9"/>
    <w:rsid w:val="0010194E"/>
    <w:rsid w:val="00104378"/>
    <w:rsid w:val="00105D4F"/>
    <w:rsid w:val="0011104D"/>
    <w:rsid w:val="00111E2B"/>
    <w:rsid w:val="00115381"/>
    <w:rsid w:val="00116032"/>
    <w:rsid w:val="00116A8B"/>
    <w:rsid w:val="001206FE"/>
    <w:rsid w:val="00121632"/>
    <w:rsid w:val="00122ABA"/>
    <w:rsid w:val="00130EB3"/>
    <w:rsid w:val="00131AB7"/>
    <w:rsid w:val="00133475"/>
    <w:rsid w:val="00134CE7"/>
    <w:rsid w:val="00137578"/>
    <w:rsid w:val="00141AA4"/>
    <w:rsid w:val="00142B13"/>
    <w:rsid w:val="00145C00"/>
    <w:rsid w:val="001470B4"/>
    <w:rsid w:val="00150E93"/>
    <w:rsid w:val="00154055"/>
    <w:rsid w:val="00157CD6"/>
    <w:rsid w:val="0016376B"/>
    <w:rsid w:val="00165542"/>
    <w:rsid w:val="00172BAD"/>
    <w:rsid w:val="00174C1B"/>
    <w:rsid w:val="00185741"/>
    <w:rsid w:val="00186AD8"/>
    <w:rsid w:val="00190D24"/>
    <w:rsid w:val="00191498"/>
    <w:rsid w:val="00194345"/>
    <w:rsid w:val="00194C83"/>
    <w:rsid w:val="00194F56"/>
    <w:rsid w:val="00196220"/>
    <w:rsid w:val="001A0BA4"/>
    <w:rsid w:val="001A281D"/>
    <w:rsid w:val="001A4529"/>
    <w:rsid w:val="001A7986"/>
    <w:rsid w:val="001B04CA"/>
    <w:rsid w:val="001B1A85"/>
    <w:rsid w:val="001B617E"/>
    <w:rsid w:val="001B6EFF"/>
    <w:rsid w:val="001C18A3"/>
    <w:rsid w:val="001C4633"/>
    <w:rsid w:val="001C4B0E"/>
    <w:rsid w:val="001D0B8E"/>
    <w:rsid w:val="001D136D"/>
    <w:rsid w:val="001D286F"/>
    <w:rsid w:val="001D2FE3"/>
    <w:rsid w:val="001D33A1"/>
    <w:rsid w:val="001D613C"/>
    <w:rsid w:val="001D68F2"/>
    <w:rsid w:val="001D6FFA"/>
    <w:rsid w:val="001E36E2"/>
    <w:rsid w:val="001E53CA"/>
    <w:rsid w:val="001F0286"/>
    <w:rsid w:val="001F070D"/>
    <w:rsid w:val="001F1C49"/>
    <w:rsid w:val="001F296A"/>
    <w:rsid w:val="001F3E4A"/>
    <w:rsid w:val="00202BEE"/>
    <w:rsid w:val="002040EF"/>
    <w:rsid w:val="00204644"/>
    <w:rsid w:val="002066E2"/>
    <w:rsid w:val="0020697C"/>
    <w:rsid w:val="0021364F"/>
    <w:rsid w:val="00216496"/>
    <w:rsid w:val="00217D51"/>
    <w:rsid w:val="002265D7"/>
    <w:rsid w:val="0023435A"/>
    <w:rsid w:val="0023553F"/>
    <w:rsid w:val="00240937"/>
    <w:rsid w:val="00240C80"/>
    <w:rsid w:val="00241107"/>
    <w:rsid w:val="0024223E"/>
    <w:rsid w:val="00245314"/>
    <w:rsid w:val="00251648"/>
    <w:rsid w:val="00251C2F"/>
    <w:rsid w:val="00252223"/>
    <w:rsid w:val="00252C9D"/>
    <w:rsid w:val="00256ED0"/>
    <w:rsid w:val="002613DC"/>
    <w:rsid w:val="00262127"/>
    <w:rsid w:val="00263422"/>
    <w:rsid w:val="002653F8"/>
    <w:rsid w:val="002676FB"/>
    <w:rsid w:val="00271734"/>
    <w:rsid w:val="002719A9"/>
    <w:rsid w:val="00271A56"/>
    <w:rsid w:val="0027217E"/>
    <w:rsid w:val="00281029"/>
    <w:rsid w:val="002813E9"/>
    <w:rsid w:val="00284C4B"/>
    <w:rsid w:val="00290568"/>
    <w:rsid w:val="00290A61"/>
    <w:rsid w:val="002912E1"/>
    <w:rsid w:val="002914C3"/>
    <w:rsid w:val="002916E4"/>
    <w:rsid w:val="002945F0"/>
    <w:rsid w:val="00295D95"/>
    <w:rsid w:val="00296834"/>
    <w:rsid w:val="00296CEA"/>
    <w:rsid w:val="00297815"/>
    <w:rsid w:val="002A023B"/>
    <w:rsid w:val="002A0E22"/>
    <w:rsid w:val="002A2A5A"/>
    <w:rsid w:val="002A732B"/>
    <w:rsid w:val="002A765B"/>
    <w:rsid w:val="002B0496"/>
    <w:rsid w:val="002B2AFA"/>
    <w:rsid w:val="002B3D7E"/>
    <w:rsid w:val="002B7A5E"/>
    <w:rsid w:val="002B7EE8"/>
    <w:rsid w:val="002C00D4"/>
    <w:rsid w:val="002C0FDB"/>
    <w:rsid w:val="002C118A"/>
    <w:rsid w:val="002C1B5D"/>
    <w:rsid w:val="002C3E4B"/>
    <w:rsid w:val="002C7988"/>
    <w:rsid w:val="002D0BD8"/>
    <w:rsid w:val="002D1756"/>
    <w:rsid w:val="002D2047"/>
    <w:rsid w:val="002D47AE"/>
    <w:rsid w:val="002E0B64"/>
    <w:rsid w:val="002E1FCF"/>
    <w:rsid w:val="002E2DE3"/>
    <w:rsid w:val="002E3FD0"/>
    <w:rsid w:val="002E4784"/>
    <w:rsid w:val="002E5DCB"/>
    <w:rsid w:val="002F0951"/>
    <w:rsid w:val="002F25E2"/>
    <w:rsid w:val="002F2D17"/>
    <w:rsid w:val="002F48B1"/>
    <w:rsid w:val="002F57BD"/>
    <w:rsid w:val="002F7066"/>
    <w:rsid w:val="003020DD"/>
    <w:rsid w:val="00302ACF"/>
    <w:rsid w:val="003040F1"/>
    <w:rsid w:val="003045AC"/>
    <w:rsid w:val="00306BD8"/>
    <w:rsid w:val="0031090F"/>
    <w:rsid w:val="00311959"/>
    <w:rsid w:val="00311BD1"/>
    <w:rsid w:val="00314698"/>
    <w:rsid w:val="00315B6B"/>
    <w:rsid w:val="00321449"/>
    <w:rsid w:val="0032161E"/>
    <w:rsid w:val="00322313"/>
    <w:rsid w:val="0032309C"/>
    <w:rsid w:val="00330EB7"/>
    <w:rsid w:val="00331C3E"/>
    <w:rsid w:val="00334D5D"/>
    <w:rsid w:val="00336BD8"/>
    <w:rsid w:val="0033708E"/>
    <w:rsid w:val="0034120E"/>
    <w:rsid w:val="00344740"/>
    <w:rsid w:val="003472FE"/>
    <w:rsid w:val="00353873"/>
    <w:rsid w:val="00364C8D"/>
    <w:rsid w:val="003678F9"/>
    <w:rsid w:val="00367DE9"/>
    <w:rsid w:val="00371600"/>
    <w:rsid w:val="003718A7"/>
    <w:rsid w:val="00373DE6"/>
    <w:rsid w:val="003763F0"/>
    <w:rsid w:val="003809E1"/>
    <w:rsid w:val="00385093"/>
    <w:rsid w:val="00386C6E"/>
    <w:rsid w:val="00386FC9"/>
    <w:rsid w:val="00387775"/>
    <w:rsid w:val="00392481"/>
    <w:rsid w:val="00394846"/>
    <w:rsid w:val="003965A7"/>
    <w:rsid w:val="00397253"/>
    <w:rsid w:val="003A0F43"/>
    <w:rsid w:val="003A213A"/>
    <w:rsid w:val="003A50B0"/>
    <w:rsid w:val="003A6145"/>
    <w:rsid w:val="003B0C15"/>
    <w:rsid w:val="003B38C1"/>
    <w:rsid w:val="003B436B"/>
    <w:rsid w:val="003B6722"/>
    <w:rsid w:val="003B7C41"/>
    <w:rsid w:val="003C0D0F"/>
    <w:rsid w:val="003C1CFE"/>
    <w:rsid w:val="003C1F58"/>
    <w:rsid w:val="003C38BA"/>
    <w:rsid w:val="003C7BEA"/>
    <w:rsid w:val="003D15BC"/>
    <w:rsid w:val="003D15D4"/>
    <w:rsid w:val="003D1962"/>
    <w:rsid w:val="003D1E82"/>
    <w:rsid w:val="003D29F5"/>
    <w:rsid w:val="003E2576"/>
    <w:rsid w:val="003E2610"/>
    <w:rsid w:val="003E63B0"/>
    <w:rsid w:val="003E6D9B"/>
    <w:rsid w:val="003E778F"/>
    <w:rsid w:val="003F12CC"/>
    <w:rsid w:val="003F168C"/>
    <w:rsid w:val="003F2751"/>
    <w:rsid w:val="003F2DCA"/>
    <w:rsid w:val="003F3425"/>
    <w:rsid w:val="003F48FF"/>
    <w:rsid w:val="003F5C26"/>
    <w:rsid w:val="003F6BC2"/>
    <w:rsid w:val="003F7303"/>
    <w:rsid w:val="0041003F"/>
    <w:rsid w:val="004152CC"/>
    <w:rsid w:val="00415CFD"/>
    <w:rsid w:val="00416C76"/>
    <w:rsid w:val="00421282"/>
    <w:rsid w:val="00423E4F"/>
    <w:rsid w:val="004252F8"/>
    <w:rsid w:val="00426585"/>
    <w:rsid w:val="00426730"/>
    <w:rsid w:val="00426D11"/>
    <w:rsid w:val="00430D97"/>
    <w:rsid w:val="00433D7D"/>
    <w:rsid w:val="004374B3"/>
    <w:rsid w:val="00437B53"/>
    <w:rsid w:val="00443ABA"/>
    <w:rsid w:val="00444202"/>
    <w:rsid w:val="00444A1E"/>
    <w:rsid w:val="00444EA8"/>
    <w:rsid w:val="00445BD0"/>
    <w:rsid w:val="004504B6"/>
    <w:rsid w:val="00450F57"/>
    <w:rsid w:val="004514C4"/>
    <w:rsid w:val="004542A4"/>
    <w:rsid w:val="004564EA"/>
    <w:rsid w:val="00456A0D"/>
    <w:rsid w:val="0046082C"/>
    <w:rsid w:val="00463617"/>
    <w:rsid w:val="004674C1"/>
    <w:rsid w:val="004677E6"/>
    <w:rsid w:val="00470303"/>
    <w:rsid w:val="0047077B"/>
    <w:rsid w:val="00472EF9"/>
    <w:rsid w:val="00473A4F"/>
    <w:rsid w:val="00474426"/>
    <w:rsid w:val="00476A91"/>
    <w:rsid w:val="00480506"/>
    <w:rsid w:val="00483326"/>
    <w:rsid w:val="0048658B"/>
    <w:rsid w:val="00492385"/>
    <w:rsid w:val="004955D4"/>
    <w:rsid w:val="00497329"/>
    <w:rsid w:val="004976AA"/>
    <w:rsid w:val="00497740"/>
    <w:rsid w:val="004A0379"/>
    <w:rsid w:val="004A2934"/>
    <w:rsid w:val="004A5383"/>
    <w:rsid w:val="004A673A"/>
    <w:rsid w:val="004A7B4C"/>
    <w:rsid w:val="004B06CC"/>
    <w:rsid w:val="004C022E"/>
    <w:rsid w:val="004C1248"/>
    <w:rsid w:val="004C4BD0"/>
    <w:rsid w:val="004D11ED"/>
    <w:rsid w:val="004D6E56"/>
    <w:rsid w:val="004D7B56"/>
    <w:rsid w:val="004E09D1"/>
    <w:rsid w:val="004E6125"/>
    <w:rsid w:val="004E69CD"/>
    <w:rsid w:val="004F02F5"/>
    <w:rsid w:val="004F1610"/>
    <w:rsid w:val="004F2B5C"/>
    <w:rsid w:val="004F4227"/>
    <w:rsid w:val="004F7177"/>
    <w:rsid w:val="0050331A"/>
    <w:rsid w:val="005038A0"/>
    <w:rsid w:val="0050778A"/>
    <w:rsid w:val="005103BB"/>
    <w:rsid w:val="00514AE9"/>
    <w:rsid w:val="005225F8"/>
    <w:rsid w:val="00522981"/>
    <w:rsid w:val="0052488A"/>
    <w:rsid w:val="0052540B"/>
    <w:rsid w:val="00533454"/>
    <w:rsid w:val="00536734"/>
    <w:rsid w:val="00536D9C"/>
    <w:rsid w:val="005403E6"/>
    <w:rsid w:val="00540F82"/>
    <w:rsid w:val="00543ACF"/>
    <w:rsid w:val="0054650D"/>
    <w:rsid w:val="00546B2D"/>
    <w:rsid w:val="00547590"/>
    <w:rsid w:val="00547F04"/>
    <w:rsid w:val="00551D49"/>
    <w:rsid w:val="00552E1B"/>
    <w:rsid w:val="005542E7"/>
    <w:rsid w:val="005565BC"/>
    <w:rsid w:val="005607D0"/>
    <w:rsid w:val="00564A4E"/>
    <w:rsid w:val="00565B48"/>
    <w:rsid w:val="0057069D"/>
    <w:rsid w:val="0057210A"/>
    <w:rsid w:val="0057327D"/>
    <w:rsid w:val="005737F5"/>
    <w:rsid w:val="00573A7F"/>
    <w:rsid w:val="005774B1"/>
    <w:rsid w:val="005827F4"/>
    <w:rsid w:val="0058325E"/>
    <w:rsid w:val="0058548D"/>
    <w:rsid w:val="00586CF1"/>
    <w:rsid w:val="00593025"/>
    <w:rsid w:val="00593B41"/>
    <w:rsid w:val="0059457D"/>
    <w:rsid w:val="005950FD"/>
    <w:rsid w:val="0059590A"/>
    <w:rsid w:val="005974FE"/>
    <w:rsid w:val="005A080E"/>
    <w:rsid w:val="005A1335"/>
    <w:rsid w:val="005A470E"/>
    <w:rsid w:val="005A6B05"/>
    <w:rsid w:val="005B1108"/>
    <w:rsid w:val="005B1693"/>
    <w:rsid w:val="005B1815"/>
    <w:rsid w:val="005B7A13"/>
    <w:rsid w:val="005B7E11"/>
    <w:rsid w:val="005C14B2"/>
    <w:rsid w:val="005C1D0B"/>
    <w:rsid w:val="005C3498"/>
    <w:rsid w:val="005C3C1B"/>
    <w:rsid w:val="005C5026"/>
    <w:rsid w:val="005C5587"/>
    <w:rsid w:val="005D00DB"/>
    <w:rsid w:val="005D21A2"/>
    <w:rsid w:val="005D2F29"/>
    <w:rsid w:val="005D3771"/>
    <w:rsid w:val="005D65B7"/>
    <w:rsid w:val="005E141C"/>
    <w:rsid w:val="005E22DD"/>
    <w:rsid w:val="005E7624"/>
    <w:rsid w:val="005F5AD6"/>
    <w:rsid w:val="00603CB2"/>
    <w:rsid w:val="00605F8C"/>
    <w:rsid w:val="006075F8"/>
    <w:rsid w:val="00611D87"/>
    <w:rsid w:val="0061254A"/>
    <w:rsid w:val="0062230B"/>
    <w:rsid w:val="00623AE6"/>
    <w:rsid w:val="00624385"/>
    <w:rsid w:val="00624E64"/>
    <w:rsid w:val="0062514D"/>
    <w:rsid w:val="0062532A"/>
    <w:rsid w:val="00625AE0"/>
    <w:rsid w:val="00627343"/>
    <w:rsid w:val="00630709"/>
    <w:rsid w:val="006338E3"/>
    <w:rsid w:val="006352F4"/>
    <w:rsid w:val="00644BB2"/>
    <w:rsid w:val="0064729F"/>
    <w:rsid w:val="00647A17"/>
    <w:rsid w:val="006502FB"/>
    <w:rsid w:val="0065312D"/>
    <w:rsid w:val="006551D0"/>
    <w:rsid w:val="006565D7"/>
    <w:rsid w:val="00657E4A"/>
    <w:rsid w:val="00660F57"/>
    <w:rsid w:val="0066323E"/>
    <w:rsid w:val="00663901"/>
    <w:rsid w:val="00667F5D"/>
    <w:rsid w:val="00673C6C"/>
    <w:rsid w:val="00673F94"/>
    <w:rsid w:val="006748F5"/>
    <w:rsid w:val="00676AFA"/>
    <w:rsid w:val="00677952"/>
    <w:rsid w:val="00677DE5"/>
    <w:rsid w:val="0068564F"/>
    <w:rsid w:val="0069422A"/>
    <w:rsid w:val="006953B9"/>
    <w:rsid w:val="00697567"/>
    <w:rsid w:val="0069784D"/>
    <w:rsid w:val="006A1AA2"/>
    <w:rsid w:val="006A34AB"/>
    <w:rsid w:val="006A467F"/>
    <w:rsid w:val="006B3C52"/>
    <w:rsid w:val="006B4298"/>
    <w:rsid w:val="006B4C0C"/>
    <w:rsid w:val="006C17B0"/>
    <w:rsid w:val="006C1D4B"/>
    <w:rsid w:val="006C2A02"/>
    <w:rsid w:val="006C47AD"/>
    <w:rsid w:val="006C6A59"/>
    <w:rsid w:val="006C6E27"/>
    <w:rsid w:val="006D18D2"/>
    <w:rsid w:val="006D1E73"/>
    <w:rsid w:val="006D28C5"/>
    <w:rsid w:val="006D4072"/>
    <w:rsid w:val="006D54C3"/>
    <w:rsid w:val="006E05A3"/>
    <w:rsid w:val="006E498E"/>
    <w:rsid w:val="006F1779"/>
    <w:rsid w:val="006F3C04"/>
    <w:rsid w:val="006F679E"/>
    <w:rsid w:val="006F6EE6"/>
    <w:rsid w:val="006F7E33"/>
    <w:rsid w:val="00705A0C"/>
    <w:rsid w:val="00710184"/>
    <w:rsid w:val="00715E52"/>
    <w:rsid w:val="00716132"/>
    <w:rsid w:val="00717049"/>
    <w:rsid w:val="007173C4"/>
    <w:rsid w:val="0072462A"/>
    <w:rsid w:val="007261DF"/>
    <w:rsid w:val="007273FF"/>
    <w:rsid w:val="00730D74"/>
    <w:rsid w:val="00732373"/>
    <w:rsid w:val="00735365"/>
    <w:rsid w:val="00735E7C"/>
    <w:rsid w:val="00736941"/>
    <w:rsid w:val="00740F8B"/>
    <w:rsid w:val="0074269C"/>
    <w:rsid w:val="00743F29"/>
    <w:rsid w:val="007519B8"/>
    <w:rsid w:val="00752CD6"/>
    <w:rsid w:val="00754CAC"/>
    <w:rsid w:val="0075765F"/>
    <w:rsid w:val="00763D69"/>
    <w:rsid w:val="0076557C"/>
    <w:rsid w:val="00765FCA"/>
    <w:rsid w:val="00766779"/>
    <w:rsid w:val="007667E9"/>
    <w:rsid w:val="007670FC"/>
    <w:rsid w:val="00771978"/>
    <w:rsid w:val="007725F3"/>
    <w:rsid w:val="00772FFA"/>
    <w:rsid w:val="0077375C"/>
    <w:rsid w:val="00776473"/>
    <w:rsid w:val="00780547"/>
    <w:rsid w:val="007823D6"/>
    <w:rsid w:val="00782668"/>
    <w:rsid w:val="007837AC"/>
    <w:rsid w:val="00784B85"/>
    <w:rsid w:val="00785440"/>
    <w:rsid w:val="0078557C"/>
    <w:rsid w:val="007860A1"/>
    <w:rsid w:val="00786FBE"/>
    <w:rsid w:val="007907D7"/>
    <w:rsid w:val="007924A5"/>
    <w:rsid w:val="007A294A"/>
    <w:rsid w:val="007A2D56"/>
    <w:rsid w:val="007A3BF0"/>
    <w:rsid w:val="007A7E63"/>
    <w:rsid w:val="007B4C5C"/>
    <w:rsid w:val="007C2D81"/>
    <w:rsid w:val="007C3197"/>
    <w:rsid w:val="007C6455"/>
    <w:rsid w:val="007C6614"/>
    <w:rsid w:val="007C66FC"/>
    <w:rsid w:val="007D0203"/>
    <w:rsid w:val="007D4BCD"/>
    <w:rsid w:val="007D4CA8"/>
    <w:rsid w:val="007D53B9"/>
    <w:rsid w:val="007E46C5"/>
    <w:rsid w:val="007E4811"/>
    <w:rsid w:val="007E567D"/>
    <w:rsid w:val="007E6A10"/>
    <w:rsid w:val="007E6A66"/>
    <w:rsid w:val="007E76EB"/>
    <w:rsid w:val="007F0F7A"/>
    <w:rsid w:val="007F0FCE"/>
    <w:rsid w:val="007F18E1"/>
    <w:rsid w:val="007F1C07"/>
    <w:rsid w:val="007F4DB4"/>
    <w:rsid w:val="007F7774"/>
    <w:rsid w:val="00802952"/>
    <w:rsid w:val="00804DEB"/>
    <w:rsid w:val="00804E57"/>
    <w:rsid w:val="00806A90"/>
    <w:rsid w:val="00810A8F"/>
    <w:rsid w:val="00811FE1"/>
    <w:rsid w:val="00820B6C"/>
    <w:rsid w:val="00822C2C"/>
    <w:rsid w:val="00825EDF"/>
    <w:rsid w:val="00827F5D"/>
    <w:rsid w:val="00830357"/>
    <w:rsid w:val="008326F6"/>
    <w:rsid w:val="008351E7"/>
    <w:rsid w:val="00840064"/>
    <w:rsid w:val="00841D8E"/>
    <w:rsid w:val="00844C6B"/>
    <w:rsid w:val="008457D2"/>
    <w:rsid w:val="00845D75"/>
    <w:rsid w:val="00846348"/>
    <w:rsid w:val="008540BC"/>
    <w:rsid w:val="008556B7"/>
    <w:rsid w:val="00857528"/>
    <w:rsid w:val="008641F1"/>
    <w:rsid w:val="00864738"/>
    <w:rsid w:val="0086502A"/>
    <w:rsid w:val="008715B3"/>
    <w:rsid w:val="00871E71"/>
    <w:rsid w:val="00874E95"/>
    <w:rsid w:val="008765ED"/>
    <w:rsid w:val="00877EEC"/>
    <w:rsid w:val="008801A7"/>
    <w:rsid w:val="008802DE"/>
    <w:rsid w:val="0088111F"/>
    <w:rsid w:val="00884A7B"/>
    <w:rsid w:val="00892094"/>
    <w:rsid w:val="00893734"/>
    <w:rsid w:val="00896CC7"/>
    <w:rsid w:val="00897B12"/>
    <w:rsid w:val="008A1B5E"/>
    <w:rsid w:val="008A4AA7"/>
    <w:rsid w:val="008A5D23"/>
    <w:rsid w:val="008A5D99"/>
    <w:rsid w:val="008A6745"/>
    <w:rsid w:val="008A6E9D"/>
    <w:rsid w:val="008A6F8D"/>
    <w:rsid w:val="008B0431"/>
    <w:rsid w:val="008B1548"/>
    <w:rsid w:val="008B1A75"/>
    <w:rsid w:val="008B5159"/>
    <w:rsid w:val="008B782B"/>
    <w:rsid w:val="008C45B8"/>
    <w:rsid w:val="008C4903"/>
    <w:rsid w:val="008C6E00"/>
    <w:rsid w:val="008D05F5"/>
    <w:rsid w:val="008D1226"/>
    <w:rsid w:val="008D1EDB"/>
    <w:rsid w:val="008D35A9"/>
    <w:rsid w:val="008D7AC7"/>
    <w:rsid w:val="008E0365"/>
    <w:rsid w:val="008E1C54"/>
    <w:rsid w:val="008E382E"/>
    <w:rsid w:val="008E58A4"/>
    <w:rsid w:val="008F0DD5"/>
    <w:rsid w:val="008F5648"/>
    <w:rsid w:val="008F5904"/>
    <w:rsid w:val="008F5BC9"/>
    <w:rsid w:val="008F7D11"/>
    <w:rsid w:val="009015C8"/>
    <w:rsid w:val="00902A18"/>
    <w:rsid w:val="0090350D"/>
    <w:rsid w:val="009037B2"/>
    <w:rsid w:val="00903A58"/>
    <w:rsid w:val="009040AF"/>
    <w:rsid w:val="0090780F"/>
    <w:rsid w:val="00914DF9"/>
    <w:rsid w:val="0091505C"/>
    <w:rsid w:val="00915513"/>
    <w:rsid w:val="009172C4"/>
    <w:rsid w:val="00921EA9"/>
    <w:rsid w:val="00921F1B"/>
    <w:rsid w:val="00924BAE"/>
    <w:rsid w:val="00926901"/>
    <w:rsid w:val="00926B71"/>
    <w:rsid w:val="00937A01"/>
    <w:rsid w:val="00941ACB"/>
    <w:rsid w:val="00945D31"/>
    <w:rsid w:val="00947C9F"/>
    <w:rsid w:val="0095202A"/>
    <w:rsid w:val="0095245F"/>
    <w:rsid w:val="00956A99"/>
    <w:rsid w:val="00957936"/>
    <w:rsid w:val="00961AC9"/>
    <w:rsid w:val="009639BD"/>
    <w:rsid w:val="00964A42"/>
    <w:rsid w:val="00966BBE"/>
    <w:rsid w:val="00972376"/>
    <w:rsid w:val="00972CD3"/>
    <w:rsid w:val="009748A6"/>
    <w:rsid w:val="00980F3F"/>
    <w:rsid w:val="00992E6E"/>
    <w:rsid w:val="0099426E"/>
    <w:rsid w:val="009979D0"/>
    <w:rsid w:val="009A26A0"/>
    <w:rsid w:val="009A39CA"/>
    <w:rsid w:val="009A5FA8"/>
    <w:rsid w:val="009A631D"/>
    <w:rsid w:val="009B747E"/>
    <w:rsid w:val="009C066A"/>
    <w:rsid w:val="009C23FA"/>
    <w:rsid w:val="009C2D42"/>
    <w:rsid w:val="009C4EDB"/>
    <w:rsid w:val="009D1D95"/>
    <w:rsid w:val="009D43B5"/>
    <w:rsid w:val="009E1534"/>
    <w:rsid w:val="009E2148"/>
    <w:rsid w:val="009E35BE"/>
    <w:rsid w:val="009E3B8B"/>
    <w:rsid w:val="009E4CCE"/>
    <w:rsid w:val="009E5633"/>
    <w:rsid w:val="009E6986"/>
    <w:rsid w:val="009E7451"/>
    <w:rsid w:val="009E7741"/>
    <w:rsid w:val="009E7915"/>
    <w:rsid w:val="009E7C1F"/>
    <w:rsid w:val="009F08F5"/>
    <w:rsid w:val="009F223E"/>
    <w:rsid w:val="00A07BDE"/>
    <w:rsid w:val="00A124E1"/>
    <w:rsid w:val="00A127CC"/>
    <w:rsid w:val="00A21CC8"/>
    <w:rsid w:val="00A23712"/>
    <w:rsid w:val="00A3176C"/>
    <w:rsid w:val="00A33C13"/>
    <w:rsid w:val="00A36475"/>
    <w:rsid w:val="00A4079D"/>
    <w:rsid w:val="00A42DE1"/>
    <w:rsid w:val="00A46902"/>
    <w:rsid w:val="00A50DA1"/>
    <w:rsid w:val="00A5161B"/>
    <w:rsid w:val="00A6007F"/>
    <w:rsid w:val="00A6623F"/>
    <w:rsid w:val="00A705FD"/>
    <w:rsid w:val="00A71B39"/>
    <w:rsid w:val="00A71C5A"/>
    <w:rsid w:val="00A74CD7"/>
    <w:rsid w:val="00A75C0D"/>
    <w:rsid w:val="00A76240"/>
    <w:rsid w:val="00A76D60"/>
    <w:rsid w:val="00A76F7C"/>
    <w:rsid w:val="00A80467"/>
    <w:rsid w:val="00A82EBE"/>
    <w:rsid w:val="00A831E7"/>
    <w:rsid w:val="00A8520C"/>
    <w:rsid w:val="00A86736"/>
    <w:rsid w:val="00A910C3"/>
    <w:rsid w:val="00A91598"/>
    <w:rsid w:val="00A9201D"/>
    <w:rsid w:val="00A949C8"/>
    <w:rsid w:val="00A94C6A"/>
    <w:rsid w:val="00A95277"/>
    <w:rsid w:val="00A952A0"/>
    <w:rsid w:val="00AA0158"/>
    <w:rsid w:val="00AA04B9"/>
    <w:rsid w:val="00AA22F6"/>
    <w:rsid w:val="00AA281A"/>
    <w:rsid w:val="00AA3D34"/>
    <w:rsid w:val="00AA3EF8"/>
    <w:rsid w:val="00AA5855"/>
    <w:rsid w:val="00AA6E37"/>
    <w:rsid w:val="00AA780C"/>
    <w:rsid w:val="00AB3804"/>
    <w:rsid w:val="00AB4818"/>
    <w:rsid w:val="00AB6824"/>
    <w:rsid w:val="00AC036B"/>
    <w:rsid w:val="00AC357F"/>
    <w:rsid w:val="00AC661D"/>
    <w:rsid w:val="00AE2ABD"/>
    <w:rsid w:val="00AE69B7"/>
    <w:rsid w:val="00AE7049"/>
    <w:rsid w:val="00AE70C2"/>
    <w:rsid w:val="00AF4B4F"/>
    <w:rsid w:val="00B02182"/>
    <w:rsid w:val="00B03B90"/>
    <w:rsid w:val="00B07C78"/>
    <w:rsid w:val="00B07E2B"/>
    <w:rsid w:val="00B100B6"/>
    <w:rsid w:val="00B168C5"/>
    <w:rsid w:val="00B17E85"/>
    <w:rsid w:val="00B212C1"/>
    <w:rsid w:val="00B22777"/>
    <w:rsid w:val="00B23C33"/>
    <w:rsid w:val="00B276C6"/>
    <w:rsid w:val="00B31156"/>
    <w:rsid w:val="00B35529"/>
    <w:rsid w:val="00B37DFF"/>
    <w:rsid w:val="00B45777"/>
    <w:rsid w:val="00B46FFC"/>
    <w:rsid w:val="00B4722F"/>
    <w:rsid w:val="00B47338"/>
    <w:rsid w:val="00B47F65"/>
    <w:rsid w:val="00B52901"/>
    <w:rsid w:val="00B53512"/>
    <w:rsid w:val="00B544B4"/>
    <w:rsid w:val="00B544EB"/>
    <w:rsid w:val="00B554B3"/>
    <w:rsid w:val="00B605E4"/>
    <w:rsid w:val="00B61252"/>
    <w:rsid w:val="00B624D2"/>
    <w:rsid w:val="00B62535"/>
    <w:rsid w:val="00B62C0A"/>
    <w:rsid w:val="00B634AD"/>
    <w:rsid w:val="00B64162"/>
    <w:rsid w:val="00B672E3"/>
    <w:rsid w:val="00B70195"/>
    <w:rsid w:val="00B715B7"/>
    <w:rsid w:val="00B71763"/>
    <w:rsid w:val="00B71A41"/>
    <w:rsid w:val="00B73932"/>
    <w:rsid w:val="00B75FDF"/>
    <w:rsid w:val="00B80321"/>
    <w:rsid w:val="00B84C60"/>
    <w:rsid w:val="00B9167A"/>
    <w:rsid w:val="00B93F11"/>
    <w:rsid w:val="00B9519A"/>
    <w:rsid w:val="00B96D3B"/>
    <w:rsid w:val="00BA3DF0"/>
    <w:rsid w:val="00BA5CDA"/>
    <w:rsid w:val="00BB03B7"/>
    <w:rsid w:val="00BB0A2F"/>
    <w:rsid w:val="00BB17FC"/>
    <w:rsid w:val="00BB3930"/>
    <w:rsid w:val="00BB43D0"/>
    <w:rsid w:val="00BB4866"/>
    <w:rsid w:val="00BB58D8"/>
    <w:rsid w:val="00BB6757"/>
    <w:rsid w:val="00BC1BDC"/>
    <w:rsid w:val="00BC2A98"/>
    <w:rsid w:val="00BC3BD1"/>
    <w:rsid w:val="00BC5EDD"/>
    <w:rsid w:val="00BD6DE5"/>
    <w:rsid w:val="00BD79AB"/>
    <w:rsid w:val="00BD7A84"/>
    <w:rsid w:val="00BE0699"/>
    <w:rsid w:val="00BE1074"/>
    <w:rsid w:val="00BE479B"/>
    <w:rsid w:val="00BE6985"/>
    <w:rsid w:val="00BF06E0"/>
    <w:rsid w:val="00BF63ED"/>
    <w:rsid w:val="00BF7C3A"/>
    <w:rsid w:val="00BF7FD8"/>
    <w:rsid w:val="00C02F94"/>
    <w:rsid w:val="00C0484E"/>
    <w:rsid w:val="00C05308"/>
    <w:rsid w:val="00C0694C"/>
    <w:rsid w:val="00C10622"/>
    <w:rsid w:val="00C11202"/>
    <w:rsid w:val="00C14CC6"/>
    <w:rsid w:val="00C15B2B"/>
    <w:rsid w:val="00C161B3"/>
    <w:rsid w:val="00C166C4"/>
    <w:rsid w:val="00C1795E"/>
    <w:rsid w:val="00C24EEB"/>
    <w:rsid w:val="00C328CB"/>
    <w:rsid w:val="00C3409E"/>
    <w:rsid w:val="00C36971"/>
    <w:rsid w:val="00C37CB1"/>
    <w:rsid w:val="00C405CF"/>
    <w:rsid w:val="00C40F88"/>
    <w:rsid w:val="00C44166"/>
    <w:rsid w:val="00C448AA"/>
    <w:rsid w:val="00C45AC1"/>
    <w:rsid w:val="00C45EB7"/>
    <w:rsid w:val="00C50298"/>
    <w:rsid w:val="00C549F9"/>
    <w:rsid w:val="00C6320A"/>
    <w:rsid w:val="00C712BE"/>
    <w:rsid w:val="00C718D4"/>
    <w:rsid w:val="00C7220D"/>
    <w:rsid w:val="00C7272A"/>
    <w:rsid w:val="00C72D97"/>
    <w:rsid w:val="00C76CF8"/>
    <w:rsid w:val="00C8439A"/>
    <w:rsid w:val="00C84402"/>
    <w:rsid w:val="00C90120"/>
    <w:rsid w:val="00C90550"/>
    <w:rsid w:val="00C952FA"/>
    <w:rsid w:val="00C953C1"/>
    <w:rsid w:val="00C97286"/>
    <w:rsid w:val="00C97455"/>
    <w:rsid w:val="00CA23FE"/>
    <w:rsid w:val="00CA365F"/>
    <w:rsid w:val="00CA40D3"/>
    <w:rsid w:val="00CB17D8"/>
    <w:rsid w:val="00CB4372"/>
    <w:rsid w:val="00CB7128"/>
    <w:rsid w:val="00CC3E28"/>
    <w:rsid w:val="00CC59F7"/>
    <w:rsid w:val="00CC6B56"/>
    <w:rsid w:val="00CD4A3F"/>
    <w:rsid w:val="00CD5136"/>
    <w:rsid w:val="00CD7573"/>
    <w:rsid w:val="00CE1EF8"/>
    <w:rsid w:val="00CE1F56"/>
    <w:rsid w:val="00CE20AF"/>
    <w:rsid w:val="00CE50CA"/>
    <w:rsid w:val="00CE6318"/>
    <w:rsid w:val="00CF187E"/>
    <w:rsid w:val="00CF6237"/>
    <w:rsid w:val="00D03AA1"/>
    <w:rsid w:val="00D04787"/>
    <w:rsid w:val="00D057C2"/>
    <w:rsid w:val="00D05A40"/>
    <w:rsid w:val="00D067D1"/>
    <w:rsid w:val="00D06C72"/>
    <w:rsid w:val="00D06D18"/>
    <w:rsid w:val="00D121D9"/>
    <w:rsid w:val="00D12560"/>
    <w:rsid w:val="00D12595"/>
    <w:rsid w:val="00D13CE2"/>
    <w:rsid w:val="00D141EE"/>
    <w:rsid w:val="00D15AD5"/>
    <w:rsid w:val="00D17624"/>
    <w:rsid w:val="00D17951"/>
    <w:rsid w:val="00D23AF8"/>
    <w:rsid w:val="00D26829"/>
    <w:rsid w:val="00D268DF"/>
    <w:rsid w:val="00D331DA"/>
    <w:rsid w:val="00D33F16"/>
    <w:rsid w:val="00D33FD1"/>
    <w:rsid w:val="00D43012"/>
    <w:rsid w:val="00D476B3"/>
    <w:rsid w:val="00D50862"/>
    <w:rsid w:val="00D52D1D"/>
    <w:rsid w:val="00D5382B"/>
    <w:rsid w:val="00D55698"/>
    <w:rsid w:val="00D61570"/>
    <w:rsid w:val="00D6166A"/>
    <w:rsid w:val="00D62445"/>
    <w:rsid w:val="00D634EB"/>
    <w:rsid w:val="00D649DD"/>
    <w:rsid w:val="00D66351"/>
    <w:rsid w:val="00D71553"/>
    <w:rsid w:val="00D71BB8"/>
    <w:rsid w:val="00D75AE9"/>
    <w:rsid w:val="00D75C94"/>
    <w:rsid w:val="00D84CF6"/>
    <w:rsid w:val="00D85493"/>
    <w:rsid w:val="00D8634C"/>
    <w:rsid w:val="00D87998"/>
    <w:rsid w:val="00D9167B"/>
    <w:rsid w:val="00D91E91"/>
    <w:rsid w:val="00D92E04"/>
    <w:rsid w:val="00D9316E"/>
    <w:rsid w:val="00D93F38"/>
    <w:rsid w:val="00DA07B0"/>
    <w:rsid w:val="00DA4B10"/>
    <w:rsid w:val="00DA5BAB"/>
    <w:rsid w:val="00DA5C11"/>
    <w:rsid w:val="00DB018A"/>
    <w:rsid w:val="00DB0D8A"/>
    <w:rsid w:val="00DB30F9"/>
    <w:rsid w:val="00DB4586"/>
    <w:rsid w:val="00DC2467"/>
    <w:rsid w:val="00DC3E03"/>
    <w:rsid w:val="00DC453D"/>
    <w:rsid w:val="00DC473F"/>
    <w:rsid w:val="00DC5FE5"/>
    <w:rsid w:val="00DC70B7"/>
    <w:rsid w:val="00DD189B"/>
    <w:rsid w:val="00DD3DE9"/>
    <w:rsid w:val="00DD4350"/>
    <w:rsid w:val="00DD59C8"/>
    <w:rsid w:val="00DD5FE5"/>
    <w:rsid w:val="00DD6A2E"/>
    <w:rsid w:val="00DE5713"/>
    <w:rsid w:val="00DF0424"/>
    <w:rsid w:val="00DF17A7"/>
    <w:rsid w:val="00DF1FF3"/>
    <w:rsid w:val="00DF3057"/>
    <w:rsid w:val="00DF3B6E"/>
    <w:rsid w:val="00DF4AFB"/>
    <w:rsid w:val="00DF6AB2"/>
    <w:rsid w:val="00E014D3"/>
    <w:rsid w:val="00E02A37"/>
    <w:rsid w:val="00E02D71"/>
    <w:rsid w:val="00E047B4"/>
    <w:rsid w:val="00E05210"/>
    <w:rsid w:val="00E06B14"/>
    <w:rsid w:val="00E06B21"/>
    <w:rsid w:val="00E11049"/>
    <w:rsid w:val="00E121BA"/>
    <w:rsid w:val="00E14525"/>
    <w:rsid w:val="00E1623D"/>
    <w:rsid w:val="00E20297"/>
    <w:rsid w:val="00E20BBB"/>
    <w:rsid w:val="00E26281"/>
    <w:rsid w:val="00E31DE1"/>
    <w:rsid w:val="00E3473D"/>
    <w:rsid w:val="00E34A72"/>
    <w:rsid w:val="00E34ABA"/>
    <w:rsid w:val="00E34E10"/>
    <w:rsid w:val="00E3586E"/>
    <w:rsid w:val="00E40001"/>
    <w:rsid w:val="00E40BAE"/>
    <w:rsid w:val="00E436EB"/>
    <w:rsid w:val="00E45D9F"/>
    <w:rsid w:val="00E51498"/>
    <w:rsid w:val="00E55A4E"/>
    <w:rsid w:val="00E570F1"/>
    <w:rsid w:val="00E607E9"/>
    <w:rsid w:val="00E656BE"/>
    <w:rsid w:val="00E66665"/>
    <w:rsid w:val="00E734B9"/>
    <w:rsid w:val="00E76464"/>
    <w:rsid w:val="00E76BAD"/>
    <w:rsid w:val="00E81193"/>
    <w:rsid w:val="00E81A1D"/>
    <w:rsid w:val="00E84007"/>
    <w:rsid w:val="00E86535"/>
    <w:rsid w:val="00E9361A"/>
    <w:rsid w:val="00E93CD2"/>
    <w:rsid w:val="00E95002"/>
    <w:rsid w:val="00EA3339"/>
    <w:rsid w:val="00EA6391"/>
    <w:rsid w:val="00EA725E"/>
    <w:rsid w:val="00EA72D6"/>
    <w:rsid w:val="00EB1892"/>
    <w:rsid w:val="00EB29AB"/>
    <w:rsid w:val="00EB2D8D"/>
    <w:rsid w:val="00EB49C2"/>
    <w:rsid w:val="00EB5036"/>
    <w:rsid w:val="00EB6046"/>
    <w:rsid w:val="00EB76D4"/>
    <w:rsid w:val="00EB7FC7"/>
    <w:rsid w:val="00EC0CCF"/>
    <w:rsid w:val="00EC13FA"/>
    <w:rsid w:val="00EC2B7A"/>
    <w:rsid w:val="00EC67FF"/>
    <w:rsid w:val="00EC7862"/>
    <w:rsid w:val="00ED504D"/>
    <w:rsid w:val="00ED6A60"/>
    <w:rsid w:val="00ED72F6"/>
    <w:rsid w:val="00ED7551"/>
    <w:rsid w:val="00ED7A56"/>
    <w:rsid w:val="00EE0D4D"/>
    <w:rsid w:val="00EE0F79"/>
    <w:rsid w:val="00EE1AF8"/>
    <w:rsid w:val="00EE1EFF"/>
    <w:rsid w:val="00EE2267"/>
    <w:rsid w:val="00EF19E7"/>
    <w:rsid w:val="00EF337C"/>
    <w:rsid w:val="00EF4134"/>
    <w:rsid w:val="00EF522C"/>
    <w:rsid w:val="00EF5729"/>
    <w:rsid w:val="00F0022D"/>
    <w:rsid w:val="00F01A2D"/>
    <w:rsid w:val="00F07772"/>
    <w:rsid w:val="00F209BF"/>
    <w:rsid w:val="00F235F5"/>
    <w:rsid w:val="00F24916"/>
    <w:rsid w:val="00F267A1"/>
    <w:rsid w:val="00F274D1"/>
    <w:rsid w:val="00F31203"/>
    <w:rsid w:val="00F32EEE"/>
    <w:rsid w:val="00F35486"/>
    <w:rsid w:val="00F35DEF"/>
    <w:rsid w:val="00F36721"/>
    <w:rsid w:val="00F37C6E"/>
    <w:rsid w:val="00F42F4F"/>
    <w:rsid w:val="00F4405C"/>
    <w:rsid w:val="00F51012"/>
    <w:rsid w:val="00F53852"/>
    <w:rsid w:val="00F579D1"/>
    <w:rsid w:val="00F601EB"/>
    <w:rsid w:val="00F60951"/>
    <w:rsid w:val="00F657CB"/>
    <w:rsid w:val="00F67846"/>
    <w:rsid w:val="00F67F21"/>
    <w:rsid w:val="00F71ED9"/>
    <w:rsid w:val="00F74903"/>
    <w:rsid w:val="00F76BEA"/>
    <w:rsid w:val="00F81FAC"/>
    <w:rsid w:val="00F82A58"/>
    <w:rsid w:val="00F82FDE"/>
    <w:rsid w:val="00F8454D"/>
    <w:rsid w:val="00F8676A"/>
    <w:rsid w:val="00F937A8"/>
    <w:rsid w:val="00F94BC7"/>
    <w:rsid w:val="00F960AA"/>
    <w:rsid w:val="00FA45C1"/>
    <w:rsid w:val="00FA5D36"/>
    <w:rsid w:val="00FA6923"/>
    <w:rsid w:val="00FB5392"/>
    <w:rsid w:val="00FC2C78"/>
    <w:rsid w:val="00FC4A3E"/>
    <w:rsid w:val="00FD29BA"/>
    <w:rsid w:val="00FD762E"/>
    <w:rsid w:val="00FE03E1"/>
    <w:rsid w:val="00FE2A9A"/>
    <w:rsid w:val="00FE6A05"/>
    <w:rsid w:val="00FE6D45"/>
    <w:rsid w:val="00FE73B8"/>
    <w:rsid w:val="00FF128D"/>
    <w:rsid w:val="00FF3A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069CC"/>
  <w15:chartTrackingRefBased/>
  <w15:docId w15:val="{445A494D-8AF6-42E2-AAC2-49845C3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9CD"/>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4E6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4E6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8F5904"/>
    <w:pPr>
      <w:keepNext/>
      <w:keepLines/>
      <w:spacing w:before="160" w:after="80" w:line="360" w:lineRule="auto"/>
      <w:outlineLvl w:val="2"/>
    </w:pPr>
    <w:rPr>
      <w:rFonts w:eastAsia="Calibri" w:cstheme="majorBidi"/>
      <w:b/>
      <w:bCs/>
      <w:i/>
      <w:iCs/>
      <w:sz w:val="26"/>
      <w:szCs w:val="26"/>
    </w:rPr>
  </w:style>
  <w:style w:type="paragraph" w:styleId="4">
    <w:name w:val="heading 4"/>
    <w:basedOn w:val="a"/>
    <w:next w:val="a"/>
    <w:link w:val="4Char"/>
    <w:uiPriority w:val="9"/>
    <w:unhideWhenUsed/>
    <w:qFormat/>
    <w:rsid w:val="00A46902"/>
    <w:pPr>
      <w:keepNext/>
      <w:keepLines/>
      <w:spacing w:before="80" w:after="40"/>
      <w:outlineLvl w:val="3"/>
    </w:pPr>
    <w:rPr>
      <w:rFonts w:eastAsiaTheme="majorEastAsia" w:cstheme="majorBidi"/>
      <w:b/>
      <w:i/>
      <w:iCs/>
    </w:rPr>
  </w:style>
  <w:style w:type="paragraph" w:styleId="5">
    <w:name w:val="heading 5"/>
    <w:basedOn w:val="a"/>
    <w:next w:val="a"/>
    <w:link w:val="5Char"/>
    <w:uiPriority w:val="9"/>
    <w:unhideWhenUsed/>
    <w:qFormat/>
    <w:rsid w:val="004E69C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E69CD"/>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E69CD"/>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E69CD"/>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E69CD"/>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E69C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4E69C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4E69CD"/>
    <w:rPr>
      <w:rFonts w:ascii="Times New Roman" w:eastAsia="Calibri" w:hAnsi="Times New Roman" w:cstheme="majorBidi"/>
      <w:b/>
      <w:bCs/>
      <w:i/>
      <w:iCs/>
      <w:kern w:val="0"/>
      <w:sz w:val="26"/>
      <w:szCs w:val="26"/>
      <w:lang w:eastAsia="el-GR"/>
      <w14:ligatures w14:val="none"/>
    </w:rPr>
  </w:style>
  <w:style w:type="character" w:customStyle="1" w:styleId="4Char">
    <w:name w:val="Επικεφαλίδα 4 Char"/>
    <w:basedOn w:val="a0"/>
    <w:link w:val="4"/>
    <w:uiPriority w:val="9"/>
    <w:rsid w:val="00A46902"/>
    <w:rPr>
      <w:rFonts w:ascii="Times New Roman" w:eastAsiaTheme="majorEastAsia" w:hAnsi="Times New Roman" w:cstheme="majorBidi"/>
      <w:b/>
      <w:i/>
      <w:iCs/>
      <w:kern w:val="0"/>
      <w:lang w:eastAsia="el-GR"/>
      <w14:ligatures w14:val="none"/>
    </w:rPr>
  </w:style>
  <w:style w:type="character" w:customStyle="1" w:styleId="5Char">
    <w:name w:val="Επικεφαλίδα 5 Char"/>
    <w:basedOn w:val="a0"/>
    <w:link w:val="5"/>
    <w:uiPriority w:val="9"/>
    <w:rsid w:val="004E69C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E69C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E69C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E69C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E69CD"/>
    <w:rPr>
      <w:rFonts w:eastAsiaTheme="majorEastAsia" w:cstheme="majorBidi"/>
      <w:color w:val="272727" w:themeColor="text1" w:themeTint="D8"/>
    </w:rPr>
  </w:style>
  <w:style w:type="paragraph" w:styleId="a3">
    <w:name w:val="Title"/>
    <w:basedOn w:val="a"/>
    <w:next w:val="a"/>
    <w:link w:val="Char"/>
    <w:uiPriority w:val="10"/>
    <w:qFormat/>
    <w:rsid w:val="004E69CD"/>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E69C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E69C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E69C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E69CD"/>
    <w:pPr>
      <w:spacing w:before="160"/>
      <w:jc w:val="center"/>
    </w:pPr>
    <w:rPr>
      <w:i/>
      <w:iCs/>
      <w:color w:val="404040" w:themeColor="text1" w:themeTint="BF"/>
    </w:rPr>
  </w:style>
  <w:style w:type="character" w:customStyle="1" w:styleId="Char1">
    <w:name w:val="Απόσπασμα Char"/>
    <w:basedOn w:val="a0"/>
    <w:link w:val="a5"/>
    <w:uiPriority w:val="29"/>
    <w:rsid w:val="004E69CD"/>
    <w:rPr>
      <w:i/>
      <w:iCs/>
      <w:color w:val="404040" w:themeColor="text1" w:themeTint="BF"/>
    </w:rPr>
  </w:style>
  <w:style w:type="paragraph" w:styleId="a6">
    <w:name w:val="List Paragraph"/>
    <w:basedOn w:val="a"/>
    <w:uiPriority w:val="34"/>
    <w:qFormat/>
    <w:rsid w:val="004E69CD"/>
    <w:pPr>
      <w:ind w:left="720"/>
      <w:contextualSpacing/>
    </w:pPr>
  </w:style>
  <w:style w:type="character" w:styleId="a7">
    <w:name w:val="Intense Emphasis"/>
    <w:basedOn w:val="a0"/>
    <w:uiPriority w:val="21"/>
    <w:qFormat/>
    <w:rsid w:val="004E69CD"/>
    <w:rPr>
      <w:i/>
      <w:iCs/>
      <w:color w:val="0F4761" w:themeColor="accent1" w:themeShade="BF"/>
    </w:rPr>
  </w:style>
  <w:style w:type="paragraph" w:styleId="a8">
    <w:name w:val="Intense Quote"/>
    <w:basedOn w:val="a"/>
    <w:next w:val="a"/>
    <w:link w:val="Char2"/>
    <w:uiPriority w:val="30"/>
    <w:qFormat/>
    <w:rsid w:val="004E6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E69CD"/>
    <w:rPr>
      <w:i/>
      <w:iCs/>
      <w:color w:val="0F4761" w:themeColor="accent1" w:themeShade="BF"/>
    </w:rPr>
  </w:style>
  <w:style w:type="character" w:styleId="a9">
    <w:name w:val="Intense Reference"/>
    <w:basedOn w:val="a0"/>
    <w:uiPriority w:val="32"/>
    <w:qFormat/>
    <w:rsid w:val="004E69CD"/>
    <w:rPr>
      <w:b/>
      <w:bCs/>
      <w:smallCaps/>
      <w:color w:val="0F4761" w:themeColor="accent1" w:themeShade="BF"/>
      <w:spacing w:val="5"/>
    </w:rPr>
  </w:style>
  <w:style w:type="paragraph" w:styleId="aa">
    <w:name w:val="header"/>
    <w:link w:val="Char3"/>
    <w:rsid w:val="004E69CD"/>
    <w:pPr>
      <w:pBdr>
        <w:bottom w:val="single" w:sz="6" w:space="1" w:color="auto"/>
      </w:pBdr>
      <w:tabs>
        <w:tab w:val="center" w:pos="4153"/>
        <w:tab w:val="right" w:pos="8306"/>
      </w:tabs>
      <w:spacing w:after="0" w:line="240" w:lineRule="auto"/>
    </w:pPr>
    <w:rPr>
      <w:rFonts w:ascii="HellasTimes" w:eastAsia="Times New Roman" w:hAnsi="HellasTimes" w:cs="Times New Roman"/>
      <w:kern w:val="0"/>
      <w:sz w:val="20"/>
      <w:szCs w:val="20"/>
      <w:lang w:val="en-GB"/>
      <w14:ligatures w14:val="none"/>
    </w:rPr>
  </w:style>
  <w:style w:type="character" w:customStyle="1" w:styleId="Char3">
    <w:name w:val="Κεφαλίδα Char"/>
    <w:basedOn w:val="a0"/>
    <w:link w:val="aa"/>
    <w:rsid w:val="004E69CD"/>
    <w:rPr>
      <w:rFonts w:ascii="HellasTimes" w:eastAsia="Times New Roman" w:hAnsi="HellasTimes" w:cs="Times New Roman"/>
      <w:kern w:val="0"/>
      <w:sz w:val="20"/>
      <w:szCs w:val="20"/>
      <w:lang w:val="en-GB"/>
      <w14:ligatures w14:val="none"/>
    </w:rPr>
  </w:style>
  <w:style w:type="paragraph" w:styleId="ab">
    <w:name w:val="footer"/>
    <w:basedOn w:val="aa"/>
    <w:link w:val="Char4"/>
    <w:uiPriority w:val="99"/>
    <w:rsid w:val="004E69CD"/>
  </w:style>
  <w:style w:type="character" w:customStyle="1" w:styleId="Char4">
    <w:name w:val="Υποσέλιδο Char"/>
    <w:basedOn w:val="a0"/>
    <w:link w:val="ab"/>
    <w:uiPriority w:val="99"/>
    <w:rsid w:val="004E69CD"/>
    <w:rPr>
      <w:rFonts w:ascii="HellasTimes" w:eastAsia="Times New Roman" w:hAnsi="HellasTimes" w:cs="Times New Roman"/>
      <w:kern w:val="0"/>
      <w:sz w:val="20"/>
      <w:szCs w:val="20"/>
      <w:lang w:val="en-GB"/>
      <w14:ligatures w14:val="none"/>
    </w:rPr>
  </w:style>
  <w:style w:type="paragraph" w:styleId="ac">
    <w:name w:val="TOC Heading"/>
    <w:basedOn w:val="1"/>
    <w:next w:val="a"/>
    <w:uiPriority w:val="39"/>
    <w:unhideWhenUsed/>
    <w:qFormat/>
    <w:rsid w:val="004E69CD"/>
    <w:pPr>
      <w:spacing w:before="480" w:after="0" w:line="276" w:lineRule="auto"/>
      <w:outlineLvl w:val="9"/>
    </w:pPr>
    <w:rPr>
      <w:rFonts w:ascii="Cambria" w:eastAsia="Times New Roman" w:hAnsi="Cambria" w:cs="Times New Roman"/>
      <w:b/>
      <w:bCs/>
      <w:color w:val="365F91"/>
      <w:sz w:val="28"/>
      <w:szCs w:val="28"/>
    </w:rPr>
  </w:style>
  <w:style w:type="paragraph" w:styleId="10">
    <w:name w:val="toc 1"/>
    <w:basedOn w:val="a"/>
    <w:next w:val="a"/>
    <w:uiPriority w:val="39"/>
    <w:unhideWhenUsed/>
    <w:qFormat/>
    <w:rsid w:val="001F0286"/>
    <w:pPr>
      <w:tabs>
        <w:tab w:val="right" w:leader="dot" w:pos="8302"/>
      </w:tabs>
      <w:spacing w:before="120"/>
    </w:pPr>
    <w:rPr>
      <w:rFonts w:eastAsia="Calibri"/>
      <w:b/>
      <w:sz w:val="20"/>
      <w:szCs w:val="20"/>
    </w:rPr>
  </w:style>
  <w:style w:type="character" w:styleId="-">
    <w:name w:val="Hyperlink"/>
    <w:uiPriority w:val="99"/>
    <w:unhideWhenUsed/>
    <w:rsid w:val="004E69CD"/>
    <w:rPr>
      <w:color w:val="0000FF"/>
      <w:u w:val="single"/>
    </w:rPr>
  </w:style>
  <w:style w:type="paragraph" w:styleId="20">
    <w:name w:val="toc 2"/>
    <w:basedOn w:val="a"/>
    <w:next w:val="a"/>
    <w:uiPriority w:val="39"/>
    <w:unhideWhenUsed/>
    <w:qFormat/>
    <w:rsid w:val="008F5904"/>
    <w:pPr>
      <w:tabs>
        <w:tab w:val="right" w:leader="dot" w:pos="8302"/>
      </w:tabs>
      <w:spacing w:before="120"/>
      <w:ind w:left="238"/>
    </w:pPr>
    <w:rPr>
      <w:i/>
      <w:noProof/>
      <w:sz w:val="20"/>
    </w:rPr>
  </w:style>
  <w:style w:type="paragraph" w:styleId="30">
    <w:name w:val="toc 3"/>
    <w:basedOn w:val="a"/>
    <w:next w:val="a"/>
    <w:uiPriority w:val="39"/>
    <w:unhideWhenUsed/>
    <w:qFormat/>
    <w:rsid w:val="008F5904"/>
    <w:pPr>
      <w:tabs>
        <w:tab w:val="right" w:leader="dot" w:pos="8302"/>
      </w:tabs>
      <w:ind w:left="482"/>
    </w:pPr>
    <w:rPr>
      <w:rFonts w:cstheme="minorHAnsi"/>
      <w:i/>
      <w:sz w:val="20"/>
      <w:szCs w:val="20"/>
    </w:rPr>
  </w:style>
  <w:style w:type="paragraph" w:styleId="ad">
    <w:name w:val="Revision"/>
    <w:hidden/>
    <w:uiPriority w:val="99"/>
    <w:semiHidden/>
    <w:rsid w:val="004E69CD"/>
    <w:pPr>
      <w:spacing w:after="0" w:line="240" w:lineRule="auto"/>
    </w:pPr>
    <w:rPr>
      <w:rFonts w:ascii="Times New Roman" w:eastAsia="Times New Roman" w:hAnsi="Times New Roman" w:cs="Times New Roman"/>
      <w:kern w:val="0"/>
      <w:lang w:eastAsia="el-GR"/>
      <w14:ligatures w14:val="none"/>
    </w:rPr>
  </w:style>
  <w:style w:type="paragraph" w:styleId="ae">
    <w:name w:val="Bibliography"/>
    <w:basedOn w:val="a"/>
    <w:next w:val="a"/>
    <w:uiPriority w:val="37"/>
    <w:unhideWhenUsed/>
    <w:rsid w:val="003B436B"/>
    <w:pPr>
      <w:tabs>
        <w:tab w:val="left" w:pos="384"/>
      </w:tabs>
      <w:ind w:left="384" w:hanging="384"/>
    </w:pPr>
  </w:style>
  <w:style w:type="character" w:styleId="af">
    <w:name w:val="Unresolved Mention"/>
    <w:basedOn w:val="a0"/>
    <w:uiPriority w:val="99"/>
    <w:semiHidden/>
    <w:unhideWhenUsed/>
    <w:rsid w:val="00F579D1"/>
    <w:rPr>
      <w:color w:val="605E5C"/>
      <w:shd w:val="clear" w:color="auto" w:fill="E1DFDD"/>
    </w:rPr>
  </w:style>
  <w:style w:type="table" w:styleId="af0">
    <w:name w:val="Table Grid"/>
    <w:basedOn w:val="a1"/>
    <w:uiPriority w:val="39"/>
    <w:rsid w:val="00BB3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mine">
    <w:name w:val="Times mine"/>
    <w:basedOn w:val="2"/>
    <w:link w:val="TimesmineChar"/>
    <w:qFormat/>
    <w:rsid w:val="00D04787"/>
    <w:rPr>
      <w:rFonts w:ascii="Times New Roman" w:hAnsi="Times New Roman"/>
      <w:b/>
      <w:color w:val="auto"/>
      <w:sz w:val="28"/>
    </w:rPr>
  </w:style>
  <w:style w:type="character" w:customStyle="1" w:styleId="TimesmineChar">
    <w:name w:val="Times mine Char"/>
    <w:basedOn w:val="2Char"/>
    <w:link w:val="Timesmine"/>
    <w:rsid w:val="00D04787"/>
    <w:rPr>
      <w:rFonts w:ascii="Times New Roman" w:eastAsiaTheme="majorEastAsia" w:hAnsi="Times New Roman" w:cstheme="majorBidi"/>
      <w:b/>
      <w:color w:val="0F4761" w:themeColor="accent1" w:themeShade="BF"/>
      <w:kern w:val="0"/>
      <w:sz w:val="28"/>
      <w:szCs w:val="32"/>
      <w:lang w:eastAsia="el-GR"/>
      <w14:ligatures w14:val="none"/>
    </w:rPr>
  </w:style>
  <w:style w:type="paragraph" w:customStyle="1" w:styleId="Big">
    <w:name w:val="Big"/>
    <w:basedOn w:val="Timesmine"/>
    <w:link w:val="BigChar"/>
    <w:qFormat/>
    <w:rsid w:val="00D04787"/>
    <w:rPr>
      <w:sz w:val="32"/>
      <w:szCs w:val="36"/>
    </w:rPr>
  </w:style>
  <w:style w:type="character" w:customStyle="1" w:styleId="BigChar">
    <w:name w:val="Big Char"/>
    <w:basedOn w:val="TimesmineChar"/>
    <w:link w:val="Big"/>
    <w:rsid w:val="00D04787"/>
    <w:rPr>
      <w:rFonts w:ascii="Times New Roman" w:eastAsiaTheme="majorEastAsia" w:hAnsi="Times New Roman" w:cstheme="majorBidi"/>
      <w:b/>
      <w:color w:val="0F4761" w:themeColor="accent1" w:themeShade="BF"/>
      <w:kern w:val="0"/>
      <w:sz w:val="32"/>
      <w:szCs w:val="36"/>
      <w:lang w:eastAsia="el-GR"/>
      <w14:ligatures w14:val="none"/>
    </w:rPr>
  </w:style>
  <w:style w:type="paragraph" w:styleId="Web">
    <w:name w:val="Normal (Web)"/>
    <w:basedOn w:val="a"/>
    <w:uiPriority w:val="99"/>
    <w:semiHidden/>
    <w:unhideWhenUsed/>
    <w:rsid w:val="00C1795E"/>
  </w:style>
  <w:style w:type="paragraph" w:customStyle="1" w:styleId="DecimalAligned">
    <w:name w:val="Decimal Aligned"/>
    <w:basedOn w:val="a"/>
    <w:uiPriority w:val="40"/>
    <w:qFormat/>
    <w:rsid w:val="00D9316E"/>
    <w:pPr>
      <w:tabs>
        <w:tab w:val="decimal" w:pos="360"/>
      </w:tabs>
      <w:spacing w:after="200" w:line="276" w:lineRule="auto"/>
    </w:pPr>
    <w:rPr>
      <w:rFonts w:asciiTheme="minorHAnsi" w:eastAsiaTheme="minorEastAsia" w:hAnsiTheme="minorHAnsi"/>
      <w:sz w:val="22"/>
      <w:szCs w:val="22"/>
      <w:lang w:eastAsia="en-US"/>
    </w:rPr>
  </w:style>
  <w:style w:type="paragraph" w:styleId="af1">
    <w:name w:val="footnote text"/>
    <w:basedOn w:val="a"/>
    <w:link w:val="Char5"/>
    <w:uiPriority w:val="99"/>
    <w:unhideWhenUsed/>
    <w:rsid w:val="00D9316E"/>
    <w:rPr>
      <w:rFonts w:asciiTheme="minorHAnsi" w:eastAsiaTheme="minorEastAsia" w:hAnsiTheme="minorHAnsi"/>
      <w:sz w:val="20"/>
      <w:szCs w:val="20"/>
      <w:lang w:eastAsia="en-US"/>
    </w:rPr>
  </w:style>
  <w:style w:type="character" w:customStyle="1" w:styleId="Char5">
    <w:name w:val="Κείμενο υποσημείωσης Char"/>
    <w:basedOn w:val="a0"/>
    <w:link w:val="af1"/>
    <w:uiPriority w:val="99"/>
    <w:rsid w:val="00D9316E"/>
    <w:rPr>
      <w:rFonts w:eastAsiaTheme="minorEastAsia" w:cs="Times New Roman"/>
      <w:kern w:val="0"/>
      <w:sz w:val="20"/>
      <w:szCs w:val="20"/>
      <w:lang w:val="en-US"/>
      <w14:ligatures w14:val="none"/>
    </w:rPr>
  </w:style>
  <w:style w:type="character" w:styleId="af2">
    <w:name w:val="Subtle Emphasis"/>
    <w:basedOn w:val="a0"/>
    <w:uiPriority w:val="19"/>
    <w:qFormat/>
    <w:rsid w:val="00D9316E"/>
    <w:rPr>
      <w:i/>
      <w:iCs/>
    </w:rPr>
  </w:style>
  <w:style w:type="table" w:styleId="2-5">
    <w:name w:val="Medium Shading 2 Accent 5"/>
    <w:basedOn w:val="a1"/>
    <w:uiPriority w:val="64"/>
    <w:rsid w:val="00D9316E"/>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3">
    <w:name w:val="Placeholder Text"/>
    <w:basedOn w:val="a0"/>
    <w:uiPriority w:val="99"/>
    <w:semiHidden/>
    <w:rsid w:val="00F71ED9"/>
    <w:rPr>
      <w:color w:val="666666"/>
    </w:rPr>
  </w:style>
  <w:style w:type="paragraph" w:styleId="af4">
    <w:name w:val="table of figures"/>
    <w:basedOn w:val="a"/>
    <w:next w:val="a"/>
    <w:uiPriority w:val="99"/>
    <w:unhideWhenUsed/>
    <w:rsid w:val="00433D7D"/>
    <w:pPr>
      <w:spacing w:after="60" w:line="360" w:lineRule="auto"/>
      <w:jc w:val="both"/>
    </w:pPr>
    <w:rPr>
      <w:sz w:val="22"/>
      <w:szCs w:val="20"/>
      <w:lang w:eastAsia="en-US"/>
    </w:rPr>
  </w:style>
  <w:style w:type="paragraph" w:styleId="af5">
    <w:name w:val="caption"/>
    <w:basedOn w:val="a"/>
    <w:next w:val="a"/>
    <w:uiPriority w:val="35"/>
    <w:unhideWhenUsed/>
    <w:qFormat/>
    <w:rsid w:val="00433D7D"/>
    <w:pPr>
      <w:spacing w:after="200"/>
    </w:pPr>
    <w:rPr>
      <w:i/>
      <w:iCs/>
      <w:color w:val="0E2841" w:themeColor="text2"/>
      <w:sz w:val="18"/>
      <w:szCs w:val="18"/>
    </w:rPr>
  </w:style>
  <w:style w:type="character" w:styleId="-0">
    <w:name w:val="FollowedHyperlink"/>
    <w:basedOn w:val="a0"/>
    <w:uiPriority w:val="99"/>
    <w:semiHidden/>
    <w:unhideWhenUsed/>
    <w:rsid w:val="003D1962"/>
    <w:rPr>
      <w:color w:val="96607D" w:themeColor="followedHyperlink"/>
      <w:u w:val="single"/>
    </w:rPr>
  </w:style>
  <w:style w:type="character" w:styleId="af6">
    <w:name w:val="annotation reference"/>
    <w:basedOn w:val="a0"/>
    <w:uiPriority w:val="99"/>
    <w:semiHidden/>
    <w:unhideWhenUsed/>
    <w:rsid w:val="00306BD8"/>
    <w:rPr>
      <w:sz w:val="16"/>
      <w:szCs w:val="16"/>
    </w:rPr>
  </w:style>
  <w:style w:type="paragraph" w:styleId="af7">
    <w:name w:val="annotation text"/>
    <w:basedOn w:val="a"/>
    <w:link w:val="Char6"/>
    <w:uiPriority w:val="99"/>
    <w:unhideWhenUsed/>
    <w:rsid w:val="00306BD8"/>
    <w:rPr>
      <w:sz w:val="20"/>
      <w:szCs w:val="20"/>
    </w:rPr>
  </w:style>
  <w:style w:type="character" w:customStyle="1" w:styleId="Char6">
    <w:name w:val="Κείμενο σχολίου Char"/>
    <w:basedOn w:val="a0"/>
    <w:link w:val="af7"/>
    <w:uiPriority w:val="99"/>
    <w:rsid w:val="00306BD8"/>
    <w:rPr>
      <w:rFonts w:ascii="Times New Roman" w:eastAsia="Times New Roman" w:hAnsi="Times New Roman" w:cs="Times New Roman"/>
      <w:kern w:val="0"/>
      <w:sz w:val="20"/>
      <w:szCs w:val="20"/>
      <w:lang w:eastAsia="el-GR"/>
      <w14:ligatures w14:val="none"/>
    </w:rPr>
  </w:style>
  <w:style w:type="paragraph" w:styleId="af8">
    <w:name w:val="annotation subject"/>
    <w:basedOn w:val="af7"/>
    <w:next w:val="af7"/>
    <w:link w:val="Char7"/>
    <w:uiPriority w:val="99"/>
    <w:semiHidden/>
    <w:unhideWhenUsed/>
    <w:rsid w:val="00306BD8"/>
    <w:rPr>
      <w:b/>
      <w:bCs/>
    </w:rPr>
  </w:style>
  <w:style w:type="character" w:customStyle="1" w:styleId="Char7">
    <w:name w:val="Θέμα σχολίου Char"/>
    <w:basedOn w:val="Char6"/>
    <w:link w:val="af8"/>
    <w:uiPriority w:val="99"/>
    <w:semiHidden/>
    <w:rsid w:val="00306BD8"/>
    <w:rPr>
      <w:rFonts w:ascii="Times New Roman" w:eastAsia="Times New Roman" w:hAnsi="Times New Roman" w:cs="Times New Roman"/>
      <w:b/>
      <w:bCs/>
      <w:kern w:val="0"/>
      <w:sz w:val="20"/>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36">
      <w:bodyDiv w:val="1"/>
      <w:marLeft w:val="0"/>
      <w:marRight w:val="0"/>
      <w:marTop w:val="0"/>
      <w:marBottom w:val="0"/>
      <w:divBdr>
        <w:top w:val="none" w:sz="0" w:space="0" w:color="auto"/>
        <w:left w:val="none" w:sz="0" w:space="0" w:color="auto"/>
        <w:bottom w:val="none" w:sz="0" w:space="0" w:color="auto"/>
        <w:right w:val="none" w:sz="0" w:space="0" w:color="auto"/>
      </w:divBdr>
    </w:div>
    <w:div w:id="2324504">
      <w:bodyDiv w:val="1"/>
      <w:marLeft w:val="0"/>
      <w:marRight w:val="0"/>
      <w:marTop w:val="0"/>
      <w:marBottom w:val="0"/>
      <w:divBdr>
        <w:top w:val="none" w:sz="0" w:space="0" w:color="auto"/>
        <w:left w:val="none" w:sz="0" w:space="0" w:color="auto"/>
        <w:bottom w:val="none" w:sz="0" w:space="0" w:color="auto"/>
        <w:right w:val="none" w:sz="0" w:space="0" w:color="auto"/>
      </w:divBdr>
    </w:div>
    <w:div w:id="2361779">
      <w:bodyDiv w:val="1"/>
      <w:marLeft w:val="0"/>
      <w:marRight w:val="0"/>
      <w:marTop w:val="0"/>
      <w:marBottom w:val="0"/>
      <w:divBdr>
        <w:top w:val="none" w:sz="0" w:space="0" w:color="auto"/>
        <w:left w:val="none" w:sz="0" w:space="0" w:color="auto"/>
        <w:bottom w:val="none" w:sz="0" w:space="0" w:color="auto"/>
        <w:right w:val="none" w:sz="0" w:space="0" w:color="auto"/>
      </w:divBdr>
    </w:div>
    <w:div w:id="7684259">
      <w:bodyDiv w:val="1"/>
      <w:marLeft w:val="0"/>
      <w:marRight w:val="0"/>
      <w:marTop w:val="0"/>
      <w:marBottom w:val="0"/>
      <w:divBdr>
        <w:top w:val="none" w:sz="0" w:space="0" w:color="auto"/>
        <w:left w:val="none" w:sz="0" w:space="0" w:color="auto"/>
        <w:bottom w:val="none" w:sz="0" w:space="0" w:color="auto"/>
        <w:right w:val="none" w:sz="0" w:space="0" w:color="auto"/>
      </w:divBdr>
    </w:div>
    <w:div w:id="14579495">
      <w:bodyDiv w:val="1"/>
      <w:marLeft w:val="0"/>
      <w:marRight w:val="0"/>
      <w:marTop w:val="0"/>
      <w:marBottom w:val="0"/>
      <w:divBdr>
        <w:top w:val="none" w:sz="0" w:space="0" w:color="auto"/>
        <w:left w:val="none" w:sz="0" w:space="0" w:color="auto"/>
        <w:bottom w:val="none" w:sz="0" w:space="0" w:color="auto"/>
        <w:right w:val="none" w:sz="0" w:space="0" w:color="auto"/>
      </w:divBdr>
      <w:divsChild>
        <w:div w:id="1743874143">
          <w:marLeft w:val="0"/>
          <w:marRight w:val="0"/>
          <w:marTop w:val="0"/>
          <w:marBottom w:val="0"/>
          <w:divBdr>
            <w:top w:val="none" w:sz="0" w:space="0" w:color="auto"/>
            <w:left w:val="none" w:sz="0" w:space="0" w:color="auto"/>
            <w:bottom w:val="none" w:sz="0" w:space="0" w:color="auto"/>
            <w:right w:val="none" w:sz="0" w:space="0" w:color="auto"/>
          </w:divBdr>
          <w:divsChild>
            <w:div w:id="1239899142">
              <w:marLeft w:val="0"/>
              <w:marRight w:val="0"/>
              <w:marTop w:val="0"/>
              <w:marBottom w:val="0"/>
              <w:divBdr>
                <w:top w:val="none" w:sz="0" w:space="0" w:color="auto"/>
                <w:left w:val="none" w:sz="0" w:space="0" w:color="auto"/>
                <w:bottom w:val="none" w:sz="0" w:space="0" w:color="auto"/>
                <w:right w:val="none" w:sz="0" w:space="0" w:color="auto"/>
              </w:divBdr>
              <w:divsChild>
                <w:div w:id="11137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3415">
          <w:marLeft w:val="0"/>
          <w:marRight w:val="0"/>
          <w:marTop w:val="0"/>
          <w:marBottom w:val="0"/>
          <w:divBdr>
            <w:top w:val="none" w:sz="0" w:space="0" w:color="auto"/>
            <w:left w:val="none" w:sz="0" w:space="0" w:color="auto"/>
            <w:bottom w:val="none" w:sz="0" w:space="0" w:color="auto"/>
            <w:right w:val="none" w:sz="0" w:space="0" w:color="auto"/>
          </w:divBdr>
          <w:divsChild>
            <w:div w:id="459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285">
      <w:bodyDiv w:val="1"/>
      <w:marLeft w:val="0"/>
      <w:marRight w:val="0"/>
      <w:marTop w:val="0"/>
      <w:marBottom w:val="0"/>
      <w:divBdr>
        <w:top w:val="none" w:sz="0" w:space="0" w:color="auto"/>
        <w:left w:val="none" w:sz="0" w:space="0" w:color="auto"/>
        <w:bottom w:val="none" w:sz="0" w:space="0" w:color="auto"/>
        <w:right w:val="none" w:sz="0" w:space="0" w:color="auto"/>
      </w:divBdr>
    </w:div>
    <w:div w:id="24791112">
      <w:bodyDiv w:val="1"/>
      <w:marLeft w:val="0"/>
      <w:marRight w:val="0"/>
      <w:marTop w:val="0"/>
      <w:marBottom w:val="0"/>
      <w:divBdr>
        <w:top w:val="none" w:sz="0" w:space="0" w:color="auto"/>
        <w:left w:val="none" w:sz="0" w:space="0" w:color="auto"/>
        <w:bottom w:val="none" w:sz="0" w:space="0" w:color="auto"/>
        <w:right w:val="none" w:sz="0" w:space="0" w:color="auto"/>
      </w:divBdr>
    </w:div>
    <w:div w:id="29885933">
      <w:bodyDiv w:val="1"/>
      <w:marLeft w:val="0"/>
      <w:marRight w:val="0"/>
      <w:marTop w:val="0"/>
      <w:marBottom w:val="0"/>
      <w:divBdr>
        <w:top w:val="none" w:sz="0" w:space="0" w:color="auto"/>
        <w:left w:val="none" w:sz="0" w:space="0" w:color="auto"/>
        <w:bottom w:val="none" w:sz="0" w:space="0" w:color="auto"/>
        <w:right w:val="none" w:sz="0" w:space="0" w:color="auto"/>
      </w:divBdr>
    </w:div>
    <w:div w:id="37245111">
      <w:bodyDiv w:val="1"/>
      <w:marLeft w:val="0"/>
      <w:marRight w:val="0"/>
      <w:marTop w:val="0"/>
      <w:marBottom w:val="0"/>
      <w:divBdr>
        <w:top w:val="none" w:sz="0" w:space="0" w:color="auto"/>
        <w:left w:val="none" w:sz="0" w:space="0" w:color="auto"/>
        <w:bottom w:val="none" w:sz="0" w:space="0" w:color="auto"/>
        <w:right w:val="none" w:sz="0" w:space="0" w:color="auto"/>
      </w:divBdr>
    </w:div>
    <w:div w:id="40598721">
      <w:bodyDiv w:val="1"/>
      <w:marLeft w:val="0"/>
      <w:marRight w:val="0"/>
      <w:marTop w:val="0"/>
      <w:marBottom w:val="0"/>
      <w:divBdr>
        <w:top w:val="none" w:sz="0" w:space="0" w:color="auto"/>
        <w:left w:val="none" w:sz="0" w:space="0" w:color="auto"/>
        <w:bottom w:val="none" w:sz="0" w:space="0" w:color="auto"/>
        <w:right w:val="none" w:sz="0" w:space="0" w:color="auto"/>
      </w:divBdr>
    </w:div>
    <w:div w:id="45767412">
      <w:bodyDiv w:val="1"/>
      <w:marLeft w:val="0"/>
      <w:marRight w:val="0"/>
      <w:marTop w:val="0"/>
      <w:marBottom w:val="0"/>
      <w:divBdr>
        <w:top w:val="none" w:sz="0" w:space="0" w:color="auto"/>
        <w:left w:val="none" w:sz="0" w:space="0" w:color="auto"/>
        <w:bottom w:val="none" w:sz="0" w:space="0" w:color="auto"/>
        <w:right w:val="none" w:sz="0" w:space="0" w:color="auto"/>
      </w:divBdr>
    </w:div>
    <w:div w:id="46224249">
      <w:bodyDiv w:val="1"/>
      <w:marLeft w:val="0"/>
      <w:marRight w:val="0"/>
      <w:marTop w:val="0"/>
      <w:marBottom w:val="0"/>
      <w:divBdr>
        <w:top w:val="none" w:sz="0" w:space="0" w:color="auto"/>
        <w:left w:val="none" w:sz="0" w:space="0" w:color="auto"/>
        <w:bottom w:val="none" w:sz="0" w:space="0" w:color="auto"/>
        <w:right w:val="none" w:sz="0" w:space="0" w:color="auto"/>
      </w:divBdr>
    </w:div>
    <w:div w:id="48654277">
      <w:bodyDiv w:val="1"/>
      <w:marLeft w:val="0"/>
      <w:marRight w:val="0"/>
      <w:marTop w:val="0"/>
      <w:marBottom w:val="0"/>
      <w:divBdr>
        <w:top w:val="none" w:sz="0" w:space="0" w:color="auto"/>
        <w:left w:val="none" w:sz="0" w:space="0" w:color="auto"/>
        <w:bottom w:val="none" w:sz="0" w:space="0" w:color="auto"/>
        <w:right w:val="none" w:sz="0" w:space="0" w:color="auto"/>
      </w:divBdr>
    </w:div>
    <w:div w:id="61218908">
      <w:bodyDiv w:val="1"/>
      <w:marLeft w:val="0"/>
      <w:marRight w:val="0"/>
      <w:marTop w:val="0"/>
      <w:marBottom w:val="0"/>
      <w:divBdr>
        <w:top w:val="none" w:sz="0" w:space="0" w:color="auto"/>
        <w:left w:val="none" w:sz="0" w:space="0" w:color="auto"/>
        <w:bottom w:val="none" w:sz="0" w:space="0" w:color="auto"/>
        <w:right w:val="none" w:sz="0" w:space="0" w:color="auto"/>
      </w:divBdr>
    </w:div>
    <w:div w:id="65148419">
      <w:bodyDiv w:val="1"/>
      <w:marLeft w:val="0"/>
      <w:marRight w:val="0"/>
      <w:marTop w:val="0"/>
      <w:marBottom w:val="0"/>
      <w:divBdr>
        <w:top w:val="none" w:sz="0" w:space="0" w:color="auto"/>
        <w:left w:val="none" w:sz="0" w:space="0" w:color="auto"/>
        <w:bottom w:val="none" w:sz="0" w:space="0" w:color="auto"/>
        <w:right w:val="none" w:sz="0" w:space="0" w:color="auto"/>
      </w:divBdr>
    </w:div>
    <w:div w:id="69619865">
      <w:bodyDiv w:val="1"/>
      <w:marLeft w:val="0"/>
      <w:marRight w:val="0"/>
      <w:marTop w:val="0"/>
      <w:marBottom w:val="0"/>
      <w:divBdr>
        <w:top w:val="none" w:sz="0" w:space="0" w:color="auto"/>
        <w:left w:val="none" w:sz="0" w:space="0" w:color="auto"/>
        <w:bottom w:val="none" w:sz="0" w:space="0" w:color="auto"/>
        <w:right w:val="none" w:sz="0" w:space="0" w:color="auto"/>
      </w:divBdr>
    </w:div>
    <w:div w:id="85613924">
      <w:bodyDiv w:val="1"/>
      <w:marLeft w:val="0"/>
      <w:marRight w:val="0"/>
      <w:marTop w:val="0"/>
      <w:marBottom w:val="0"/>
      <w:divBdr>
        <w:top w:val="none" w:sz="0" w:space="0" w:color="auto"/>
        <w:left w:val="none" w:sz="0" w:space="0" w:color="auto"/>
        <w:bottom w:val="none" w:sz="0" w:space="0" w:color="auto"/>
        <w:right w:val="none" w:sz="0" w:space="0" w:color="auto"/>
      </w:divBdr>
    </w:div>
    <w:div w:id="86926120">
      <w:bodyDiv w:val="1"/>
      <w:marLeft w:val="0"/>
      <w:marRight w:val="0"/>
      <w:marTop w:val="0"/>
      <w:marBottom w:val="0"/>
      <w:divBdr>
        <w:top w:val="none" w:sz="0" w:space="0" w:color="auto"/>
        <w:left w:val="none" w:sz="0" w:space="0" w:color="auto"/>
        <w:bottom w:val="none" w:sz="0" w:space="0" w:color="auto"/>
        <w:right w:val="none" w:sz="0" w:space="0" w:color="auto"/>
      </w:divBdr>
    </w:div>
    <w:div w:id="87315007">
      <w:bodyDiv w:val="1"/>
      <w:marLeft w:val="0"/>
      <w:marRight w:val="0"/>
      <w:marTop w:val="0"/>
      <w:marBottom w:val="0"/>
      <w:divBdr>
        <w:top w:val="none" w:sz="0" w:space="0" w:color="auto"/>
        <w:left w:val="none" w:sz="0" w:space="0" w:color="auto"/>
        <w:bottom w:val="none" w:sz="0" w:space="0" w:color="auto"/>
        <w:right w:val="none" w:sz="0" w:space="0" w:color="auto"/>
      </w:divBdr>
    </w:div>
    <w:div w:id="90051443">
      <w:bodyDiv w:val="1"/>
      <w:marLeft w:val="0"/>
      <w:marRight w:val="0"/>
      <w:marTop w:val="0"/>
      <w:marBottom w:val="0"/>
      <w:divBdr>
        <w:top w:val="none" w:sz="0" w:space="0" w:color="auto"/>
        <w:left w:val="none" w:sz="0" w:space="0" w:color="auto"/>
        <w:bottom w:val="none" w:sz="0" w:space="0" w:color="auto"/>
        <w:right w:val="none" w:sz="0" w:space="0" w:color="auto"/>
      </w:divBdr>
    </w:div>
    <w:div w:id="105927952">
      <w:bodyDiv w:val="1"/>
      <w:marLeft w:val="0"/>
      <w:marRight w:val="0"/>
      <w:marTop w:val="0"/>
      <w:marBottom w:val="0"/>
      <w:divBdr>
        <w:top w:val="none" w:sz="0" w:space="0" w:color="auto"/>
        <w:left w:val="none" w:sz="0" w:space="0" w:color="auto"/>
        <w:bottom w:val="none" w:sz="0" w:space="0" w:color="auto"/>
        <w:right w:val="none" w:sz="0" w:space="0" w:color="auto"/>
      </w:divBdr>
    </w:div>
    <w:div w:id="106851034">
      <w:bodyDiv w:val="1"/>
      <w:marLeft w:val="0"/>
      <w:marRight w:val="0"/>
      <w:marTop w:val="0"/>
      <w:marBottom w:val="0"/>
      <w:divBdr>
        <w:top w:val="none" w:sz="0" w:space="0" w:color="auto"/>
        <w:left w:val="none" w:sz="0" w:space="0" w:color="auto"/>
        <w:bottom w:val="none" w:sz="0" w:space="0" w:color="auto"/>
        <w:right w:val="none" w:sz="0" w:space="0" w:color="auto"/>
      </w:divBdr>
    </w:div>
    <w:div w:id="111093178">
      <w:bodyDiv w:val="1"/>
      <w:marLeft w:val="0"/>
      <w:marRight w:val="0"/>
      <w:marTop w:val="0"/>
      <w:marBottom w:val="0"/>
      <w:divBdr>
        <w:top w:val="none" w:sz="0" w:space="0" w:color="auto"/>
        <w:left w:val="none" w:sz="0" w:space="0" w:color="auto"/>
        <w:bottom w:val="none" w:sz="0" w:space="0" w:color="auto"/>
        <w:right w:val="none" w:sz="0" w:space="0" w:color="auto"/>
      </w:divBdr>
    </w:div>
    <w:div w:id="124660986">
      <w:bodyDiv w:val="1"/>
      <w:marLeft w:val="0"/>
      <w:marRight w:val="0"/>
      <w:marTop w:val="0"/>
      <w:marBottom w:val="0"/>
      <w:divBdr>
        <w:top w:val="none" w:sz="0" w:space="0" w:color="auto"/>
        <w:left w:val="none" w:sz="0" w:space="0" w:color="auto"/>
        <w:bottom w:val="none" w:sz="0" w:space="0" w:color="auto"/>
        <w:right w:val="none" w:sz="0" w:space="0" w:color="auto"/>
      </w:divBdr>
    </w:div>
    <w:div w:id="127549895">
      <w:bodyDiv w:val="1"/>
      <w:marLeft w:val="0"/>
      <w:marRight w:val="0"/>
      <w:marTop w:val="0"/>
      <w:marBottom w:val="0"/>
      <w:divBdr>
        <w:top w:val="none" w:sz="0" w:space="0" w:color="auto"/>
        <w:left w:val="none" w:sz="0" w:space="0" w:color="auto"/>
        <w:bottom w:val="none" w:sz="0" w:space="0" w:color="auto"/>
        <w:right w:val="none" w:sz="0" w:space="0" w:color="auto"/>
      </w:divBdr>
    </w:div>
    <w:div w:id="129370616">
      <w:bodyDiv w:val="1"/>
      <w:marLeft w:val="0"/>
      <w:marRight w:val="0"/>
      <w:marTop w:val="0"/>
      <w:marBottom w:val="0"/>
      <w:divBdr>
        <w:top w:val="none" w:sz="0" w:space="0" w:color="auto"/>
        <w:left w:val="none" w:sz="0" w:space="0" w:color="auto"/>
        <w:bottom w:val="none" w:sz="0" w:space="0" w:color="auto"/>
        <w:right w:val="none" w:sz="0" w:space="0" w:color="auto"/>
      </w:divBdr>
    </w:div>
    <w:div w:id="135295351">
      <w:bodyDiv w:val="1"/>
      <w:marLeft w:val="0"/>
      <w:marRight w:val="0"/>
      <w:marTop w:val="0"/>
      <w:marBottom w:val="0"/>
      <w:divBdr>
        <w:top w:val="none" w:sz="0" w:space="0" w:color="auto"/>
        <w:left w:val="none" w:sz="0" w:space="0" w:color="auto"/>
        <w:bottom w:val="none" w:sz="0" w:space="0" w:color="auto"/>
        <w:right w:val="none" w:sz="0" w:space="0" w:color="auto"/>
      </w:divBdr>
    </w:div>
    <w:div w:id="135338056">
      <w:bodyDiv w:val="1"/>
      <w:marLeft w:val="0"/>
      <w:marRight w:val="0"/>
      <w:marTop w:val="0"/>
      <w:marBottom w:val="0"/>
      <w:divBdr>
        <w:top w:val="none" w:sz="0" w:space="0" w:color="auto"/>
        <w:left w:val="none" w:sz="0" w:space="0" w:color="auto"/>
        <w:bottom w:val="none" w:sz="0" w:space="0" w:color="auto"/>
        <w:right w:val="none" w:sz="0" w:space="0" w:color="auto"/>
      </w:divBdr>
    </w:div>
    <w:div w:id="146870455">
      <w:bodyDiv w:val="1"/>
      <w:marLeft w:val="0"/>
      <w:marRight w:val="0"/>
      <w:marTop w:val="0"/>
      <w:marBottom w:val="0"/>
      <w:divBdr>
        <w:top w:val="none" w:sz="0" w:space="0" w:color="auto"/>
        <w:left w:val="none" w:sz="0" w:space="0" w:color="auto"/>
        <w:bottom w:val="none" w:sz="0" w:space="0" w:color="auto"/>
        <w:right w:val="none" w:sz="0" w:space="0" w:color="auto"/>
      </w:divBdr>
    </w:div>
    <w:div w:id="152916190">
      <w:bodyDiv w:val="1"/>
      <w:marLeft w:val="0"/>
      <w:marRight w:val="0"/>
      <w:marTop w:val="0"/>
      <w:marBottom w:val="0"/>
      <w:divBdr>
        <w:top w:val="none" w:sz="0" w:space="0" w:color="auto"/>
        <w:left w:val="none" w:sz="0" w:space="0" w:color="auto"/>
        <w:bottom w:val="none" w:sz="0" w:space="0" w:color="auto"/>
        <w:right w:val="none" w:sz="0" w:space="0" w:color="auto"/>
      </w:divBdr>
    </w:div>
    <w:div w:id="153887013">
      <w:bodyDiv w:val="1"/>
      <w:marLeft w:val="0"/>
      <w:marRight w:val="0"/>
      <w:marTop w:val="0"/>
      <w:marBottom w:val="0"/>
      <w:divBdr>
        <w:top w:val="none" w:sz="0" w:space="0" w:color="auto"/>
        <w:left w:val="none" w:sz="0" w:space="0" w:color="auto"/>
        <w:bottom w:val="none" w:sz="0" w:space="0" w:color="auto"/>
        <w:right w:val="none" w:sz="0" w:space="0" w:color="auto"/>
      </w:divBdr>
    </w:div>
    <w:div w:id="160387551">
      <w:bodyDiv w:val="1"/>
      <w:marLeft w:val="0"/>
      <w:marRight w:val="0"/>
      <w:marTop w:val="0"/>
      <w:marBottom w:val="0"/>
      <w:divBdr>
        <w:top w:val="none" w:sz="0" w:space="0" w:color="auto"/>
        <w:left w:val="none" w:sz="0" w:space="0" w:color="auto"/>
        <w:bottom w:val="none" w:sz="0" w:space="0" w:color="auto"/>
        <w:right w:val="none" w:sz="0" w:space="0" w:color="auto"/>
      </w:divBdr>
    </w:div>
    <w:div w:id="164907743">
      <w:bodyDiv w:val="1"/>
      <w:marLeft w:val="0"/>
      <w:marRight w:val="0"/>
      <w:marTop w:val="0"/>
      <w:marBottom w:val="0"/>
      <w:divBdr>
        <w:top w:val="none" w:sz="0" w:space="0" w:color="auto"/>
        <w:left w:val="none" w:sz="0" w:space="0" w:color="auto"/>
        <w:bottom w:val="none" w:sz="0" w:space="0" w:color="auto"/>
        <w:right w:val="none" w:sz="0" w:space="0" w:color="auto"/>
      </w:divBdr>
    </w:div>
    <w:div w:id="166097469">
      <w:bodyDiv w:val="1"/>
      <w:marLeft w:val="0"/>
      <w:marRight w:val="0"/>
      <w:marTop w:val="0"/>
      <w:marBottom w:val="0"/>
      <w:divBdr>
        <w:top w:val="none" w:sz="0" w:space="0" w:color="auto"/>
        <w:left w:val="none" w:sz="0" w:space="0" w:color="auto"/>
        <w:bottom w:val="none" w:sz="0" w:space="0" w:color="auto"/>
        <w:right w:val="none" w:sz="0" w:space="0" w:color="auto"/>
      </w:divBdr>
    </w:div>
    <w:div w:id="173034801">
      <w:bodyDiv w:val="1"/>
      <w:marLeft w:val="0"/>
      <w:marRight w:val="0"/>
      <w:marTop w:val="0"/>
      <w:marBottom w:val="0"/>
      <w:divBdr>
        <w:top w:val="none" w:sz="0" w:space="0" w:color="auto"/>
        <w:left w:val="none" w:sz="0" w:space="0" w:color="auto"/>
        <w:bottom w:val="none" w:sz="0" w:space="0" w:color="auto"/>
        <w:right w:val="none" w:sz="0" w:space="0" w:color="auto"/>
      </w:divBdr>
    </w:div>
    <w:div w:id="190731309">
      <w:bodyDiv w:val="1"/>
      <w:marLeft w:val="0"/>
      <w:marRight w:val="0"/>
      <w:marTop w:val="0"/>
      <w:marBottom w:val="0"/>
      <w:divBdr>
        <w:top w:val="none" w:sz="0" w:space="0" w:color="auto"/>
        <w:left w:val="none" w:sz="0" w:space="0" w:color="auto"/>
        <w:bottom w:val="none" w:sz="0" w:space="0" w:color="auto"/>
        <w:right w:val="none" w:sz="0" w:space="0" w:color="auto"/>
      </w:divBdr>
    </w:div>
    <w:div w:id="194855799">
      <w:bodyDiv w:val="1"/>
      <w:marLeft w:val="0"/>
      <w:marRight w:val="0"/>
      <w:marTop w:val="0"/>
      <w:marBottom w:val="0"/>
      <w:divBdr>
        <w:top w:val="none" w:sz="0" w:space="0" w:color="auto"/>
        <w:left w:val="none" w:sz="0" w:space="0" w:color="auto"/>
        <w:bottom w:val="none" w:sz="0" w:space="0" w:color="auto"/>
        <w:right w:val="none" w:sz="0" w:space="0" w:color="auto"/>
      </w:divBdr>
    </w:div>
    <w:div w:id="196889887">
      <w:bodyDiv w:val="1"/>
      <w:marLeft w:val="0"/>
      <w:marRight w:val="0"/>
      <w:marTop w:val="0"/>
      <w:marBottom w:val="0"/>
      <w:divBdr>
        <w:top w:val="none" w:sz="0" w:space="0" w:color="auto"/>
        <w:left w:val="none" w:sz="0" w:space="0" w:color="auto"/>
        <w:bottom w:val="none" w:sz="0" w:space="0" w:color="auto"/>
        <w:right w:val="none" w:sz="0" w:space="0" w:color="auto"/>
      </w:divBdr>
    </w:div>
    <w:div w:id="198981852">
      <w:bodyDiv w:val="1"/>
      <w:marLeft w:val="0"/>
      <w:marRight w:val="0"/>
      <w:marTop w:val="0"/>
      <w:marBottom w:val="0"/>
      <w:divBdr>
        <w:top w:val="none" w:sz="0" w:space="0" w:color="auto"/>
        <w:left w:val="none" w:sz="0" w:space="0" w:color="auto"/>
        <w:bottom w:val="none" w:sz="0" w:space="0" w:color="auto"/>
        <w:right w:val="none" w:sz="0" w:space="0" w:color="auto"/>
      </w:divBdr>
    </w:div>
    <w:div w:id="201209242">
      <w:bodyDiv w:val="1"/>
      <w:marLeft w:val="0"/>
      <w:marRight w:val="0"/>
      <w:marTop w:val="0"/>
      <w:marBottom w:val="0"/>
      <w:divBdr>
        <w:top w:val="none" w:sz="0" w:space="0" w:color="auto"/>
        <w:left w:val="none" w:sz="0" w:space="0" w:color="auto"/>
        <w:bottom w:val="none" w:sz="0" w:space="0" w:color="auto"/>
        <w:right w:val="none" w:sz="0" w:space="0" w:color="auto"/>
      </w:divBdr>
    </w:div>
    <w:div w:id="209921310">
      <w:bodyDiv w:val="1"/>
      <w:marLeft w:val="0"/>
      <w:marRight w:val="0"/>
      <w:marTop w:val="0"/>
      <w:marBottom w:val="0"/>
      <w:divBdr>
        <w:top w:val="none" w:sz="0" w:space="0" w:color="auto"/>
        <w:left w:val="none" w:sz="0" w:space="0" w:color="auto"/>
        <w:bottom w:val="none" w:sz="0" w:space="0" w:color="auto"/>
        <w:right w:val="none" w:sz="0" w:space="0" w:color="auto"/>
      </w:divBdr>
    </w:div>
    <w:div w:id="210574816">
      <w:bodyDiv w:val="1"/>
      <w:marLeft w:val="0"/>
      <w:marRight w:val="0"/>
      <w:marTop w:val="0"/>
      <w:marBottom w:val="0"/>
      <w:divBdr>
        <w:top w:val="none" w:sz="0" w:space="0" w:color="auto"/>
        <w:left w:val="none" w:sz="0" w:space="0" w:color="auto"/>
        <w:bottom w:val="none" w:sz="0" w:space="0" w:color="auto"/>
        <w:right w:val="none" w:sz="0" w:space="0" w:color="auto"/>
      </w:divBdr>
      <w:divsChild>
        <w:div w:id="918828369">
          <w:marLeft w:val="0"/>
          <w:marRight w:val="0"/>
          <w:marTop w:val="0"/>
          <w:marBottom w:val="0"/>
          <w:divBdr>
            <w:top w:val="none" w:sz="0" w:space="0" w:color="auto"/>
            <w:left w:val="none" w:sz="0" w:space="0" w:color="auto"/>
            <w:bottom w:val="none" w:sz="0" w:space="0" w:color="auto"/>
            <w:right w:val="none" w:sz="0" w:space="0" w:color="auto"/>
          </w:divBdr>
          <w:divsChild>
            <w:div w:id="1098256823">
              <w:marLeft w:val="0"/>
              <w:marRight w:val="0"/>
              <w:marTop w:val="0"/>
              <w:marBottom w:val="0"/>
              <w:divBdr>
                <w:top w:val="none" w:sz="0" w:space="0" w:color="auto"/>
                <w:left w:val="none" w:sz="0" w:space="0" w:color="auto"/>
                <w:bottom w:val="none" w:sz="0" w:space="0" w:color="auto"/>
                <w:right w:val="none" w:sz="0" w:space="0" w:color="auto"/>
              </w:divBdr>
              <w:divsChild>
                <w:div w:id="10643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2984">
          <w:marLeft w:val="0"/>
          <w:marRight w:val="0"/>
          <w:marTop w:val="0"/>
          <w:marBottom w:val="0"/>
          <w:divBdr>
            <w:top w:val="none" w:sz="0" w:space="0" w:color="auto"/>
            <w:left w:val="none" w:sz="0" w:space="0" w:color="auto"/>
            <w:bottom w:val="none" w:sz="0" w:space="0" w:color="auto"/>
            <w:right w:val="none" w:sz="0" w:space="0" w:color="auto"/>
          </w:divBdr>
          <w:divsChild>
            <w:div w:id="20813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7246">
      <w:bodyDiv w:val="1"/>
      <w:marLeft w:val="0"/>
      <w:marRight w:val="0"/>
      <w:marTop w:val="0"/>
      <w:marBottom w:val="0"/>
      <w:divBdr>
        <w:top w:val="none" w:sz="0" w:space="0" w:color="auto"/>
        <w:left w:val="none" w:sz="0" w:space="0" w:color="auto"/>
        <w:bottom w:val="none" w:sz="0" w:space="0" w:color="auto"/>
        <w:right w:val="none" w:sz="0" w:space="0" w:color="auto"/>
      </w:divBdr>
    </w:div>
    <w:div w:id="217471649">
      <w:bodyDiv w:val="1"/>
      <w:marLeft w:val="0"/>
      <w:marRight w:val="0"/>
      <w:marTop w:val="0"/>
      <w:marBottom w:val="0"/>
      <w:divBdr>
        <w:top w:val="none" w:sz="0" w:space="0" w:color="auto"/>
        <w:left w:val="none" w:sz="0" w:space="0" w:color="auto"/>
        <w:bottom w:val="none" w:sz="0" w:space="0" w:color="auto"/>
        <w:right w:val="none" w:sz="0" w:space="0" w:color="auto"/>
      </w:divBdr>
    </w:div>
    <w:div w:id="221643229">
      <w:bodyDiv w:val="1"/>
      <w:marLeft w:val="0"/>
      <w:marRight w:val="0"/>
      <w:marTop w:val="0"/>
      <w:marBottom w:val="0"/>
      <w:divBdr>
        <w:top w:val="none" w:sz="0" w:space="0" w:color="auto"/>
        <w:left w:val="none" w:sz="0" w:space="0" w:color="auto"/>
        <w:bottom w:val="none" w:sz="0" w:space="0" w:color="auto"/>
        <w:right w:val="none" w:sz="0" w:space="0" w:color="auto"/>
      </w:divBdr>
    </w:div>
    <w:div w:id="226034347">
      <w:bodyDiv w:val="1"/>
      <w:marLeft w:val="0"/>
      <w:marRight w:val="0"/>
      <w:marTop w:val="0"/>
      <w:marBottom w:val="0"/>
      <w:divBdr>
        <w:top w:val="none" w:sz="0" w:space="0" w:color="auto"/>
        <w:left w:val="none" w:sz="0" w:space="0" w:color="auto"/>
        <w:bottom w:val="none" w:sz="0" w:space="0" w:color="auto"/>
        <w:right w:val="none" w:sz="0" w:space="0" w:color="auto"/>
      </w:divBdr>
    </w:div>
    <w:div w:id="232551015">
      <w:bodyDiv w:val="1"/>
      <w:marLeft w:val="0"/>
      <w:marRight w:val="0"/>
      <w:marTop w:val="0"/>
      <w:marBottom w:val="0"/>
      <w:divBdr>
        <w:top w:val="none" w:sz="0" w:space="0" w:color="auto"/>
        <w:left w:val="none" w:sz="0" w:space="0" w:color="auto"/>
        <w:bottom w:val="none" w:sz="0" w:space="0" w:color="auto"/>
        <w:right w:val="none" w:sz="0" w:space="0" w:color="auto"/>
      </w:divBdr>
    </w:div>
    <w:div w:id="233585886">
      <w:bodyDiv w:val="1"/>
      <w:marLeft w:val="0"/>
      <w:marRight w:val="0"/>
      <w:marTop w:val="0"/>
      <w:marBottom w:val="0"/>
      <w:divBdr>
        <w:top w:val="none" w:sz="0" w:space="0" w:color="auto"/>
        <w:left w:val="none" w:sz="0" w:space="0" w:color="auto"/>
        <w:bottom w:val="none" w:sz="0" w:space="0" w:color="auto"/>
        <w:right w:val="none" w:sz="0" w:space="0" w:color="auto"/>
      </w:divBdr>
    </w:div>
    <w:div w:id="248270990">
      <w:bodyDiv w:val="1"/>
      <w:marLeft w:val="0"/>
      <w:marRight w:val="0"/>
      <w:marTop w:val="0"/>
      <w:marBottom w:val="0"/>
      <w:divBdr>
        <w:top w:val="none" w:sz="0" w:space="0" w:color="auto"/>
        <w:left w:val="none" w:sz="0" w:space="0" w:color="auto"/>
        <w:bottom w:val="none" w:sz="0" w:space="0" w:color="auto"/>
        <w:right w:val="none" w:sz="0" w:space="0" w:color="auto"/>
      </w:divBdr>
    </w:div>
    <w:div w:id="250745857">
      <w:bodyDiv w:val="1"/>
      <w:marLeft w:val="0"/>
      <w:marRight w:val="0"/>
      <w:marTop w:val="0"/>
      <w:marBottom w:val="0"/>
      <w:divBdr>
        <w:top w:val="none" w:sz="0" w:space="0" w:color="auto"/>
        <w:left w:val="none" w:sz="0" w:space="0" w:color="auto"/>
        <w:bottom w:val="none" w:sz="0" w:space="0" w:color="auto"/>
        <w:right w:val="none" w:sz="0" w:space="0" w:color="auto"/>
      </w:divBdr>
    </w:div>
    <w:div w:id="252205581">
      <w:bodyDiv w:val="1"/>
      <w:marLeft w:val="0"/>
      <w:marRight w:val="0"/>
      <w:marTop w:val="0"/>
      <w:marBottom w:val="0"/>
      <w:divBdr>
        <w:top w:val="none" w:sz="0" w:space="0" w:color="auto"/>
        <w:left w:val="none" w:sz="0" w:space="0" w:color="auto"/>
        <w:bottom w:val="none" w:sz="0" w:space="0" w:color="auto"/>
        <w:right w:val="none" w:sz="0" w:space="0" w:color="auto"/>
      </w:divBdr>
    </w:div>
    <w:div w:id="255406045">
      <w:bodyDiv w:val="1"/>
      <w:marLeft w:val="0"/>
      <w:marRight w:val="0"/>
      <w:marTop w:val="0"/>
      <w:marBottom w:val="0"/>
      <w:divBdr>
        <w:top w:val="none" w:sz="0" w:space="0" w:color="auto"/>
        <w:left w:val="none" w:sz="0" w:space="0" w:color="auto"/>
        <w:bottom w:val="none" w:sz="0" w:space="0" w:color="auto"/>
        <w:right w:val="none" w:sz="0" w:space="0" w:color="auto"/>
      </w:divBdr>
    </w:div>
    <w:div w:id="255595273">
      <w:bodyDiv w:val="1"/>
      <w:marLeft w:val="0"/>
      <w:marRight w:val="0"/>
      <w:marTop w:val="0"/>
      <w:marBottom w:val="0"/>
      <w:divBdr>
        <w:top w:val="none" w:sz="0" w:space="0" w:color="auto"/>
        <w:left w:val="none" w:sz="0" w:space="0" w:color="auto"/>
        <w:bottom w:val="none" w:sz="0" w:space="0" w:color="auto"/>
        <w:right w:val="none" w:sz="0" w:space="0" w:color="auto"/>
      </w:divBdr>
    </w:div>
    <w:div w:id="257761799">
      <w:bodyDiv w:val="1"/>
      <w:marLeft w:val="0"/>
      <w:marRight w:val="0"/>
      <w:marTop w:val="0"/>
      <w:marBottom w:val="0"/>
      <w:divBdr>
        <w:top w:val="none" w:sz="0" w:space="0" w:color="auto"/>
        <w:left w:val="none" w:sz="0" w:space="0" w:color="auto"/>
        <w:bottom w:val="none" w:sz="0" w:space="0" w:color="auto"/>
        <w:right w:val="none" w:sz="0" w:space="0" w:color="auto"/>
      </w:divBdr>
    </w:div>
    <w:div w:id="263542463">
      <w:bodyDiv w:val="1"/>
      <w:marLeft w:val="0"/>
      <w:marRight w:val="0"/>
      <w:marTop w:val="0"/>
      <w:marBottom w:val="0"/>
      <w:divBdr>
        <w:top w:val="none" w:sz="0" w:space="0" w:color="auto"/>
        <w:left w:val="none" w:sz="0" w:space="0" w:color="auto"/>
        <w:bottom w:val="none" w:sz="0" w:space="0" w:color="auto"/>
        <w:right w:val="none" w:sz="0" w:space="0" w:color="auto"/>
      </w:divBdr>
    </w:div>
    <w:div w:id="265969633">
      <w:bodyDiv w:val="1"/>
      <w:marLeft w:val="0"/>
      <w:marRight w:val="0"/>
      <w:marTop w:val="0"/>
      <w:marBottom w:val="0"/>
      <w:divBdr>
        <w:top w:val="none" w:sz="0" w:space="0" w:color="auto"/>
        <w:left w:val="none" w:sz="0" w:space="0" w:color="auto"/>
        <w:bottom w:val="none" w:sz="0" w:space="0" w:color="auto"/>
        <w:right w:val="none" w:sz="0" w:space="0" w:color="auto"/>
      </w:divBdr>
    </w:div>
    <w:div w:id="280914350">
      <w:bodyDiv w:val="1"/>
      <w:marLeft w:val="0"/>
      <w:marRight w:val="0"/>
      <w:marTop w:val="0"/>
      <w:marBottom w:val="0"/>
      <w:divBdr>
        <w:top w:val="none" w:sz="0" w:space="0" w:color="auto"/>
        <w:left w:val="none" w:sz="0" w:space="0" w:color="auto"/>
        <w:bottom w:val="none" w:sz="0" w:space="0" w:color="auto"/>
        <w:right w:val="none" w:sz="0" w:space="0" w:color="auto"/>
      </w:divBdr>
    </w:div>
    <w:div w:id="296689316">
      <w:bodyDiv w:val="1"/>
      <w:marLeft w:val="0"/>
      <w:marRight w:val="0"/>
      <w:marTop w:val="0"/>
      <w:marBottom w:val="0"/>
      <w:divBdr>
        <w:top w:val="none" w:sz="0" w:space="0" w:color="auto"/>
        <w:left w:val="none" w:sz="0" w:space="0" w:color="auto"/>
        <w:bottom w:val="none" w:sz="0" w:space="0" w:color="auto"/>
        <w:right w:val="none" w:sz="0" w:space="0" w:color="auto"/>
      </w:divBdr>
    </w:div>
    <w:div w:id="301430620">
      <w:bodyDiv w:val="1"/>
      <w:marLeft w:val="0"/>
      <w:marRight w:val="0"/>
      <w:marTop w:val="0"/>
      <w:marBottom w:val="0"/>
      <w:divBdr>
        <w:top w:val="none" w:sz="0" w:space="0" w:color="auto"/>
        <w:left w:val="none" w:sz="0" w:space="0" w:color="auto"/>
        <w:bottom w:val="none" w:sz="0" w:space="0" w:color="auto"/>
        <w:right w:val="none" w:sz="0" w:space="0" w:color="auto"/>
      </w:divBdr>
    </w:div>
    <w:div w:id="305207591">
      <w:bodyDiv w:val="1"/>
      <w:marLeft w:val="0"/>
      <w:marRight w:val="0"/>
      <w:marTop w:val="0"/>
      <w:marBottom w:val="0"/>
      <w:divBdr>
        <w:top w:val="none" w:sz="0" w:space="0" w:color="auto"/>
        <w:left w:val="none" w:sz="0" w:space="0" w:color="auto"/>
        <w:bottom w:val="none" w:sz="0" w:space="0" w:color="auto"/>
        <w:right w:val="none" w:sz="0" w:space="0" w:color="auto"/>
      </w:divBdr>
    </w:div>
    <w:div w:id="310015752">
      <w:bodyDiv w:val="1"/>
      <w:marLeft w:val="0"/>
      <w:marRight w:val="0"/>
      <w:marTop w:val="0"/>
      <w:marBottom w:val="0"/>
      <w:divBdr>
        <w:top w:val="none" w:sz="0" w:space="0" w:color="auto"/>
        <w:left w:val="none" w:sz="0" w:space="0" w:color="auto"/>
        <w:bottom w:val="none" w:sz="0" w:space="0" w:color="auto"/>
        <w:right w:val="none" w:sz="0" w:space="0" w:color="auto"/>
      </w:divBdr>
    </w:div>
    <w:div w:id="310523035">
      <w:bodyDiv w:val="1"/>
      <w:marLeft w:val="0"/>
      <w:marRight w:val="0"/>
      <w:marTop w:val="0"/>
      <w:marBottom w:val="0"/>
      <w:divBdr>
        <w:top w:val="none" w:sz="0" w:space="0" w:color="auto"/>
        <w:left w:val="none" w:sz="0" w:space="0" w:color="auto"/>
        <w:bottom w:val="none" w:sz="0" w:space="0" w:color="auto"/>
        <w:right w:val="none" w:sz="0" w:space="0" w:color="auto"/>
      </w:divBdr>
    </w:div>
    <w:div w:id="310866966">
      <w:bodyDiv w:val="1"/>
      <w:marLeft w:val="0"/>
      <w:marRight w:val="0"/>
      <w:marTop w:val="0"/>
      <w:marBottom w:val="0"/>
      <w:divBdr>
        <w:top w:val="none" w:sz="0" w:space="0" w:color="auto"/>
        <w:left w:val="none" w:sz="0" w:space="0" w:color="auto"/>
        <w:bottom w:val="none" w:sz="0" w:space="0" w:color="auto"/>
        <w:right w:val="none" w:sz="0" w:space="0" w:color="auto"/>
      </w:divBdr>
    </w:div>
    <w:div w:id="324826913">
      <w:bodyDiv w:val="1"/>
      <w:marLeft w:val="0"/>
      <w:marRight w:val="0"/>
      <w:marTop w:val="0"/>
      <w:marBottom w:val="0"/>
      <w:divBdr>
        <w:top w:val="none" w:sz="0" w:space="0" w:color="auto"/>
        <w:left w:val="none" w:sz="0" w:space="0" w:color="auto"/>
        <w:bottom w:val="none" w:sz="0" w:space="0" w:color="auto"/>
        <w:right w:val="none" w:sz="0" w:space="0" w:color="auto"/>
      </w:divBdr>
    </w:div>
    <w:div w:id="332880394">
      <w:bodyDiv w:val="1"/>
      <w:marLeft w:val="0"/>
      <w:marRight w:val="0"/>
      <w:marTop w:val="0"/>
      <w:marBottom w:val="0"/>
      <w:divBdr>
        <w:top w:val="none" w:sz="0" w:space="0" w:color="auto"/>
        <w:left w:val="none" w:sz="0" w:space="0" w:color="auto"/>
        <w:bottom w:val="none" w:sz="0" w:space="0" w:color="auto"/>
        <w:right w:val="none" w:sz="0" w:space="0" w:color="auto"/>
      </w:divBdr>
    </w:div>
    <w:div w:id="336620725">
      <w:bodyDiv w:val="1"/>
      <w:marLeft w:val="0"/>
      <w:marRight w:val="0"/>
      <w:marTop w:val="0"/>
      <w:marBottom w:val="0"/>
      <w:divBdr>
        <w:top w:val="none" w:sz="0" w:space="0" w:color="auto"/>
        <w:left w:val="none" w:sz="0" w:space="0" w:color="auto"/>
        <w:bottom w:val="none" w:sz="0" w:space="0" w:color="auto"/>
        <w:right w:val="none" w:sz="0" w:space="0" w:color="auto"/>
      </w:divBdr>
    </w:div>
    <w:div w:id="360479925">
      <w:bodyDiv w:val="1"/>
      <w:marLeft w:val="0"/>
      <w:marRight w:val="0"/>
      <w:marTop w:val="0"/>
      <w:marBottom w:val="0"/>
      <w:divBdr>
        <w:top w:val="none" w:sz="0" w:space="0" w:color="auto"/>
        <w:left w:val="none" w:sz="0" w:space="0" w:color="auto"/>
        <w:bottom w:val="none" w:sz="0" w:space="0" w:color="auto"/>
        <w:right w:val="none" w:sz="0" w:space="0" w:color="auto"/>
      </w:divBdr>
    </w:div>
    <w:div w:id="360597328">
      <w:bodyDiv w:val="1"/>
      <w:marLeft w:val="0"/>
      <w:marRight w:val="0"/>
      <w:marTop w:val="0"/>
      <w:marBottom w:val="0"/>
      <w:divBdr>
        <w:top w:val="none" w:sz="0" w:space="0" w:color="auto"/>
        <w:left w:val="none" w:sz="0" w:space="0" w:color="auto"/>
        <w:bottom w:val="none" w:sz="0" w:space="0" w:color="auto"/>
        <w:right w:val="none" w:sz="0" w:space="0" w:color="auto"/>
      </w:divBdr>
    </w:div>
    <w:div w:id="362940878">
      <w:bodyDiv w:val="1"/>
      <w:marLeft w:val="0"/>
      <w:marRight w:val="0"/>
      <w:marTop w:val="0"/>
      <w:marBottom w:val="0"/>
      <w:divBdr>
        <w:top w:val="none" w:sz="0" w:space="0" w:color="auto"/>
        <w:left w:val="none" w:sz="0" w:space="0" w:color="auto"/>
        <w:bottom w:val="none" w:sz="0" w:space="0" w:color="auto"/>
        <w:right w:val="none" w:sz="0" w:space="0" w:color="auto"/>
      </w:divBdr>
    </w:div>
    <w:div w:id="372317268">
      <w:bodyDiv w:val="1"/>
      <w:marLeft w:val="0"/>
      <w:marRight w:val="0"/>
      <w:marTop w:val="0"/>
      <w:marBottom w:val="0"/>
      <w:divBdr>
        <w:top w:val="none" w:sz="0" w:space="0" w:color="auto"/>
        <w:left w:val="none" w:sz="0" w:space="0" w:color="auto"/>
        <w:bottom w:val="none" w:sz="0" w:space="0" w:color="auto"/>
        <w:right w:val="none" w:sz="0" w:space="0" w:color="auto"/>
      </w:divBdr>
    </w:div>
    <w:div w:id="377046416">
      <w:bodyDiv w:val="1"/>
      <w:marLeft w:val="0"/>
      <w:marRight w:val="0"/>
      <w:marTop w:val="0"/>
      <w:marBottom w:val="0"/>
      <w:divBdr>
        <w:top w:val="none" w:sz="0" w:space="0" w:color="auto"/>
        <w:left w:val="none" w:sz="0" w:space="0" w:color="auto"/>
        <w:bottom w:val="none" w:sz="0" w:space="0" w:color="auto"/>
        <w:right w:val="none" w:sz="0" w:space="0" w:color="auto"/>
      </w:divBdr>
    </w:div>
    <w:div w:id="377435312">
      <w:bodyDiv w:val="1"/>
      <w:marLeft w:val="0"/>
      <w:marRight w:val="0"/>
      <w:marTop w:val="0"/>
      <w:marBottom w:val="0"/>
      <w:divBdr>
        <w:top w:val="none" w:sz="0" w:space="0" w:color="auto"/>
        <w:left w:val="none" w:sz="0" w:space="0" w:color="auto"/>
        <w:bottom w:val="none" w:sz="0" w:space="0" w:color="auto"/>
        <w:right w:val="none" w:sz="0" w:space="0" w:color="auto"/>
      </w:divBdr>
    </w:div>
    <w:div w:id="381448169">
      <w:bodyDiv w:val="1"/>
      <w:marLeft w:val="0"/>
      <w:marRight w:val="0"/>
      <w:marTop w:val="0"/>
      <w:marBottom w:val="0"/>
      <w:divBdr>
        <w:top w:val="none" w:sz="0" w:space="0" w:color="auto"/>
        <w:left w:val="none" w:sz="0" w:space="0" w:color="auto"/>
        <w:bottom w:val="none" w:sz="0" w:space="0" w:color="auto"/>
        <w:right w:val="none" w:sz="0" w:space="0" w:color="auto"/>
      </w:divBdr>
    </w:div>
    <w:div w:id="384833695">
      <w:bodyDiv w:val="1"/>
      <w:marLeft w:val="0"/>
      <w:marRight w:val="0"/>
      <w:marTop w:val="0"/>
      <w:marBottom w:val="0"/>
      <w:divBdr>
        <w:top w:val="none" w:sz="0" w:space="0" w:color="auto"/>
        <w:left w:val="none" w:sz="0" w:space="0" w:color="auto"/>
        <w:bottom w:val="none" w:sz="0" w:space="0" w:color="auto"/>
        <w:right w:val="none" w:sz="0" w:space="0" w:color="auto"/>
      </w:divBdr>
    </w:div>
    <w:div w:id="390540964">
      <w:bodyDiv w:val="1"/>
      <w:marLeft w:val="0"/>
      <w:marRight w:val="0"/>
      <w:marTop w:val="0"/>
      <w:marBottom w:val="0"/>
      <w:divBdr>
        <w:top w:val="none" w:sz="0" w:space="0" w:color="auto"/>
        <w:left w:val="none" w:sz="0" w:space="0" w:color="auto"/>
        <w:bottom w:val="none" w:sz="0" w:space="0" w:color="auto"/>
        <w:right w:val="none" w:sz="0" w:space="0" w:color="auto"/>
      </w:divBdr>
    </w:div>
    <w:div w:id="405223521">
      <w:bodyDiv w:val="1"/>
      <w:marLeft w:val="0"/>
      <w:marRight w:val="0"/>
      <w:marTop w:val="0"/>
      <w:marBottom w:val="0"/>
      <w:divBdr>
        <w:top w:val="none" w:sz="0" w:space="0" w:color="auto"/>
        <w:left w:val="none" w:sz="0" w:space="0" w:color="auto"/>
        <w:bottom w:val="none" w:sz="0" w:space="0" w:color="auto"/>
        <w:right w:val="none" w:sz="0" w:space="0" w:color="auto"/>
      </w:divBdr>
    </w:div>
    <w:div w:id="405885364">
      <w:bodyDiv w:val="1"/>
      <w:marLeft w:val="0"/>
      <w:marRight w:val="0"/>
      <w:marTop w:val="0"/>
      <w:marBottom w:val="0"/>
      <w:divBdr>
        <w:top w:val="none" w:sz="0" w:space="0" w:color="auto"/>
        <w:left w:val="none" w:sz="0" w:space="0" w:color="auto"/>
        <w:bottom w:val="none" w:sz="0" w:space="0" w:color="auto"/>
        <w:right w:val="none" w:sz="0" w:space="0" w:color="auto"/>
      </w:divBdr>
    </w:div>
    <w:div w:id="408164107">
      <w:bodyDiv w:val="1"/>
      <w:marLeft w:val="0"/>
      <w:marRight w:val="0"/>
      <w:marTop w:val="0"/>
      <w:marBottom w:val="0"/>
      <w:divBdr>
        <w:top w:val="none" w:sz="0" w:space="0" w:color="auto"/>
        <w:left w:val="none" w:sz="0" w:space="0" w:color="auto"/>
        <w:bottom w:val="none" w:sz="0" w:space="0" w:color="auto"/>
        <w:right w:val="none" w:sz="0" w:space="0" w:color="auto"/>
      </w:divBdr>
    </w:div>
    <w:div w:id="429013165">
      <w:bodyDiv w:val="1"/>
      <w:marLeft w:val="0"/>
      <w:marRight w:val="0"/>
      <w:marTop w:val="0"/>
      <w:marBottom w:val="0"/>
      <w:divBdr>
        <w:top w:val="none" w:sz="0" w:space="0" w:color="auto"/>
        <w:left w:val="none" w:sz="0" w:space="0" w:color="auto"/>
        <w:bottom w:val="none" w:sz="0" w:space="0" w:color="auto"/>
        <w:right w:val="none" w:sz="0" w:space="0" w:color="auto"/>
      </w:divBdr>
    </w:div>
    <w:div w:id="431049975">
      <w:bodyDiv w:val="1"/>
      <w:marLeft w:val="0"/>
      <w:marRight w:val="0"/>
      <w:marTop w:val="0"/>
      <w:marBottom w:val="0"/>
      <w:divBdr>
        <w:top w:val="none" w:sz="0" w:space="0" w:color="auto"/>
        <w:left w:val="none" w:sz="0" w:space="0" w:color="auto"/>
        <w:bottom w:val="none" w:sz="0" w:space="0" w:color="auto"/>
        <w:right w:val="none" w:sz="0" w:space="0" w:color="auto"/>
      </w:divBdr>
    </w:div>
    <w:div w:id="436145099">
      <w:bodyDiv w:val="1"/>
      <w:marLeft w:val="0"/>
      <w:marRight w:val="0"/>
      <w:marTop w:val="0"/>
      <w:marBottom w:val="0"/>
      <w:divBdr>
        <w:top w:val="none" w:sz="0" w:space="0" w:color="auto"/>
        <w:left w:val="none" w:sz="0" w:space="0" w:color="auto"/>
        <w:bottom w:val="none" w:sz="0" w:space="0" w:color="auto"/>
        <w:right w:val="none" w:sz="0" w:space="0" w:color="auto"/>
      </w:divBdr>
    </w:div>
    <w:div w:id="441388655">
      <w:bodyDiv w:val="1"/>
      <w:marLeft w:val="0"/>
      <w:marRight w:val="0"/>
      <w:marTop w:val="0"/>
      <w:marBottom w:val="0"/>
      <w:divBdr>
        <w:top w:val="none" w:sz="0" w:space="0" w:color="auto"/>
        <w:left w:val="none" w:sz="0" w:space="0" w:color="auto"/>
        <w:bottom w:val="none" w:sz="0" w:space="0" w:color="auto"/>
        <w:right w:val="none" w:sz="0" w:space="0" w:color="auto"/>
      </w:divBdr>
    </w:div>
    <w:div w:id="453715291">
      <w:bodyDiv w:val="1"/>
      <w:marLeft w:val="0"/>
      <w:marRight w:val="0"/>
      <w:marTop w:val="0"/>
      <w:marBottom w:val="0"/>
      <w:divBdr>
        <w:top w:val="none" w:sz="0" w:space="0" w:color="auto"/>
        <w:left w:val="none" w:sz="0" w:space="0" w:color="auto"/>
        <w:bottom w:val="none" w:sz="0" w:space="0" w:color="auto"/>
        <w:right w:val="none" w:sz="0" w:space="0" w:color="auto"/>
      </w:divBdr>
    </w:div>
    <w:div w:id="462894505">
      <w:bodyDiv w:val="1"/>
      <w:marLeft w:val="0"/>
      <w:marRight w:val="0"/>
      <w:marTop w:val="0"/>
      <w:marBottom w:val="0"/>
      <w:divBdr>
        <w:top w:val="none" w:sz="0" w:space="0" w:color="auto"/>
        <w:left w:val="none" w:sz="0" w:space="0" w:color="auto"/>
        <w:bottom w:val="none" w:sz="0" w:space="0" w:color="auto"/>
        <w:right w:val="none" w:sz="0" w:space="0" w:color="auto"/>
      </w:divBdr>
    </w:div>
    <w:div w:id="469635266">
      <w:bodyDiv w:val="1"/>
      <w:marLeft w:val="0"/>
      <w:marRight w:val="0"/>
      <w:marTop w:val="0"/>
      <w:marBottom w:val="0"/>
      <w:divBdr>
        <w:top w:val="none" w:sz="0" w:space="0" w:color="auto"/>
        <w:left w:val="none" w:sz="0" w:space="0" w:color="auto"/>
        <w:bottom w:val="none" w:sz="0" w:space="0" w:color="auto"/>
        <w:right w:val="none" w:sz="0" w:space="0" w:color="auto"/>
      </w:divBdr>
    </w:div>
    <w:div w:id="473180027">
      <w:bodyDiv w:val="1"/>
      <w:marLeft w:val="0"/>
      <w:marRight w:val="0"/>
      <w:marTop w:val="0"/>
      <w:marBottom w:val="0"/>
      <w:divBdr>
        <w:top w:val="none" w:sz="0" w:space="0" w:color="auto"/>
        <w:left w:val="none" w:sz="0" w:space="0" w:color="auto"/>
        <w:bottom w:val="none" w:sz="0" w:space="0" w:color="auto"/>
        <w:right w:val="none" w:sz="0" w:space="0" w:color="auto"/>
      </w:divBdr>
    </w:div>
    <w:div w:id="481384979">
      <w:bodyDiv w:val="1"/>
      <w:marLeft w:val="0"/>
      <w:marRight w:val="0"/>
      <w:marTop w:val="0"/>
      <w:marBottom w:val="0"/>
      <w:divBdr>
        <w:top w:val="none" w:sz="0" w:space="0" w:color="auto"/>
        <w:left w:val="none" w:sz="0" w:space="0" w:color="auto"/>
        <w:bottom w:val="none" w:sz="0" w:space="0" w:color="auto"/>
        <w:right w:val="none" w:sz="0" w:space="0" w:color="auto"/>
      </w:divBdr>
    </w:div>
    <w:div w:id="482163083">
      <w:bodyDiv w:val="1"/>
      <w:marLeft w:val="0"/>
      <w:marRight w:val="0"/>
      <w:marTop w:val="0"/>
      <w:marBottom w:val="0"/>
      <w:divBdr>
        <w:top w:val="none" w:sz="0" w:space="0" w:color="auto"/>
        <w:left w:val="none" w:sz="0" w:space="0" w:color="auto"/>
        <w:bottom w:val="none" w:sz="0" w:space="0" w:color="auto"/>
        <w:right w:val="none" w:sz="0" w:space="0" w:color="auto"/>
      </w:divBdr>
    </w:div>
    <w:div w:id="482352752">
      <w:bodyDiv w:val="1"/>
      <w:marLeft w:val="0"/>
      <w:marRight w:val="0"/>
      <w:marTop w:val="0"/>
      <w:marBottom w:val="0"/>
      <w:divBdr>
        <w:top w:val="none" w:sz="0" w:space="0" w:color="auto"/>
        <w:left w:val="none" w:sz="0" w:space="0" w:color="auto"/>
        <w:bottom w:val="none" w:sz="0" w:space="0" w:color="auto"/>
        <w:right w:val="none" w:sz="0" w:space="0" w:color="auto"/>
      </w:divBdr>
    </w:div>
    <w:div w:id="490215869">
      <w:bodyDiv w:val="1"/>
      <w:marLeft w:val="0"/>
      <w:marRight w:val="0"/>
      <w:marTop w:val="0"/>
      <w:marBottom w:val="0"/>
      <w:divBdr>
        <w:top w:val="none" w:sz="0" w:space="0" w:color="auto"/>
        <w:left w:val="none" w:sz="0" w:space="0" w:color="auto"/>
        <w:bottom w:val="none" w:sz="0" w:space="0" w:color="auto"/>
        <w:right w:val="none" w:sz="0" w:space="0" w:color="auto"/>
      </w:divBdr>
    </w:div>
    <w:div w:id="513417255">
      <w:bodyDiv w:val="1"/>
      <w:marLeft w:val="0"/>
      <w:marRight w:val="0"/>
      <w:marTop w:val="0"/>
      <w:marBottom w:val="0"/>
      <w:divBdr>
        <w:top w:val="none" w:sz="0" w:space="0" w:color="auto"/>
        <w:left w:val="none" w:sz="0" w:space="0" w:color="auto"/>
        <w:bottom w:val="none" w:sz="0" w:space="0" w:color="auto"/>
        <w:right w:val="none" w:sz="0" w:space="0" w:color="auto"/>
      </w:divBdr>
    </w:div>
    <w:div w:id="515920652">
      <w:bodyDiv w:val="1"/>
      <w:marLeft w:val="0"/>
      <w:marRight w:val="0"/>
      <w:marTop w:val="0"/>
      <w:marBottom w:val="0"/>
      <w:divBdr>
        <w:top w:val="none" w:sz="0" w:space="0" w:color="auto"/>
        <w:left w:val="none" w:sz="0" w:space="0" w:color="auto"/>
        <w:bottom w:val="none" w:sz="0" w:space="0" w:color="auto"/>
        <w:right w:val="none" w:sz="0" w:space="0" w:color="auto"/>
      </w:divBdr>
    </w:div>
    <w:div w:id="516580401">
      <w:bodyDiv w:val="1"/>
      <w:marLeft w:val="0"/>
      <w:marRight w:val="0"/>
      <w:marTop w:val="0"/>
      <w:marBottom w:val="0"/>
      <w:divBdr>
        <w:top w:val="none" w:sz="0" w:space="0" w:color="auto"/>
        <w:left w:val="none" w:sz="0" w:space="0" w:color="auto"/>
        <w:bottom w:val="none" w:sz="0" w:space="0" w:color="auto"/>
        <w:right w:val="none" w:sz="0" w:space="0" w:color="auto"/>
      </w:divBdr>
    </w:div>
    <w:div w:id="520515640">
      <w:bodyDiv w:val="1"/>
      <w:marLeft w:val="0"/>
      <w:marRight w:val="0"/>
      <w:marTop w:val="0"/>
      <w:marBottom w:val="0"/>
      <w:divBdr>
        <w:top w:val="none" w:sz="0" w:space="0" w:color="auto"/>
        <w:left w:val="none" w:sz="0" w:space="0" w:color="auto"/>
        <w:bottom w:val="none" w:sz="0" w:space="0" w:color="auto"/>
        <w:right w:val="none" w:sz="0" w:space="0" w:color="auto"/>
      </w:divBdr>
    </w:div>
    <w:div w:id="529416184">
      <w:bodyDiv w:val="1"/>
      <w:marLeft w:val="0"/>
      <w:marRight w:val="0"/>
      <w:marTop w:val="0"/>
      <w:marBottom w:val="0"/>
      <w:divBdr>
        <w:top w:val="none" w:sz="0" w:space="0" w:color="auto"/>
        <w:left w:val="none" w:sz="0" w:space="0" w:color="auto"/>
        <w:bottom w:val="none" w:sz="0" w:space="0" w:color="auto"/>
        <w:right w:val="none" w:sz="0" w:space="0" w:color="auto"/>
      </w:divBdr>
    </w:div>
    <w:div w:id="532815058">
      <w:bodyDiv w:val="1"/>
      <w:marLeft w:val="0"/>
      <w:marRight w:val="0"/>
      <w:marTop w:val="0"/>
      <w:marBottom w:val="0"/>
      <w:divBdr>
        <w:top w:val="none" w:sz="0" w:space="0" w:color="auto"/>
        <w:left w:val="none" w:sz="0" w:space="0" w:color="auto"/>
        <w:bottom w:val="none" w:sz="0" w:space="0" w:color="auto"/>
        <w:right w:val="none" w:sz="0" w:space="0" w:color="auto"/>
      </w:divBdr>
    </w:div>
    <w:div w:id="534850330">
      <w:bodyDiv w:val="1"/>
      <w:marLeft w:val="0"/>
      <w:marRight w:val="0"/>
      <w:marTop w:val="0"/>
      <w:marBottom w:val="0"/>
      <w:divBdr>
        <w:top w:val="none" w:sz="0" w:space="0" w:color="auto"/>
        <w:left w:val="none" w:sz="0" w:space="0" w:color="auto"/>
        <w:bottom w:val="none" w:sz="0" w:space="0" w:color="auto"/>
        <w:right w:val="none" w:sz="0" w:space="0" w:color="auto"/>
      </w:divBdr>
    </w:div>
    <w:div w:id="536625989">
      <w:bodyDiv w:val="1"/>
      <w:marLeft w:val="0"/>
      <w:marRight w:val="0"/>
      <w:marTop w:val="0"/>
      <w:marBottom w:val="0"/>
      <w:divBdr>
        <w:top w:val="none" w:sz="0" w:space="0" w:color="auto"/>
        <w:left w:val="none" w:sz="0" w:space="0" w:color="auto"/>
        <w:bottom w:val="none" w:sz="0" w:space="0" w:color="auto"/>
        <w:right w:val="none" w:sz="0" w:space="0" w:color="auto"/>
      </w:divBdr>
    </w:div>
    <w:div w:id="543715884">
      <w:bodyDiv w:val="1"/>
      <w:marLeft w:val="0"/>
      <w:marRight w:val="0"/>
      <w:marTop w:val="0"/>
      <w:marBottom w:val="0"/>
      <w:divBdr>
        <w:top w:val="none" w:sz="0" w:space="0" w:color="auto"/>
        <w:left w:val="none" w:sz="0" w:space="0" w:color="auto"/>
        <w:bottom w:val="none" w:sz="0" w:space="0" w:color="auto"/>
        <w:right w:val="none" w:sz="0" w:space="0" w:color="auto"/>
      </w:divBdr>
    </w:div>
    <w:div w:id="548492053">
      <w:bodyDiv w:val="1"/>
      <w:marLeft w:val="0"/>
      <w:marRight w:val="0"/>
      <w:marTop w:val="0"/>
      <w:marBottom w:val="0"/>
      <w:divBdr>
        <w:top w:val="none" w:sz="0" w:space="0" w:color="auto"/>
        <w:left w:val="none" w:sz="0" w:space="0" w:color="auto"/>
        <w:bottom w:val="none" w:sz="0" w:space="0" w:color="auto"/>
        <w:right w:val="none" w:sz="0" w:space="0" w:color="auto"/>
      </w:divBdr>
    </w:div>
    <w:div w:id="550768855">
      <w:bodyDiv w:val="1"/>
      <w:marLeft w:val="0"/>
      <w:marRight w:val="0"/>
      <w:marTop w:val="0"/>
      <w:marBottom w:val="0"/>
      <w:divBdr>
        <w:top w:val="none" w:sz="0" w:space="0" w:color="auto"/>
        <w:left w:val="none" w:sz="0" w:space="0" w:color="auto"/>
        <w:bottom w:val="none" w:sz="0" w:space="0" w:color="auto"/>
        <w:right w:val="none" w:sz="0" w:space="0" w:color="auto"/>
      </w:divBdr>
    </w:div>
    <w:div w:id="564874113">
      <w:bodyDiv w:val="1"/>
      <w:marLeft w:val="0"/>
      <w:marRight w:val="0"/>
      <w:marTop w:val="0"/>
      <w:marBottom w:val="0"/>
      <w:divBdr>
        <w:top w:val="none" w:sz="0" w:space="0" w:color="auto"/>
        <w:left w:val="none" w:sz="0" w:space="0" w:color="auto"/>
        <w:bottom w:val="none" w:sz="0" w:space="0" w:color="auto"/>
        <w:right w:val="none" w:sz="0" w:space="0" w:color="auto"/>
      </w:divBdr>
    </w:div>
    <w:div w:id="570844867">
      <w:bodyDiv w:val="1"/>
      <w:marLeft w:val="0"/>
      <w:marRight w:val="0"/>
      <w:marTop w:val="0"/>
      <w:marBottom w:val="0"/>
      <w:divBdr>
        <w:top w:val="none" w:sz="0" w:space="0" w:color="auto"/>
        <w:left w:val="none" w:sz="0" w:space="0" w:color="auto"/>
        <w:bottom w:val="none" w:sz="0" w:space="0" w:color="auto"/>
        <w:right w:val="none" w:sz="0" w:space="0" w:color="auto"/>
      </w:divBdr>
    </w:div>
    <w:div w:id="581984910">
      <w:bodyDiv w:val="1"/>
      <w:marLeft w:val="0"/>
      <w:marRight w:val="0"/>
      <w:marTop w:val="0"/>
      <w:marBottom w:val="0"/>
      <w:divBdr>
        <w:top w:val="none" w:sz="0" w:space="0" w:color="auto"/>
        <w:left w:val="none" w:sz="0" w:space="0" w:color="auto"/>
        <w:bottom w:val="none" w:sz="0" w:space="0" w:color="auto"/>
        <w:right w:val="none" w:sz="0" w:space="0" w:color="auto"/>
      </w:divBdr>
    </w:div>
    <w:div w:id="582371812">
      <w:bodyDiv w:val="1"/>
      <w:marLeft w:val="0"/>
      <w:marRight w:val="0"/>
      <w:marTop w:val="0"/>
      <w:marBottom w:val="0"/>
      <w:divBdr>
        <w:top w:val="none" w:sz="0" w:space="0" w:color="auto"/>
        <w:left w:val="none" w:sz="0" w:space="0" w:color="auto"/>
        <w:bottom w:val="none" w:sz="0" w:space="0" w:color="auto"/>
        <w:right w:val="none" w:sz="0" w:space="0" w:color="auto"/>
      </w:divBdr>
    </w:div>
    <w:div w:id="596209463">
      <w:bodyDiv w:val="1"/>
      <w:marLeft w:val="0"/>
      <w:marRight w:val="0"/>
      <w:marTop w:val="0"/>
      <w:marBottom w:val="0"/>
      <w:divBdr>
        <w:top w:val="none" w:sz="0" w:space="0" w:color="auto"/>
        <w:left w:val="none" w:sz="0" w:space="0" w:color="auto"/>
        <w:bottom w:val="none" w:sz="0" w:space="0" w:color="auto"/>
        <w:right w:val="none" w:sz="0" w:space="0" w:color="auto"/>
      </w:divBdr>
    </w:div>
    <w:div w:id="606230046">
      <w:bodyDiv w:val="1"/>
      <w:marLeft w:val="0"/>
      <w:marRight w:val="0"/>
      <w:marTop w:val="0"/>
      <w:marBottom w:val="0"/>
      <w:divBdr>
        <w:top w:val="none" w:sz="0" w:space="0" w:color="auto"/>
        <w:left w:val="none" w:sz="0" w:space="0" w:color="auto"/>
        <w:bottom w:val="none" w:sz="0" w:space="0" w:color="auto"/>
        <w:right w:val="none" w:sz="0" w:space="0" w:color="auto"/>
      </w:divBdr>
    </w:div>
    <w:div w:id="611745162">
      <w:bodyDiv w:val="1"/>
      <w:marLeft w:val="0"/>
      <w:marRight w:val="0"/>
      <w:marTop w:val="0"/>
      <w:marBottom w:val="0"/>
      <w:divBdr>
        <w:top w:val="none" w:sz="0" w:space="0" w:color="auto"/>
        <w:left w:val="none" w:sz="0" w:space="0" w:color="auto"/>
        <w:bottom w:val="none" w:sz="0" w:space="0" w:color="auto"/>
        <w:right w:val="none" w:sz="0" w:space="0" w:color="auto"/>
      </w:divBdr>
    </w:div>
    <w:div w:id="618414211">
      <w:bodyDiv w:val="1"/>
      <w:marLeft w:val="0"/>
      <w:marRight w:val="0"/>
      <w:marTop w:val="0"/>
      <w:marBottom w:val="0"/>
      <w:divBdr>
        <w:top w:val="none" w:sz="0" w:space="0" w:color="auto"/>
        <w:left w:val="none" w:sz="0" w:space="0" w:color="auto"/>
        <w:bottom w:val="none" w:sz="0" w:space="0" w:color="auto"/>
        <w:right w:val="none" w:sz="0" w:space="0" w:color="auto"/>
      </w:divBdr>
    </w:div>
    <w:div w:id="631134438">
      <w:bodyDiv w:val="1"/>
      <w:marLeft w:val="0"/>
      <w:marRight w:val="0"/>
      <w:marTop w:val="0"/>
      <w:marBottom w:val="0"/>
      <w:divBdr>
        <w:top w:val="none" w:sz="0" w:space="0" w:color="auto"/>
        <w:left w:val="none" w:sz="0" w:space="0" w:color="auto"/>
        <w:bottom w:val="none" w:sz="0" w:space="0" w:color="auto"/>
        <w:right w:val="none" w:sz="0" w:space="0" w:color="auto"/>
      </w:divBdr>
    </w:div>
    <w:div w:id="639072574">
      <w:bodyDiv w:val="1"/>
      <w:marLeft w:val="0"/>
      <w:marRight w:val="0"/>
      <w:marTop w:val="0"/>
      <w:marBottom w:val="0"/>
      <w:divBdr>
        <w:top w:val="none" w:sz="0" w:space="0" w:color="auto"/>
        <w:left w:val="none" w:sz="0" w:space="0" w:color="auto"/>
        <w:bottom w:val="none" w:sz="0" w:space="0" w:color="auto"/>
        <w:right w:val="none" w:sz="0" w:space="0" w:color="auto"/>
      </w:divBdr>
    </w:div>
    <w:div w:id="652833089">
      <w:bodyDiv w:val="1"/>
      <w:marLeft w:val="0"/>
      <w:marRight w:val="0"/>
      <w:marTop w:val="0"/>
      <w:marBottom w:val="0"/>
      <w:divBdr>
        <w:top w:val="none" w:sz="0" w:space="0" w:color="auto"/>
        <w:left w:val="none" w:sz="0" w:space="0" w:color="auto"/>
        <w:bottom w:val="none" w:sz="0" w:space="0" w:color="auto"/>
        <w:right w:val="none" w:sz="0" w:space="0" w:color="auto"/>
      </w:divBdr>
    </w:div>
    <w:div w:id="653946461">
      <w:bodyDiv w:val="1"/>
      <w:marLeft w:val="0"/>
      <w:marRight w:val="0"/>
      <w:marTop w:val="0"/>
      <w:marBottom w:val="0"/>
      <w:divBdr>
        <w:top w:val="none" w:sz="0" w:space="0" w:color="auto"/>
        <w:left w:val="none" w:sz="0" w:space="0" w:color="auto"/>
        <w:bottom w:val="none" w:sz="0" w:space="0" w:color="auto"/>
        <w:right w:val="none" w:sz="0" w:space="0" w:color="auto"/>
      </w:divBdr>
    </w:div>
    <w:div w:id="654140191">
      <w:bodyDiv w:val="1"/>
      <w:marLeft w:val="0"/>
      <w:marRight w:val="0"/>
      <w:marTop w:val="0"/>
      <w:marBottom w:val="0"/>
      <w:divBdr>
        <w:top w:val="none" w:sz="0" w:space="0" w:color="auto"/>
        <w:left w:val="none" w:sz="0" w:space="0" w:color="auto"/>
        <w:bottom w:val="none" w:sz="0" w:space="0" w:color="auto"/>
        <w:right w:val="none" w:sz="0" w:space="0" w:color="auto"/>
      </w:divBdr>
    </w:div>
    <w:div w:id="656149689">
      <w:bodyDiv w:val="1"/>
      <w:marLeft w:val="0"/>
      <w:marRight w:val="0"/>
      <w:marTop w:val="0"/>
      <w:marBottom w:val="0"/>
      <w:divBdr>
        <w:top w:val="none" w:sz="0" w:space="0" w:color="auto"/>
        <w:left w:val="none" w:sz="0" w:space="0" w:color="auto"/>
        <w:bottom w:val="none" w:sz="0" w:space="0" w:color="auto"/>
        <w:right w:val="none" w:sz="0" w:space="0" w:color="auto"/>
      </w:divBdr>
    </w:div>
    <w:div w:id="659238571">
      <w:bodyDiv w:val="1"/>
      <w:marLeft w:val="0"/>
      <w:marRight w:val="0"/>
      <w:marTop w:val="0"/>
      <w:marBottom w:val="0"/>
      <w:divBdr>
        <w:top w:val="none" w:sz="0" w:space="0" w:color="auto"/>
        <w:left w:val="none" w:sz="0" w:space="0" w:color="auto"/>
        <w:bottom w:val="none" w:sz="0" w:space="0" w:color="auto"/>
        <w:right w:val="none" w:sz="0" w:space="0" w:color="auto"/>
      </w:divBdr>
    </w:div>
    <w:div w:id="661200642">
      <w:bodyDiv w:val="1"/>
      <w:marLeft w:val="0"/>
      <w:marRight w:val="0"/>
      <w:marTop w:val="0"/>
      <w:marBottom w:val="0"/>
      <w:divBdr>
        <w:top w:val="none" w:sz="0" w:space="0" w:color="auto"/>
        <w:left w:val="none" w:sz="0" w:space="0" w:color="auto"/>
        <w:bottom w:val="none" w:sz="0" w:space="0" w:color="auto"/>
        <w:right w:val="none" w:sz="0" w:space="0" w:color="auto"/>
      </w:divBdr>
    </w:div>
    <w:div w:id="662511953">
      <w:bodyDiv w:val="1"/>
      <w:marLeft w:val="0"/>
      <w:marRight w:val="0"/>
      <w:marTop w:val="0"/>
      <w:marBottom w:val="0"/>
      <w:divBdr>
        <w:top w:val="none" w:sz="0" w:space="0" w:color="auto"/>
        <w:left w:val="none" w:sz="0" w:space="0" w:color="auto"/>
        <w:bottom w:val="none" w:sz="0" w:space="0" w:color="auto"/>
        <w:right w:val="none" w:sz="0" w:space="0" w:color="auto"/>
      </w:divBdr>
    </w:div>
    <w:div w:id="671183163">
      <w:bodyDiv w:val="1"/>
      <w:marLeft w:val="0"/>
      <w:marRight w:val="0"/>
      <w:marTop w:val="0"/>
      <w:marBottom w:val="0"/>
      <w:divBdr>
        <w:top w:val="none" w:sz="0" w:space="0" w:color="auto"/>
        <w:left w:val="none" w:sz="0" w:space="0" w:color="auto"/>
        <w:bottom w:val="none" w:sz="0" w:space="0" w:color="auto"/>
        <w:right w:val="none" w:sz="0" w:space="0" w:color="auto"/>
      </w:divBdr>
    </w:div>
    <w:div w:id="678166774">
      <w:bodyDiv w:val="1"/>
      <w:marLeft w:val="0"/>
      <w:marRight w:val="0"/>
      <w:marTop w:val="0"/>
      <w:marBottom w:val="0"/>
      <w:divBdr>
        <w:top w:val="none" w:sz="0" w:space="0" w:color="auto"/>
        <w:left w:val="none" w:sz="0" w:space="0" w:color="auto"/>
        <w:bottom w:val="none" w:sz="0" w:space="0" w:color="auto"/>
        <w:right w:val="none" w:sz="0" w:space="0" w:color="auto"/>
      </w:divBdr>
    </w:div>
    <w:div w:id="681318989">
      <w:bodyDiv w:val="1"/>
      <w:marLeft w:val="0"/>
      <w:marRight w:val="0"/>
      <w:marTop w:val="0"/>
      <w:marBottom w:val="0"/>
      <w:divBdr>
        <w:top w:val="none" w:sz="0" w:space="0" w:color="auto"/>
        <w:left w:val="none" w:sz="0" w:space="0" w:color="auto"/>
        <w:bottom w:val="none" w:sz="0" w:space="0" w:color="auto"/>
        <w:right w:val="none" w:sz="0" w:space="0" w:color="auto"/>
      </w:divBdr>
    </w:div>
    <w:div w:id="682442539">
      <w:bodyDiv w:val="1"/>
      <w:marLeft w:val="0"/>
      <w:marRight w:val="0"/>
      <w:marTop w:val="0"/>
      <w:marBottom w:val="0"/>
      <w:divBdr>
        <w:top w:val="none" w:sz="0" w:space="0" w:color="auto"/>
        <w:left w:val="none" w:sz="0" w:space="0" w:color="auto"/>
        <w:bottom w:val="none" w:sz="0" w:space="0" w:color="auto"/>
        <w:right w:val="none" w:sz="0" w:space="0" w:color="auto"/>
      </w:divBdr>
    </w:div>
    <w:div w:id="691734895">
      <w:bodyDiv w:val="1"/>
      <w:marLeft w:val="0"/>
      <w:marRight w:val="0"/>
      <w:marTop w:val="0"/>
      <w:marBottom w:val="0"/>
      <w:divBdr>
        <w:top w:val="none" w:sz="0" w:space="0" w:color="auto"/>
        <w:left w:val="none" w:sz="0" w:space="0" w:color="auto"/>
        <w:bottom w:val="none" w:sz="0" w:space="0" w:color="auto"/>
        <w:right w:val="none" w:sz="0" w:space="0" w:color="auto"/>
      </w:divBdr>
    </w:div>
    <w:div w:id="692531564">
      <w:bodyDiv w:val="1"/>
      <w:marLeft w:val="0"/>
      <w:marRight w:val="0"/>
      <w:marTop w:val="0"/>
      <w:marBottom w:val="0"/>
      <w:divBdr>
        <w:top w:val="none" w:sz="0" w:space="0" w:color="auto"/>
        <w:left w:val="none" w:sz="0" w:space="0" w:color="auto"/>
        <w:bottom w:val="none" w:sz="0" w:space="0" w:color="auto"/>
        <w:right w:val="none" w:sz="0" w:space="0" w:color="auto"/>
      </w:divBdr>
    </w:div>
    <w:div w:id="698775506">
      <w:bodyDiv w:val="1"/>
      <w:marLeft w:val="0"/>
      <w:marRight w:val="0"/>
      <w:marTop w:val="0"/>
      <w:marBottom w:val="0"/>
      <w:divBdr>
        <w:top w:val="none" w:sz="0" w:space="0" w:color="auto"/>
        <w:left w:val="none" w:sz="0" w:space="0" w:color="auto"/>
        <w:bottom w:val="none" w:sz="0" w:space="0" w:color="auto"/>
        <w:right w:val="none" w:sz="0" w:space="0" w:color="auto"/>
      </w:divBdr>
    </w:div>
    <w:div w:id="704865032">
      <w:bodyDiv w:val="1"/>
      <w:marLeft w:val="0"/>
      <w:marRight w:val="0"/>
      <w:marTop w:val="0"/>
      <w:marBottom w:val="0"/>
      <w:divBdr>
        <w:top w:val="none" w:sz="0" w:space="0" w:color="auto"/>
        <w:left w:val="none" w:sz="0" w:space="0" w:color="auto"/>
        <w:bottom w:val="none" w:sz="0" w:space="0" w:color="auto"/>
        <w:right w:val="none" w:sz="0" w:space="0" w:color="auto"/>
      </w:divBdr>
    </w:div>
    <w:div w:id="706638550">
      <w:bodyDiv w:val="1"/>
      <w:marLeft w:val="0"/>
      <w:marRight w:val="0"/>
      <w:marTop w:val="0"/>
      <w:marBottom w:val="0"/>
      <w:divBdr>
        <w:top w:val="none" w:sz="0" w:space="0" w:color="auto"/>
        <w:left w:val="none" w:sz="0" w:space="0" w:color="auto"/>
        <w:bottom w:val="none" w:sz="0" w:space="0" w:color="auto"/>
        <w:right w:val="none" w:sz="0" w:space="0" w:color="auto"/>
      </w:divBdr>
    </w:div>
    <w:div w:id="706873128">
      <w:bodyDiv w:val="1"/>
      <w:marLeft w:val="0"/>
      <w:marRight w:val="0"/>
      <w:marTop w:val="0"/>
      <w:marBottom w:val="0"/>
      <w:divBdr>
        <w:top w:val="none" w:sz="0" w:space="0" w:color="auto"/>
        <w:left w:val="none" w:sz="0" w:space="0" w:color="auto"/>
        <w:bottom w:val="none" w:sz="0" w:space="0" w:color="auto"/>
        <w:right w:val="none" w:sz="0" w:space="0" w:color="auto"/>
      </w:divBdr>
    </w:div>
    <w:div w:id="715011917">
      <w:bodyDiv w:val="1"/>
      <w:marLeft w:val="0"/>
      <w:marRight w:val="0"/>
      <w:marTop w:val="0"/>
      <w:marBottom w:val="0"/>
      <w:divBdr>
        <w:top w:val="none" w:sz="0" w:space="0" w:color="auto"/>
        <w:left w:val="none" w:sz="0" w:space="0" w:color="auto"/>
        <w:bottom w:val="none" w:sz="0" w:space="0" w:color="auto"/>
        <w:right w:val="none" w:sz="0" w:space="0" w:color="auto"/>
      </w:divBdr>
    </w:div>
    <w:div w:id="717050685">
      <w:bodyDiv w:val="1"/>
      <w:marLeft w:val="0"/>
      <w:marRight w:val="0"/>
      <w:marTop w:val="0"/>
      <w:marBottom w:val="0"/>
      <w:divBdr>
        <w:top w:val="none" w:sz="0" w:space="0" w:color="auto"/>
        <w:left w:val="none" w:sz="0" w:space="0" w:color="auto"/>
        <w:bottom w:val="none" w:sz="0" w:space="0" w:color="auto"/>
        <w:right w:val="none" w:sz="0" w:space="0" w:color="auto"/>
      </w:divBdr>
    </w:div>
    <w:div w:id="731777994">
      <w:bodyDiv w:val="1"/>
      <w:marLeft w:val="0"/>
      <w:marRight w:val="0"/>
      <w:marTop w:val="0"/>
      <w:marBottom w:val="0"/>
      <w:divBdr>
        <w:top w:val="none" w:sz="0" w:space="0" w:color="auto"/>
        <w:left w:val="none" w:sz="0" w:space="0" w:color="auto"/>
        <w:bottom w:val="none" w:sz="0" w:space="0" w:color="auto"/>
        <w:right w:val="none" w:sz="0" w:space="0" w:color="auto"/>
      </w:divBdr>
      <w:divsChild>
        <w:div w:id="431241288">
          <w:marLeft w:val="0"/>
          <w:marRight w:val="0"/>
          <w:marTop w:val="0"/>
          <w:marBottom w:val="0"/>
          <w:divBdr>
            <w:top w:val="none" w:sz="0" w:space="0" w:color="auto"/>
            <w:left w:val="none" w:sz="0" w:space="0" w:color="auto"/>
            <w:bottom w:val="none" w:sz="0" w:space="0" w:color="auto"/>
            <w:right w:val="none" w:sz="0" w:space="0" w:color="auto"/>
          </w:divBdr>
          <w:divsChild>
            <w:div w:id="1132291483">
              <w:marLeft w:val="0"/>
              <w:marRight w:val="0"/>
              <w:marTop w:val="0"/>
              <w:marBottom w:val="0"/>
              <w:divBdr>
                <w:top w:val="none" w:sz="0" w:space="0" w:color="auto"/>
                <w:left w:val="none" w:sz="0" w:space="0" w:color="auto"/>
                <w:bottom w:val="none" w:sz="0" w:space="0" w:color="auto"/>
                <w:right w:val="none" w:sz="0" w:space="0" w:color="auto"/>
              </w:divBdr>
              <w:divsChild>
                <w:div w:id="372849983">
                  <w:marLeft w:val="0"/>
                  <w:marRight w:val="0"/>
                  <w:marTop w:val="0"/>
                  <w:marBottom w:val="0"/>
                  <w:divBdr>
                    <w:top w:val="none" w:sz="0" w:space="0" w:color="auto"/>
                    <w:left w:val="none" w:sz="0" w:space="0" w:color="auto"/>
                    <w:bottom w:val="none" w:sz="0" w:space="0" w:color="auto"/>
                    <w:right w:val="none" w:sz="0" w:space="0" w:color="auto"/>
                  </w:divBdr>
                  <w:divsChild>
                    <w:div w:id="437412131">
                      <w:marLeft w:val="0"/>
                      <w:marRight w:val="0"/>
                      <w:marTop w:val="0"/>
                      <w:marBottom w:val="0"/>
                      <w:divBdr>
                        <w:top w:val="none" w:sz="0" w:space="0" w:color="auto"/>
                        <w:left w:val="none" w:sz="0" w:space="0" w:color="auto"/>
                        <w:bottom w:val="none" w:sz="0" w:space="0" w:color="auto"/>
                        <w:right w:val="none" w:sz="0" w:space="0" w:color="auto"/>
                      </w:divBdr>
                      <w:divsChild>
                        <w:div w:id="8312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2619">
          <w:marLeft w:val="0"/>
          <w:marRight w:val="0"/>
          <w:marTop w:val="0"/>
          <w:marBottom w:val="0"/>
          <w:divBdr>
            <w:top w:val="none" w:sz="0" w:space="0" w:color="auto"/>
            <w:left w:val="none" w:sz="0" w:space="0" w:color="auto"/>
            <w:bottom w:val="none" w:sz="0" w:space="0" w:color="auto"/>
            <w:right w:val="none" w:sz="0" w:space="0" w:color="auto"/>
          </w:divBdr>
          <w:divsChild>
            <w:div w:id="1940066640">
              <w:marLeft w:val="0"/>
              <w:marRight w:val="0"/>
              <w:marTop w:val="0"/>
              <w:marBottom w:val="0"/>
              <w:divBdr>
                <w:top w:val="none" w:sz="0" w:space="0" w:color="auto"/>
                <w:left w:val="none" w:sz="0" w:space="0" w:color="auto"/>
                <w:bottom w:val="none" w:sz="0" w:space="0" w:color="auto"/>
                <w:right w:val="none" w:sz="0" w:space="0" w:color="auto"/>
              </w:divBdr>
              <w:divsChild>
                <w:div w:id="2037384372">
                  <w:marLeft w:val="0"/>
                  <w:marRight w:val="0"/>
                  <w:marTop w:val="0"/>
                  <w:marBottom w:val="0"/>
                  <w:divBdr>
                    <w:top w:val="none" w:sz="0" w:space="0" w:color="auto"/>
                    <w:left w:val="none" w:sz="0" w:space="0" w:color="auto"/>
                    <w:bottom w:val="none" w:sz="0" w:space="0" w:color="auto"/>
                    <w:right w:val="none" w:sz="0" w:space="0" w:color="auto"/>
                  </w:divBdr>
                  <w:divsChild>
                    <w:div w:id="88505796">
                      <w:marLeft w:val="0"/>
                      <w:marRight w:val="0"/>
                      <w:marTop w:val="0"/>
                      <w:marBottom w:val="0"/>
                      <w:divBdr>
                        <w:top w:val="none" w:sz="0" w:space="0" w:color="auto"/>
                        <w:left w:val="none" w:sz="0" w:space="0" w:color="auto"/>
                        <w:bottom w:val="none" w:sz="0" w:space="0" w:color="auto"/>
                        <w:right w:val="none" w:sz="0" w:space="0" w:color="auto"/>
                      </w:divBdr>
                      <w:divsChild>
                        <w:div w:id="123046021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57546">
          <w:marLeft w:val="0"/>
          <w:marRight w:val="0"/>
          <w:marTop w:val="0"/>
          <w:marBottom w:val="0"/>
          <w:divBdr>
            <w:top w:val="none" w:sz="0" w:space="0" w:color="auto"/>
            <w:left w:val="none" w:sz="0" w:space="0" w:color="auto"/>
            <w:bottom w:val="none" w:sz="0" w:space="0" w:color="auto"/>
            <w:right w:val="none" w:sz="0" w:space="0" w:color="auto"/>
          </w:divBdr>
          <w:divsChild>
            <w:div w:id="322390244">
              <w:marLeft w:val="0"/>
              <w:marRight w:val="0"/>
              <w:marTop w:val="0"/>
              <w:marBottom w:val="0"/>
              <w:divBdr>
                <w:top w:val="none" w:sz="0" w:space="0" w:color="auto"/>
                <w:left w:val="none" w:sz="0" w:space="0" w:color="auto"/>
                <w:bottom w:val="none" w:sz="0" w:space="0" w:color="auto"/>
                <w:right w:val="none" w:sz="0" w:space="0" w:color="auto"/>
              </w:divBdr>
              <w:divsChild>
                <w:div w:id="1085539065">
                  <w:marLeft w:val="0"/>
                  <w:marRight w:val="0"/>
                  <w:marTop w:val="0"/>
                  <w:marBottom w:val="150"/>
                  <w:divBdr>
                    <w:top w:val="none" w:sz="0" w:space="0" w:color="auto"/>
                    <w:left w:val="none" w:sz="0" w:space="0" w:color="auto"/>
                    <w:bottom w:val="none" w:sz="0" w:space="0" w:color="auto"/>
                    <w:right w:val="none" w:sz="0" w:space="0" w:color="auto"/>
                  </w:divBdr>
                  <w:divsChild>
                    <w:div w:id="2115401695">
                      <w:marLeft w:val="0"/>
                      <w:marRight w:val="0"/>
                      <w:marTop w:val="0"/>
                      <w:marBottom w:val="0"/>
                      <w:divBdr>
                        <w:top w:val="none" w:sz="0" w:space="0" w:color="auto"/>
                        <w:left w:val="none" w:sz="0" w:space="0" w:color="auto"/>
                        <w:bottom w:val="none" w:sz="0" w:space="0" w:color="auto"/>
                        <w:right w:val="none" w:sz="0" w:space="0" w:color="auto"/>
                      </w:divBdr>
                    </w:div>
                  </w:divsChild>
                </w:div>
                <w:div w:id="2031569018">
                  <w:marLeft w:val="0"/>
                  <w:marRight w:val="0"/>
                  <w:marTop w:val="75"/>
                  <w:marBottom w:val="0"/>
                  <w:divBdr>
                    <w:top w:val="none" w:sz="0" w:space="0" w:color="auto"/>
                    <w:left w:val="none" w:sz="0" w:space="0" w:color="auto"/>
                    <w:bottom w:val="none" w:sz="0" w:space="0" w:color="auto"/>
                    <w:right w:val="none" w:sz="0" w:space="0" w:color="auto"/>
                  </w:divBdr>
                  <w:divsChild>
                    <w:div w:id="153568888">
                      <w:marLeft w:val="0"/>
                      <w:marRight w:val="0"/>
                      <w:marTop w:val="0"/>
                      <w:marBottom w:val="0"/>
                      <w:divBdr>
                        <w:top w:val="none" w:sz="0" w:space="0" w:color="auto"/>
                        <w:left w:val="none" w:sz="0" w:space="0" w:color="auto"/>
                        <w:bottom w:val="none" w:sz="0" w:space="0" w:color="auto"/>
                        <w:right w:val="none" w:sz="0" w:space="0" w:color="auto"/>
                      </w:divBdr>
                      <w:divsChild>
                        <w:div w:id="18291306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42801153">
      <w:bodyDiv w:val="1"/>
      <w:marLeft w:val="0"/>
      <w:marRight w:val="0"/>
      <w:marTop w:val="0"/>
      <w:marBottom w:val="0"/>
      <w:divBdr>
        <w:top w:val="none" w:sz="0" w:space="0" w:color="auto"/>
        <w:left w:val="none" w:sz="0" w:space="0" w:color="auto"/>
        <w:bottom w:val="none" w:sz="0" w:space="0" w:color="auto"/>
        <w:right w:val="none" w:sz="0" w:space="0" w:color="auto"/>
      </w:divBdr>
    </w:div>
    <w:div w:id="745958453">
      <w:bodyDiv w:val="1"/>
      <w:marLeft w:val="0"/>
      <w:marRight w:val="0"/>
      <w:marTop w:val="0"/>
      <w:marBottom w:val="0"/>
      <w:divBdr>
        <w:top w:val="none" w:sz="0" w:space="0" w:color="auto"/>
        <w:left w:val="none" w:sz="0" w:space="0" w:color="auto"/>
        <w:bottom w:val="none" w:sz="0" w:space="0" w:color="auto"/>
        <w:right w:val="none" w:sz="0" w:space="0" w:color="auto"/>
      </w:divBdr>
    </w:div>
    <w:div w:id="758138912">
      <w:bodyDiv w:val="1"/>
      <w:marLeft w:val="0"/>
      <w:marRight w:val="0"/>
      <w:marTop w:val="0"/>
      <w:marBottom w:val="0"/>
      <w:divBdr>
        <w:top w:val="none" w:sz="0" w:space="0" w:color="auto"/>
        <w:left w:val="none" w:sz="0" w:space="0" w:color="auto"/>
        <w:bottom w:val="none" w:sz="0" w:space="0" w:color="auto"/>
        <w:right w:val="none" w:sz="0" w:space="0" w:color="auto"/>
      </w:divBdr>
    </w:div>
    <w:div w:id="760948294">
      <w:bodyDiv w:val="1"/>
      <w:marLeft w:val="0"/>
      <w:marRight w:val="0"/>
      <w:marTop w:val="0"/>
      <w:marBottom w:val="0"/>
      <w:divBdr>
        <w:top w:val="none" w:sz="0" w:space="0" w:color="auto"/>
        <w:left w:val="none" w:sz="0" w:space="0" w:color="auto"/>
        <w:bottom w:val="none" w:sz="0" w:space="0" w:color="auto"/>
        <w:right w:val="none" w:sz="0" w:space="0" w:color="auto"/>
      </w:divBdr>
    </w:div>
    <w:div w:id="763919363">
      <w:bodyDiv w:val="1"/>
      <w:marLeft w:val="0"/>
      <w:marRight w:val="0"/>
      <w:marTop w:val="0"/>
      <w:marBottom w:val="0"/>
      <w:divBdr>
        <w:top w:val="none" w:sz="0" w:space="0" w:color="auto"/>
        <w:left w:val="none" w:sz="0" w:space="0" w:color="auto"/>
        <w:bottom w:val="none" w:sz="0" w:space="0" w:color="auto"/>
        <w:right w:val="none" w:sz="0" w:space="0" w:color="auto"/>
      </w:divBdr>
    </w:div>
    <w:div w:id="769812084">
      <w:bodyDiv w:val="1"/>
      <w:marLeft w:val="0"/>
      <w:marRight w:val="0"/>
      <w:marTop w:val="0"/>
      <w:marBottom w:val="0"/>
      <w:divBdr>
        <w:top w:val="none" w:sz="0" w:space="0" w:color="auto"/>
        <w:left w:val="none" w:sz="0" w:space="0" w:color="auto"/>
        <w:bottom w:val="none" w:sz="0" w:space="0" w:color="auto"/>
        <w:right w:val="none" w:sz="0" w:space="0" w:color="auto"/>
      </w:divBdr>
    </w:div>
    <w:div w:id="770586495">
      <w:bodyDiv w:val="1"/>
      <w:marLeft w:val="0"/>
      <w:marRight w:val="0"/>
      <w:marTop w:val="0"/>
      <w:marBottom w:val="0"/>
      <w:divBdr>
        <w:top w:val="none" w:sz="0" w:space="0" w:color="auto"/>
        <w:left w:val="none" w:sz="0" w:space="0" w:color="auto"/>
        <w:bottom w:val="none" w:sz="0" w:space="0" w:color="auto"/>
        <w:right w:val="none" w:sz="0" w:space="0" w:color="auto"/>
      </w:divBdr>
    </w:div>
    <w:div w:id="777063548">
      <w:bodyDiv w:val="1"/>
      <w:marLeft w:val="0"/>
      <w:marRight w:val="0"/>
      <w:marTop w:val="0"/>
      <w:marBottom w:val="0"/>
      <w:divBdr>
        <w:top w:val="none" w:sz="0" w:space="0" w:color="auto"/>
        <w:left w:val="none" w:sz="0" w:space="0" w:color="auto"/>
        <w:bottom w:val="none" w:sz="0" w:space="0" w:color="auto"/>
        <w:right w:val="none" w:sz="0" w:space="0" w:color="auto"/>
      </w:divBdr>
    </w:div>
    <w:div w:id="784039815">
      <w:bodyDiv w:val="1"/>
      <w:marLeft w:val="0"/>
      <w:marRight w:val="0"/>
      <w:marTop w:val="0"/>
      <w:marBottom w:val="0"/>
      <w:divBdr>
        <w:top w:val="none" w:sz="0" w:space="0" w:color="auto"/>
        <w:left w:val="none" w:sz="0" w:space="0" w:color="auto"/>
        <w:bottom w:val="none" w:sz="0" w:space="0" w:color="auto"/>
        <w:right w:val="none" w:sz="0" w:space="0" w:color="auto"/>
      </w:divBdr>
    </w:div>
    <w:div w:id="793404725">
      <w:bodyDiv w:val="1"/>
      <w:marLeft w:val="0"/>
      <w:marRight w:val="0"/>
      <w:marTop w:val="0"/>
      <w:marBottom w:val="0"/>
      <w:divBdr>
        <w:top w:val="none" w:sz="0" w:space="0" w:color="auto"/>
        <w:left w:val="none" w:sz="0" w:space="0" w:color="auto"/>
        <w:bottom w:val="none" w:sz="0" w:space="0" w:color="auto"/>
        <w:right w:val="none" w:sz="0" w:space="0" w:color="auto"/>
      </w:divBdr>
    </w:div>
    <w:div w:id="799803107">
      <w:bodyDiv w:val="1"/>
      <w:marLeft w:val="0"/>
      <w:marRight w:val="0"/>
      <w:marTop w:val="0"/>
      <w:marBottom w:val="0"/>
      <w:divBdr>
        <w:top w:val="none" w:sz="0" w:space="0" w:color="auto"/>
        <w:left w:val="none" w:sz="0" w:space="0" w:color="auto"/>
        <w:bottom w:val="none" w:sz="0" w:space="0" w:color="auto"/>
        <w:right w:val="none" w:sz="0" w:space="0" w:color="auto"/>
      </w:divBdr>
    </w:div>
    <w:div w:id="806165417">
      <w:bodyDiv w:val="1"/>
      <w:marLeft w:val="0"/>
      <w:marRight w:val="0"/>
      <w:marTop w:val="0"/>
      <w:marBottom w:val="0"/>
      <w:divBdr>
        <w:top w:val="none" w:sz="0" w:space="0" w:color="auto"/>
        <w:left w:val="none" w:sz="0" w:space="0" w:color="auto"/>
        <w:bottom w:val="none" w:sz="0" w:space="0" w:color="auto"/>
        <w:right w:val="none" w:sz="0" w:space="0" w:color="auto"/>
      </w:divBdr>
    </w:div>
    <w:div w:id="810637226">
      <w:bodyDiv w:val="1"/>
      <w:marLeft w:val="0"/>
      <w:marRight w:val="0"/>
      <w:marTop w:val="0"/>
      <w:marBottom w:val="0"/>
      <w:divBdr>
        <w:top w:val="none" w:sz="0" w:space="0" w:color="auto"/>
        <w:left w:val="none" w:sz="0" w:space="0" w:color="auto"/>
        <w:bottom w:val="none" w:sz="0" w:space="0" w:color="auto"/>
        <w:right w:val="none" w:sz="0" w:space="0" w:color="auto"/>
      </w:divBdr>
    </w:div>
    <w:div w:id="822040937">
      <w:bodyDiv w:val="1"/>
      <w:marLeft w:val="0"/>
      <w:marRight w:val="0"/>
      <w:marTop w:val="0"/>
      <w:marBottom w:val="0"/>
      <w:divBdr>
        <w:top w:val="none" w:sz="0" w:space="0" w:color="auto"/>
        <w:left w:val="none" w:sz="0" w:space="0" w:color="auto"/>
        <w:bottom w:val="none" w:sz="0" w:space="0" w:color="auto"/>
        <w:right w:val="none" w:sz="0" w:space="0" w:color="auto"/>
      </w:divBdr>
    </w:div>
    <w:div w:id="822627427">
      <w:bodyDiv w:val="1"/>
      <w:marLeft w:val="0"/>
      <w:marRight w:val="0"/>
      <w:marTop w:val="0"/>
      <w:marBottom w:val="0"/>
      <w:divBdr>
        <w:top w:val="none" w:sz="0" w:space="0" w:color="auto"/>
        <w:left w:val="none" w:sz="0" w:space="0" w:color="auto"/>
        <w:bottom w:val="none" w:sz="0" w:space="0" w:color="auto"/>
        <w:right w:val="none" w:sz="0" w:space="0" w:color="auto"/>
      </w:divBdr>
    </w:div>
    <w:div w:id="835997458">
      <w:bodyDiv w:val="1"/>
      <w:marLeft w:val="0"/>
      <w:marRight w:val="0"/>
      <w:marTop w:val="0"/>
      <w:marBottom w:val="0"/>
      <w:divBdr>
        <w:top w:val="none" w:sz="0" w:space="0" w:color="auto"/>
        <w:left w:val="none" w:sz="0" w:space="0" w:color="auto"/>
        <w:bottom w:val="none" w:sz="0" w:space="0" w:color="auto"/>
        <w:right w:val="none" w:sz="0" w:space="0" w:color="auto"/>
      </w:divBdr>
    </w:div>
    <w:div w:id="840239451">
      <w:bodyDiv w:val="1"/>
      <w:marLeft w:val="0"/>
      <w:marRight w:val="0"/>
      <w:marTop w:val="0"/>
      <w:marBottom w:val="0"/>
      <w:divBdr>
        <w:top w:val="none" w:sz="0" w:space="0" w:color="auto"/>
        <w:left w:val="none" w:sz="0" w:space="0" w:color="auto"/>
        <w:bottom w:val="none" w:sz="0" w:space="0" w:color="auto"/>
        <w:right w:val="none" w:sz="0" w:space="0" w:color="auto"/>
      </w:divBdr>
    </w:div>
    <w:div w:id="840662970">
      <w:bodyDiv w:val="1"/>
      <w:marLeft w:val="0"/>
      <w:marRight w:val="0"/>
      <w:marTop w:val="0"/>
      <w:marBottom w:val="0"/>
      <w:divBdr>
        <w:top w:val="none" w:sz="0" w:space="0" w:color="auto"/>
        <w:left w:val="none" w:sz="0" w:space="0" w:color="auto"/>
        <w:bottom w:val="none" w:sz="0" w:space="0" w:color="auto"/>
        <w:right w:val="none" w:sz="0" w:space="0" w:color="auto"/>
      </w:divBdr>
    </w:div>
    <w:div w:id="841777007">
      <w:bodyDiv w:val="1"/>
      <w:marLeft w:val="0"/>
      <w:marRight w:val="0"/>
      <w:marTop w:val="0"/>
      <w:marBottom w:val="0"/>
      <w:divBdr>
        <w:top w:val="none" w:sz="0" w:space="0" w:color="auto"/>
        <w:left w:val="none" w:sz="0" w:space="0" w:color="auto"/>
        <w:bottom w:val="none" w:sz="0" w:space="0" w:color="auto"/>
        <w:right w:val="none" w:sz="0" w:space="0" w:color="auto"/>
      </w:divBdr>
    </w:div>
    <w:div w:id="846754148">
      <w:bodyDiv w:val="1"/>
      <w:marLeft w:val="0"/>
      <w:marRight w:val="0"/>
      <w:marTop w:val="0"/>
      <w:marBottom w:val="0"/>
      <w:divBdr>
        <w:top w:val="none" w:sz="0" w:space="0" w:color="auto"/>
        <w:left w:val="none" w:sz="0" w:space="0" w:color="auto"/>
        <w:bottom w:val="none" w:sz="0" w:space="0" w:color="auto"/>
        <w:right w:val="none" w:sz="0" w:space="0" w:color="auto"/>
      </w:divBdr>
    </w:div>
    <w:div w:id="851336574">
      <w:bodyDiv w:val="1"/>
      <w:marLeft w:val="0"/>
      <w:marRight w:val="0"/>
      <w:marTop w:val="0"/>
      <w:marBottom w:val="0"/>
      <w:divBdr>
        <w:top w:val="none" w:sz="0" w:space="0" w:color="auto"/>
        <w:left w:val="none" w:sz="0" w:space="0" w:color="auto"/>
        <w:bottom w:val="none" w:sz="0" w:space="0" w:color="auto"/>
        <w:right w:val="none" w:sz="0" w:space="0" w:color="auto"/>
      </w:divBdr>
    </w:div>
    <w:div w:id="853375538">
      <w:bodyDiv w:val="1"/>
      <w:marLeft w:val="0"/>
      <w:marRight w:val="0"/>
      <w:marTop w:val="0"/>
      <w:marBottom w:val="0"/>
      <w:divBdr>
        <w:top w:val="none" w:sz="0" w:space="0" w:color="auto"/>
        <w:left w:val="none" w:sz="0" w:space="0" w:color="auto"/>
        <w:bottom w:val="none" w:sz="0" w:space="0" w:color="auto"/>
        <w:right w:val="none" w:sz="0" w:space="0" w:color="auto"/>
      </w:divBdr>
    </w:div>
    <w:div w:id="855461444">
      <w:bodyDiv w:val="1"/>
      <w:marLeft w:val="0"/>
      <w:marRight w:val="0"/>
      <w:marTop w:val="0"/>
      <w:marBottom w:val="0"/>
      <w:divBdr>
        <w:top w:val="none" w:sz="0" w:space="0" w:color="auto"/>
        <w:left w:val="none" w:sz="0" w:space="0" w:color="auto"/>
        <w:bottom w:val="none" w:sz="0" w:space="0" w:color="auto"/>
        <w:right w:val="none" w:sz="0" w:space="0" w:color="auto"/>
      </w:divBdr>
    </w:div>
    <w:div w:id="871726575">
      <w:bodyDiv w:val="1"/>
      <w:marLeft w:val="0"/>
      <w:marRight w:val="0"/>
      <w:marTop w:val="0"/>
      <w:marBottom w:val="0"/>
      <w:divBdr>
        <w:top w:val="none" w:sz="0" w:space="0" w:color="auto"/>
        <w:left w:val="none" w:sz="0" w:space="0" w:color="auto"/>
        <w:bottom w:val="none" w:sz="0" w:space="0" w:color="auto"/>
        <w:right w:val="none" w:sz="0" w:space="0" w:color="auto"/>
      </w:divBdr>
    </w:div>
    <w:div w:id="878324793">
      <w:bodyDiv w:val="1"/>
      <w:marLeft w:val="0"/>
      <w:marRight w:val="0"/>
      <w:marTop w:val="0"/>
      <w:marBottom w:val="0"/>
      <w:divBdr>
        <w:top w:val="none" w:sz="0" w:space="0" w:color="auto"/>
        <w:left w:val="none" w:sz="0" w:space="0" w:color="auto"/>
        <w:bottom w:val="none" w:sz="0" w:space="0" w:color="auto"/>
        <w:right w:val="none" w:sz="0" w:space="0" w:color="auto"/>
      </w:divBdr>
    </w:div>
    <w:div w:id="886380766">
      <w:bodyDiv w:val="1"/>
      <w:marLeft w:val="0"/>
      <w:marRight w:val="0"/>
      <w:marTop w:val="0"/>
      <w:marBottom w:val="0"/>
      <w:divBdr>
        <w:top w:val="none" w:sz="0" w:space="0" w:color="auto"/>
        <w:left w:val="none" w:sz="0" w:space="0" w:color="auto"/>
        <w:bottom w:val="none" w:sz="0" w:space="0" w:color="auto"/>
        <w:right w:val="none" w:sz="0" w:space="0" w:color="auto"/>
      </w:divBdr>
    </w:div>
    <w:div w:id="889464347">
      <w:bodyDiv w:val="1"/>
      <w:marLeft w:val="0"/>
      <w:marRight w:val="0"/>
      <w:marTop w:val="0"/>
      <w:marBottom w:val="0"/>
      <w:divBdr>
        <w:top w:val="none" w:sz="0" w:space="0" w:color="auto"/>
        <w:left w:val="none" w:sz="0" w:space="0" w:color="auto"/>
        <w:bottom w:val="none" w:sz="0" w:space="0" w:color="auto"/>
        <w:right w:val="none" w:sz="0" w:space="0" w:color="auto"/>
      </w:divBdr>
    </w:div>
    <w:div w:id="895968589">
      <w:bodyDiv w:val="1"/>
      <w:marLeft w:val="0"/>
      <w:marRight w:val="0"/>
      <w:marTop w:val="0"/>
      <w:marBottom w:val="0"/>
      <w:divBdr>
        <w:top w:val="none" w:sz="0" w:space="0" w:color="auto"/>
        <w:left w:val="none" w:sz="0" w:space="0" w:color="auto"/>
        <w:bottom w:val="none" w:sz="0" w:space="0" w:color="auto"/>
        <w:right w:val="none" w:sz="0" w:space="0" w:color="auto"/>
      </w:divBdr>
    </w:div>
    <w:div w:id="897013337">
      <w:bodyDiv w:val="1"/>
      <w:marLeft w:val="0"/>
      <w:marRight w:val="0"/>
      <w:marTop w:val="0"/>
      <w:marBottom w:val="0"/>
      <w:divBdr>
        <w:top w:val="none" w:sz="0" w:space="0" w:color="auto"/>
        <w:left w:val="none" w:sz="0" w:space="0" w:color="auto"/>
        <w:bottom w:val="none" w:sz="0" w:space="0" w:color="auto"/>
        <w:right w:val="none" w:sz="0" w:space="0" w:color="auto"/>
      </w:divBdr>
    </w:div>
    <w:div w:id="908154225">
      <w:bodyDiv w:val="1"/>
      <w:marLeft w:val="0"/>
      <w:marRight w:val="0"/>
      <w:marTop w:val="0"/>
      <w:marBottom w:val="0"/>
      <w:divBdr>
        <w:top w:val="none" w:sz="0" w:space="0" w:color="auto"/>
        <w:left w:val="none" w:sz="0" w:space="0" w:color="auto"/>
        <w:bottom w:val="none" w:sz="0" w:space="0" w:color="auto"/>
        <w:right w:val="none" w:sz="0" w:space="0" w:color="auto"/>
      </w:divBdr>
    </w:div>
    <w:div w:id="910389210">
      <w:bodyDiv w:val="1"/>
      <w:marLeft w:val="0"/>
      <w:marRight w:val="0"/>
      <w:marTop w:val="0"/>
      <w:marBottom w:val="0"/>
      <w:divBdr>
        <w:top w:val="none" w:sz="0" w:space="0" w:color="auto"/>
        <w:left w:val="none" w:sz="0" w:space="0" w:color="auto"/>
        <w:bottom w:val="none" w:sz="0" w:space="0" w:color="auto"/>
        <w:right w:val="none" w:sz="0" w:space="0" w:color="auto"/>
      </w:divBdr>
    </w:div>
    <w:div w:id="911551073">
      <w:bodyDiv w:val="1"/>
      <w:marLeft w:val="0"/>
      <w:marRight w:val="0"/>
      <w:marTop w:val="0"/>
      <w:marBottom w:val="0"/>
      <w:divBdr>
        <w:top w:val="none" w:sz="0" w:space="0" w:color="auto"/>
        <w:left w:val="none" w:sz="0" w:space="0" w:color="auto"/>
        <w:bottom w:val="none" w:sz="0" w:space="0" w:color="auto"/>
        <w:right w:val="none" w:sz="0" w:space="0" w:color="auto"/>
      </w:divBdr>
    </w:div>
    <w:div w:id="916397864">
      <w:bodyDiv w:val="1"/>
      <w:marLeft w:val="0"/>
      <w:marRight w:val="0"/>
      <w:marTop w:val="0"/>
      <w:marBottom w:val="0"/>
      <w:divBdr>
        <w:top w:val="none" w:sz="0" w:space="0" w:color="auto"/>
        <w:left w:val="none" w:sz="0" w:space="0" w:color="auto"/>
        <w:bottom w:val="none" w:sz="0" w:space="0" w:color="auto"/>
        <w:right w:val="none" w:sz="0" w:space="0" w:color="auto"/>
      </w:divBdr>
    </w:div>
    <w:div w:id="929971413">
      <w:bodyDiv w:val="1"/>
      <w:marLeft w:val="0"/>
      <w:marRight w:val="0"/>
      <w:marTop w:val="0"/>
      <w:marBottom w:val="0"/>
      <w:divBdr>
        <w:top w:val="none" w:sz="0" w:space="0" w:color="auto"/>
        <w:left w:val="none" w:sz="0" w:space="0" w:color="auto"/>
        <w:bottom w:val="none" w:sz="0" w:space="0" w:color="auto"/>
        <w:right w:val="none" w:sz="0" w:space="0" w:color="auto"/>
      </w:divBdr>
    </w:div>
    <w:div w:id="937178719">
      <w:bodyDiv w:val="1"/>
      <w:marLeft w:val="0"/>
      <w:marRight w:val="0"/>
      <w:marTop w:val="0"/>
      <w:marBottom w:val="0"/>
      <w:divBdr>
        <w:top w:val="none" w:sz="0" w:space="0" w:color="auto"/>
        <w:left w:val="none" w:sz="0" w:space="0" w:color="auto"/>
        <w:bottom w:val="none" w:sz="0" w:space="0" w:color="auto"/>
        <w:right w:val="none" w:sz="0" w:space="0" w:color="auto"/>
      </w:divBdr>
      <w:divsChild>
        <w:div w:id="1315181379">
          <w:marLeft w:val="0"/>
          <w:marRight w:val="0"/>
          <w:marTop w:val="0"/>
          <w:marBottom w:val="0"/>
          <w:divBdr>
            <w:top w:val="none" w:sz="0" w:space="0" w:color="auto"/>
            <w:left w:val="none" w:sz="0" w:space="0" w:color="auto"/>
            <w:bottom w:val="none" w:sz="0" w:space="0" w:color="auto"/>
            <w:right w:val="none" w:sz="0" w:space="0" w:color="auto"/>
          </w:divBdr>
          <w:divsChild>
            <w:div w:id="1319461620">
              <w:marLeft w:val="0"/>
              <w:marRight w:val="0"/>
              <w:marTop w:val="0"/>
              <w:marBottom w:val="0"/>
              <w:divBdr>
                <w:top w:val="none" w:sz="0" w:space="0" w:color="auto"/>
                <w:left w:val="none" w:sz="0" w:space="0" w:color="auto"/>
                <w:bottom w:val="none" w:sz="0" w:space="0" w:color="auto"/>
                <w:right w:val="none" w:sz="0" w:space="0" w:color="auto"/>
              </w:divBdr>
              <w:divsChild>
                <w:div w:id="2053384954">
                  <w:marLeft w:val="0"/>
                  <w:marRight w:val="0"/>
                  <w:marTop w:val="0"/>
                  <w:marBottom w:val="0"/>
                  <w:divBdr>
                    <w:top w:val="none" w:sz="0" w:space="0" w:color="auto"/>
                    <w:left w:val="none" w:sz="0" w:space="0" w:color="auto"/>
                    <w:bottom w:val="none" w:sz="0" w:space="0" w:color="auto"/>
                    <w:right w:val="none" w:sz="0" w:space="0" w:color="auto"/>
                  </w:divBdr>
                  <w:divsChild>
                    <w:div w:id="188372010">
                      <w:marLeft w:val="0"/>
                      <w:marRight w:val="0"/>
                      <w:marTop w:val="0"/>
                      <w:marBottom w:val="0"/>
                      <w:divBdr>
                        <w:top w:val="none" w:sz="0" w:space="0" w:color="auto"/>
                        <w:left w:val="none" w:sz="0" w:space="0" w:color="auto"/>
                        <w:bottom w:val="none" w:sz="0" w:space="0" w:color="auto"/>
                        <w:right w:val="none" w:sz="0" w:space="0" w:color="auto"/>
                      </w:divBdr>
                      <w:divsChild>
                        <w:div w:id="17631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82606">
          <w:marLeft w:val="0"/>
          <w:marRight w:val="0"/>
          <w:marTop w:val="0"/>
          <w:marBottom w:val="0"/>
          <w:divBdr>
            <w:top w:val="none" w:sz="0" w:space="0" w:color="auto"/>
            <w:left w:val="none" w:sz="0" w:space="0" w:color="auto"/>
            <w:bottom w:val="none" w:sz="0" w:space="0" w:color="auto"/>
            <w:right w:val="none" w:sz="0" w:space="0" w:color="auto"/>
          </w:divBdr>
          <w:divsChild>
            <w:div w:id="1491750736">
              <w:marLeft w:val="0"/>
              <w:marRight w:val="0"/>
              <w:marTop w:val="0"/>
              <w:marBottom w:val="0"/>
              <w:divBdr>
                <w:top w:val="none" w:sz="0" w:space="0" w:color="auto"/>
                <w:left w:val="none" w:sz="0" w:space="0" w:color="auto"/>
                <w:bottom w:val="none" w:sz="0" w:space="0" w:color="auto"/>
                <w:right w:val="none" w:sz="0" w:space="0" w:color="auto"/>
              </w:divBdr>
              <w:divsChild>
                <w:div w:id="1926987704">
                  <w:marLeft w:val="0"/>
                  <w:marRight w:val="0"/>
                  <w:marTop w:val="0"/>
                  <w:marBottom w:val="0"/>
                  <w:divBdr>
                    <w:top w:val="none" w:sz="0" w:space="0" w:color="auto"/>
                    <w:left w:val="none" w:sz="0" w:space="0" w:color="auto"/>
                    <w:bottom w:val="none" w:sz="0" w:space="0" w:color="auto"/>
                    <w:right w:val="none" w:sz="0" w:space="0" w:color="auto"/>
                  </w:divBdr>
                  <w:divsChild>
                    <w:div w:id="1349939985">
                      <w:marLeft w:val="0"/>
                      <w:marRight w:val="0"/>
                      <w:marTop w:val="0"/>
                      <w:marBottom w:val="0"/>
                      <w:divBdr>
                        <w:top w:val="none" w:sz="0" w:space="0" w:color="auto"/>
                        <w:left w:val="none" w:sz="0" w:space="0" w:color="auto"/>
                        <w:bottom w:val="none" w:sz="0" w:space="0" w:color="auto"/>
                        <w:right w:val="none" w:sz="0" w:space="0" w:color="auto"/>
                      </w:divBdr>
                      <w:divsChild>
                        <w:div w:id="210877118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0129">
          <w:marLeft w:val="0"/>
          <w:marRight w:val="0"/>
          <w:marTop w:val="0"/>
          <w:marBottom w:val="0"/>
          <w:divBdr>
            <w:top w:val="none" w:sz="0" w:space="0" w:color="auto"/>
            <w:left w:val="none" w:sz="0" w:space="0" w:color="auto"/>
            <w:bottom w:val="none" w:sz="0" w:space="0" w:color="auto"/>
            <w:right w:val="none" w:sz="0" w:space="0" w:color="auto"/>
          </w:divBdr>
          <w:divsChild>
            <w:div w:id="1123697100">
              <w:marLeft w:val="0"/>
              <w:marRight w:val="0"/>
              <w:marTop w:val="0"/>
              <w:marBottom w:val="0"/>
              <w:divBdr>
                <w:top w:val="none" w:sz="0" w:space="0" w:color="auto"/>
                <w:left w:val="none" w:sz="0" w:space="0" w:color="auto"/>
                <w:bottom w:val="none" w:sz="0" w:space="0" w:color="auto"/>
                <w:right w:val="none" w:sz="0" w:space="0" w:color="auto"/>
              </w:divBdr>
              <w:divsChild>
                <w:div w:id="1084456819">
                  <w:marLeft w:val="0"/>
                  <w:marRight w:val="0"/>
                  <w:marTop w:val="0"/>
                  <w:marBottom w:val="150"/>
                  <w:divBdr>
                    <w:top w:val="none" w:sz="0" w:space="0" w:color="auto"/>
                    <w:left w:val="none" w:sz="0" w:space="0" w:color="auto"/>
                    <w:bottom w:val="none" w:sz="0" w:space="0" w:color="auto"/>
                    <w:right w:val="none" w:sz="0" w:space="0" w:color="auto"/>
                  </w:divBdr>
                  <w:divsChild>
                    <w:div w:id="1893881483">
                      <w:marLeft w:val="0"/>
                      <w:marRight w:val="0"/>
                      <w:marTop w:val="0"/>
                      <w:marBottom w:val="0"/>
                      <w:divBdr>
                        <w:top w:val="none" w:sz="0" w:space="0" w:color="auto"/>
                        <w:left w:val="none" w:sz="0" w:space="0" w:color="auto"/>
                        <w:bottom w:val="none" w:sz="0" w:space="0" w:color="auto"/>
                        <w:right w:val="none" w:sz="0" w:space="0" w:color="auto"/>
                      </w:divBdr>
                    </w:div>
                  </w:divsChild>
                </w:div>
                <w:div w:id="1021784019">
                  <w:marLeft w:val="0"/>
                  <w:marRight w:val="0"/>
                  <w:marTop w:val="75"/>
                  <w:marBottom w:val="0"/>
                  <w:divBdr>
                    <w:top w:val="none" w:sz="0" w:space="0" w:color="auto"/>
                    <w:left w:val="none" w:sz="0" w:space="0" w:color="auto"/>
                    <w:bottom w:val="none" w:sz="0" w:space="0" w:color="auto"/>
                    <w:right w:val="none" w:sz="0" w:space="0" w:color="auto"/>
                  </w:divBdr>
                  <w:divsChild>
                    <w:div w:id="1061438794">
                      <w:marLeft w:val="0"/>
                      <w:marRight w:val="0"/>
                      <w:marTop w:val="0"/>
                      <w:marBottom w:val="0"/>
                      <w:divBdr>
                        <w:top w:val="none" w:sz="0" w:space="0" w:color="auto"/>
                        <w:left w:val="none" w:sz="0" w:space="0" w:color="auto"/>
                        <w:bottom w:val="none" w:sz="0" w:space="0" w:color="auto"/>
                        <w:right w:val="none" w:sz="0" w:space="0" w:color="auto"/>
                      </w:divBdr>
                      <w:divsChild>
                        <w:div w:id="1356737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37366566">
      <w:bodyDiv w:val="1"/>
      <w:marLeft w:val="0"/>
      <w:marRight w:val="0"/>
      <w:marTop w:val="0"/>
      <w:marBottom w:val="0"/>
      <w:divBdr>
        <w:top w:val="none" w:sz="0" w:space="0" w:color="auto"/>
        <w:left w:val="none" w:sz="0" w:space="0" w:color="auto"/>
        <w:bottom w:val="none" w:sz="0" w:space="0" w:color="auto"/>
        <w:right w:val="none" w:sz="0" w:space="0" w:color="auto"/>
      </w:divBdr>
    </w:div>
    <w:div w:id="960452313">
      <w:bodyDiv w:val="1"/>
      <w:marLeft w:val="0"/>
      <w:marRight w:val="0"/>
      <w:marTop w:val="0"/>
      <w:marBottom w:val="0"/>
      <w:divBdr>
        <w:top w:val="none" w:sz="0" w:space="0" w:color="auto"/>
        <w:left w:val="none" w:sz="0" w:space="0" w:color="auto"/>
        <w:bottom w:val="none" w:sz="0" w:space="0" w:color="auto"/>
        <w:right w:val="none" w:sz="0" w:space="0" w:color="auto"/>
      </w:divBdr>
    </w:div>
    <w:div w:id="962812427">
      <w:bodyDiv w:val="1"/>
      <w:marLeft w:val="0"/>
      <w:marRight w:val="0"/>
      <w:marTop w:val="0"/>
      <w:marBottom w:val="0"/>
      <w:divBdr>
        <w:top w:val="none" w:sz="0" w:space="0" w:color="auto"/>
        <w:left w:val="none" w:sz="0" w:space="0" w:color="auto"/>
        <w:bottom w:val="none" w:sz="0" w:space="0" w:color="auto"/>
        <w:right w:val="none" w:sz="0" w:space="0" w:color="auto"/>
      </w:divBdr>
    </w:div>
    <w:div w:id="964114925">
      <w:bodyDiv w:val="1"/>
      <w:marLeft w:val="0"/>
      <w:marRight w:val="0"/>
      <w:marTop w:val="0"/>
      <w:marBottom w:val="0"/>
      <w:divBdr>
        <w:top w:val="none" w:sz="0" w:space="0" w:color="auto"/>
        <w:left w:val="none" w:sz="0" w:space="0" w:color="auto"/>
        <w:bottom w:val="none" w:sz="0" w:space="0" w:color="auto"/>
        <w:right w:val="none" w:sz="0" w:space="0" w:color="auto"/>
      </w:divBdr>
    </w:div>
    <w:div w:id="964316862">
      <w:bodyDiv w:val="1"/>
      <w:marLeft w:val="0"/>
      <w:marRight w:val="0"/>
      <w:marTop w:val="0"/>
      <w:marBottom w:val="0"/>
      <w:divBdr>
        <w:top w:val="none" w:sz="0" w:space="0" w:color="auto"/>
        <w:left w:val="none" w:sz="0" w:space="0" w:color="auto"/>
        <w:bottom w:val="none" w:sz="0" w:space="0" w:color="auto"/>
        <w:right w:val="none" w:sz="0" w:space="0" w:color="auto"/>
      </w:divBdr>
    </w:div>
    <w:div w:id="984700993">
      <w:bodyDiv w:val="1"/>
      <w:marLeft w:val="0"/>
      <w:marRight w:val="0"/>
      <w:marTop w:val="0"/>
      <w:marBottom w:val="0"/>
      <w:divBdr>
        <w:top w:val="none" w:sz="0" w:space="0" w:color="auto"/>
        <w:left w:val="none" w:sz="0" w:space="0" w:color="auto"/>
        <w:bottom w:val="none" w:sz="0" w:space="0" w:color="auto"/>
        <w:right w:val="none" w:sz="0" w:space="0" w:color="auto"/>
      </w:divBdr>
    </w:div>
    <w:div w:id="987783144">
      <w:bodyDiv w:val="1"/>
      <w:marLeft w:val="0"/>
      <w:marRight w:val="0"/>
      <w:marTop w:val="0"/>
      <w:marBottom w:val="0"/>
      <w:divBdr>
        <w:top w:val="none" w:sz="0" w:space="0" w:color="auto"/>
        <w:left w:val="none" w:sz="0" w:space="0" w:color="auto"/>
        <w:bottom w:val="none" w:sz="0" w:space="0" w:color="auto"/>
        <w:right w:val="none" w:sz="0" w:space="0" w:color="auto"/>
      </w:divBdr>
    </w:div>
    <w:div w:id="994605679">
      <w:bodyDiv w:val="1"/>
      <w:marLeft w:val="0"/>
      <w:marRight w:val="0"/>
      <w:marTop w:val="0"/>
      <w:marBottom w:val="0"/>
      <w:divBdr>
        <w:top w:val="none" w:sz="0" w:space="0" w:color="auto"/>
        <w:left w:val="none" w:sz="0" w:space="0" w:color="auto"/>
        <w:bottom w:val="none" w:sz="0" w:space="0" w:color="auto"/>
        <w:right w:val="none" w:sz="0" w:space="0" w:color="auto"/>
      </w:divBdr>
    </w:div>
    <w:div w:id="1003971229">
      <w:bodyDiv w:val="1"/>
      <w:marLeft w:val="0"/>
      <w:marRight w:val="0"/>
      <w:marTop w:val="0"/>
      <w:marBottom w:val="0"/>
      <w:divBdr>
        <w:top w:val="none" w:sz="0" w:space="0" w:color="auto"/>
        <w:left w:val="none" w:sz="0" w:space="0" w:color="auto"/>
        <w:bottom w:val="none" w:sz="0" w:space="0" w:color="auto"/>
        <w:right w:val="none" w:sz="0" w:space="0" w:color="auto"/>
      </w:divBdr>
    </w:div>
    <w:div w:id="1006782296">
      <w:bodyDiv w:val="1"/>
      <w:marLeft w:val="0"/>
      <w:marRight w:val="0"/>
      <w:marTop w:val="0"/>
      <w:marBottom w:val="0"/>
      <w:divBdr>
        <w:top w:val="none" w:sz="0" w:space="0" w:color="auto"/>
        <w:left w:val="none" w:sz="0" w:space="0" w:color="auto"/>
        <w:bottom w:val="none" w:sz="0" w:space="0" w:color="auto"/>
        <w:right w:val="none" w:sz="0" w:space="0" w:color="auto"/>
      </w:divBdr>
    </w:div>
    <w:div w:id="1011377982">
      <w:bodyDiv w:val="1"/>
      <w:marLeft w:val="0"/>
      <w:marRight w:val="0"/>
      <w:marTop w:val="0"/>
      <w:marBottom w:val="0"/>
      <w:divBdr>
        <w:top w:val="none" w:sz="0" w:space="0" w:color="auto"/>
        <w:left w:val="none" w:sz="0" w:space="0" w:color="auto"/>
        <w:bottom w:val="none" w:sz="0" w:space="0" w:color="auto"/>
        <w:right w:val="none" w:sz="0" w:space="0" w:color="auto"/>
      </w:divBdr>
    </w:div>
    <w:div w:id="1030766164">
      <w:bodyDiv w:val="1"/>
      <w:marLeft w:val="0"/>
      <w:marRight w:val="0"/>
      <w:marTop w:val="0"/>
      <w:marBottom w:val="0"/>
      <w:divBdr>
        <w:top w:val="none" w:sz="0" w:space="0" w:color="auto"/>
        <w:left w:val="none" w:sz="0" w:space="0" w:color="auto"/>
        <w:bottom w:val="none" w:sz="0" w:space="0" w:color="auto"/>
        <w:right w:val="none" w:sz="0" w:space="0" w:color="auto"/>
      </w:divBdr>
    </w:div>
    <w:div w:id="1032270356">
      <w:bodyDiv w:val="1"/>
      <w:marLeft w:val="0"/>
      <w:marRight w:val="0"/>
      <w:marTop w:val="0"/>
      <w:marBottom w:val="0"/>
      <w:divBdr>
        <w:top w:val="none" w:sz="0" w:space="0" w:color="auto"/>
        <w:left w:val="none" w:sz="0" w:space="0" w:color="auto"/>
        <w:bottom w:val="none" w:sz="0" w:space="0" w:color="auto"/>
        <w:right w:val="none" w:sz="0" w:space="0" w:color="auto"/>
      </w:divBdr>
    </w:div>
    <w:div w:id="1034232092">
      <w:bodyDiv w:val="1"/>
      <w:marLeft w:val="0"/>
      <w:marRight w:val="0"/>
      <w:marTop w:val="0"/>
      <w:marBottom w:val="0"/>
      <w:divBdr>
        <w:top w:val="none" w:sz="0" w:space="0" w:color="auto"/>
        <w:left w:val="none" w:sz="0" w:space="0" w:color="auto"/>
        <w:bottom w:val="none" w:sz="0" w:space="0" w:color="auto"/>
        <w:right w:val="none" w:sz="0" w:space="0" w:color="auto"/>
      </w:divBdr>
    </w:div>
    <w:div w:id="1042050954">
      <w:bodyDiv w:val="1"/>
      <w:marLeft w:val="0"/>
      <w:marRight w:val="0"/>
      <w:marTop w:val="0"/>
      <w:marBottom w:val="0"/>
      <w:divBdr>
        <w:top w:val="none" w:sz="0" w:space="0" w:color="auto"/>
        <w:left w:val="none" w:sz="0" w:space="0" w:color="auto"/>
        <w:bottom w:val="none" w:sz="0" w:space="0" w:color="auto"/>
        <w:right w:val="none" w:sz="0" w:space="0" w:color="auto"/>
      </w:divBdr>
    </w:div>
    <w:div w:id="1047146445">
      <w:bodyDiv w:val="1"/>
      <w:marLeft w:val="0"/>
      <w:marRight w:val="0"/>
      <w:marTop w:val="0"/>
      <w:marBottom w:val="0"/>
      <w:divBdr>
        <w:top w:val="none" w:sz="0" w:space="0" w:color="auto"/>
        <w:left w:val="none" w:sz="0" w:space="0" w:color="auto"/>
        <w:bottom w:val="none" w:sz="0" w:space="0" w:color="auto"/>
        <w:right w:val="none" w:sz="0" w:space="0" w:color="auto"/>
      </w:divBdr>
    </w:div>
    <w:div w:id="1048799408">
      <w:bodyDiv w:val="1"/>
      <w:marLeft w:val="0"/>
      <w:marRight w:val="0"/>
      <w:marTop w:val="0"/>
      <w:marBottom w:val="0"/>
      <w:divBdr>
        <w:top w:val="none" w:sz="0" w:space="0" w:color="auto"/>
        <w:left w:val="none" w:sz="0" w:space="0" w:color="auto"/>
        <w:bottom w:val="none" w:sz="0" w:space="0" w:color="auto"/>
        <w:right w:val="none" w:sz="0" w:space="0" w:color="auto"/>
      </w:divBdr>
    </w:div>
    <w:div w:id="1048989677">
      <w:bodyDiv w:val="1"/>
      <w:marLeft w:val="0"/>
      <w:marRight w:val="0"/>
      <w:marTop w:val="0"/>
      <w:marBottom w:val="0"/>
      <w:divBdr>
        <w:top w:val="none" w:sz="0" w:space="0" w:color="auto"/>
        <w:left w:val="none" w:sz="0" w:space="0" w:color="auto"/>
        <w:bottom w:val="none" w:sz="0" w:space="0" w:color="auto"/>
        <w:right w:val="none" w:sz="0" w:space="0" w:color="auto"/>
      </w:divBdr>
    </w:div>
    <w:div w:id="1055155577">
      <w:bodyDiv w:val="1"/>
      <w:marLeft w:val="0"/>
      <w:marRight w:val="0"/>
      <w:marTop w:val="0"/>
      <w:marBottom w:val="0"/>
      <w:divBdr>
        <w:top w:val="none" w:sz="0" w:space="0" w:color="auto"/>
        <w:left w:val="none" w:sz="0" w:space="0" w:color="auto"/>
        <w:bottom w:val="none" w:sz="0" w:space="0" w:color="auto"/>
        <w:right w:val="none" w:sz="0" w:space="0" w:color="auto"/>
      </w:divBdr>
    </w:div>
    <w:div w:id="1056006140">
      <w:bodyDiv w:val="1"/>
      <w:marLeft w:val="0"/>
      <w:marRight w:val="0"/>
      <w:marTop w:val="0"/>
      <w:marBottom w:val="0"/>
      <w:divBdr>
        <w:top w:val="none" w:sz="0" w:space="0" w:color="auto"/>
        <w:left w:val="none" w:sz="0" w:space="0" w:color="auto"/>
        <w:bottom w:val="none" w:sz="0" w:space="0" w:color="auto"/>
        <w:right w:val="none" w:sz="0" w:space="0" w:color="auto"/>
      </w:divBdr>
    </w:div>
    <w:div w:id="1059590201">
      <w:bodyDiv w:val="1"/>
      <w:marLeft w:val="0"/>
      <w:marRight w:val="0"/>
      <w:marTop w:val="0"/>
      <w:marBottom w:val="0"/>
      <w:divBdr>
        <w:top w:val="none" w:sz="0" w:space="0" w:color="auto"/>
        <w:left w:val="none" w:sz="0" w:space="0" w:color="auto"/>
        <w:bottom w:val="none" w:sz="0" w:space="0" w:color="auto"/>
        <w:right w:val="none" w:sz="0" w:space="0" w:color="auto"/>
      </w:divBdr>
    </w:div>
    <w:div w:id="1065833173">
      <w:bodyDiv w:val="1"/>
      <w:marLeft w:val="0"/>
      <w:marRight w:val="0"/>
      <w:marTop w:val="0"/>
      <w:marBottom w:val="0"/>
      <w:divBdr>
        <w:top w:val="none" w:sz="0" w:space="0" w:color="auto"/>
        <w:left w:val="none" w:sz="0" w:space="0" w:color="auto"/>
        <w:bottom w:val="none" w:sz="0" w:space="0" w:color="auto"/>
        <w:right w:val="none" w:sz="0" w:space="0" w:color="auto"/>
      </w:divBdr>
    </w:div>
    <w:div w:id="1067655006">
      <w:bodyDiv w:val="1"/>
      <w:marLeft w:val="0"/>
      <w:marRight w:val="0"/>
      <w:marTop w:val="0"/>
      <w:marBottom w:val="0"/>
      <w:divBdr>
        <w:top w:val="none" w:sz="0" w:space="0" w:color="auto"/>
        <w:left w:val="none" w:sz="0" w:space="0" w:color="auto"/>
        <w:bottom w:val="none" w:sz="0" w:space="0" w:color="auto"/>
        <w:right w:val="none" w:sz="0" w:space="0" w:color="auto"/>
      </w:divBdr>
    </w:div>
    <w:div w:id="1070270076">
      <w:bodyDiv w:val="1"/>
      <w:marLeft w:val="0"/>
      <w:marRight w:val="0"/>
      <w:marTop w:val="0"/>
      <w:marBottom w:val="0"/>
      <w:divBdr>
        <w:top w:val="none" w:sz="0" w:space="0" w:color="auto"/>
        <w:left w:val="none" w:sz="0" w:space="0" w:color="auto"/>
        <w:bottom w:val="none" w:sz="0" w:space="0" w:color="auto"/>
        <w:right w:val="none" w:sz="0" w:space="0" w:color="auto"/>
      </w:divBdr>
    </w:div>
    <w:div w:id="1075786836">
      <w:bodyDiv w:val="1"/>
      <w:marLeft w:val="0"/>
      <w:marRight w:val="0"/>
      <w:marTop w:val="0"/>
      <w:marBottom w:val="0"/>
      <w:divBdr>
        <w:top w:val="none" w:sz="0" w:space="0" w:color="auto"/>
        <w:left w:val="none" w:sz="0" w:space="0" w:color="auto"/>
        <w:bottom w:val="none" w:sz="0" w:space="0" w:color="auto"/>
        <w:right w:val="none" w:sz="0" w:space="0" w:color="auto"/>
      </w:divBdr>
    </w:div>
    <w:div w:id="1077677185">
      <w:bodyDiv w:val="1"/>
      <w:marLeft w:val="0"/>
      <w:marRight w:val="0"/>
      <w:marTop w:val="0"/>
      <w:marBottom w:val="0"/>
      <w:divBdr>
        <w:top w:val="none" w:sz="0" w:space="0" w:color="auto"/>
        <w:left w:val="none" w:sz="0" w:space="0" w:color="auto"/>
        <w:bottom w:val="none" w:sz="0" w:space="0" w:color="auto"/>
        <w:right w:val="none" w:sz="0" w:space="0" w:color="auto"/>
      </w:divBdr>
    </w:div>
    <w:div w:id="1078943374">
      <w:bodyDiv w:val="1"/>
      <w:marLeft w:val="0"/>
      <w:marRight w:val="0"/>
      <w:marTop w:val="0"/>
      <w:marBottom w:val="0"/>
      <w:divBdr>
        <w:top w:val="none" w:sz="0" w:space="0" w:color="auto"/>
        <w:left w:val="none" w:sz="0" w:space="0" w:color="auto"/>
        <w:bottom w:val="none" w:sz="0" w:space="0" w:color="auto"/>
        <w:right w:val="none" w:sz="0" w:space="0" w:color="auto"/>
      </w:divBdr>
    </w:div>
    <w:div w:id="1079596804">
      <w:bodyDiv w:val="1"/>
      <w:marLeft w:val="0"/>
      <w:marRight w:val="0"/>
      <w:marTop w:val="0"/>
      <w:marBottom w:val="0"/>
      <w:divBdr>
        <w:top w:val="none" w:sz="0" w:space="0" w:color="auto"/>
        <w:left w:val="none" w:sz="0" w:space="0" w:color="auto"/>
        <w:bottom w:val="none" w:sz="0" w:space="0" w:color="auto"/>
        <w:right w:val="none" w:sz="0" w:space="0" w:color="auto"/>
      </w:divBdr>
      <w:divsChild>
        <w:div w:id="1024555036">
          <w:marLeft w:val="0"/>
          <w:marRight w:val="0"/>
          <w:marTop w:val="0"/>
          <w:marBottom w:val="0"/>
          <w:divBdr>
            <w:top w:val="none" w:sz="0" w:space="0" w:color="auto"/>
            <w:left w:val="none" w:sz="0" w:space="0" w:color="auto"/>
            <w:bottom w:val="none" w:sz="0" w:space="0" w:color="auto"/>
            <w:right w:val="none" w:sz="0" w:space="0" w:color="auto"/>
          </w:divBdr>
          <w:divsChild>
            <w:div w:id="728724656">
              <w:marLeft w:val="0"/>
              <w:marRight w:val="0"/>
              <w:marTop w:val="0"/>
              <w:marBottom w:val="0"/>
              <w:divBdr>
                <w:top w:val="none" w:sz="0" w:space="0" w:color="auto"/>
                <w:left w:val="none" w:sz="0" w:space="0" w:color="auto"/>
                <w:bottom w:val="none" w:sz="0" w:space="0" w:color="auto"/>
                <w:right w:val="none" w:sz="0" w:space="0" w:color="auto"/>
              </w:divBdr>
              <w:divsChild>
                <w:div w:id="46877732">
                  <w:marLeft w:val="0"/>
                  <w:marRight w:val="0"/>
                  <w:marTop w:val="0"/>
                  <w:marBottom w:val="0"/>
                  <w:divBdr>
                    <w:top w:val="none" w:sz="0" w:space="0" w:color="auto"/>
                    <w:left w:val="none" w:sz="0" w:space="0" w:color="auto"/>
                    <w:bottom w:val="none" w:sz="0" w:space="0" w:color="auto"/>
                    <w:right w:val="none" w:sz="0" w:space="0" w:color="auto"/>
                  </w:divBdr>
                  <w:divsChild>
                    <w:div w:id="756905425">
                      <w:marLeft w:val="0"/>
                      <w:marRight w:val="0"/>
                      <w:marTop w:val="0"/>
                      <w:marBottom w:val="0"/>
                      <w:divBdr>
                        <w:top w:val="none" w:sz="0" w:space="0" w:color="auto"/>
                        <w:left w:val="none" w:sz="0" w:space="0" w:color="auto"/>
                        <w:bottom w:val="none" w:sz="0" w:space="0" w:color="auto"/>
                        <w:right w:val="none" w:sz="0" w:space="0" w:color="auto"/>
                      </w:divBdr>
                      <w:divsChild>
                        <w:div w:id="21032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39666">
          <w:marLeft w:val="0"/>
          <w:marRight w:val="0"/>
          <w:marTop w:val="0"/>
          <w:marBottom w:val="0"/>
          <w:divBdr>
            <w:top w:val="none" w:sz="0" w:space="0" w:color="auto"/>
            <w:left w:val="none" w:sz="0" w:space="0" w:color="auto"/>
            <w:bottom w:val="none" w:sz="0" w:space="0" w:color="auto"/>
            <w:right w:val="none" w:sz="0" w:space="0" w:color="auto"/>
          </w:divBdr>
          <w:divsChild>
            <w:div w:id="1214003500">
              <w:marLeft w:val="0"/>
              <w:marRight w:val="0"/>
              <w:marTop w:val="0"/>
              <w:marBottom w:val="0"/>
              <w:divBdr>
                <w:top w:val="none" w:sz="0" w:space="0" w:color="auto"/>
                <w:left w:val="none" w:sz="0" w:space="0" w:color="auto"/>
                <w:bottom w:val="none" w:sz="0" w:space="0" w:color="auto"/>
                <w:right w:val="none" w:sz="0" w:space="0" w:color="auto"/>
              </w:divBdr>
              <w:divsChild>
                <w:div w:id="17242229">
                  <w:marLeft w:val="0"/>
                  <w:marRight w:val="0"/>
                  <w:marTop w:val="0"/>
                  <w:marBottom w:val="0"/>
                  <w:divBdr>
                    <w:top w:val="none" w:sz="0" w:space="0" w:color="auto"/>
                    <w:left w:val="none" w:sz="0" w:space="0" w:color="auto"/>
                    <w:bottom w:val="none" w:sz="0" w:space="0" w:color="auto"/>
                    <w:right w:val="none" w:sz="0" w:space="0" w:color="auto"/>
                  </w:divBdr>
                  <w:divsChild>
                    <w:div w:id="93212447">
                      <w:marLeft w:val="0"/>
                      <w:marRight w:val="0"/>
                      <w:marTop w:val="0"/>
                      <w:marBottom w:val="0"/>
                      <w:divBdr>
                        <w:top w:val="none" w:sz="0" w:space="0" w:color="auto"/>
                        <w:left w:val="none" w:sz="0" w:space="0" w:color="auto"/>
                        <w:bottom w:val="none" w:sz="0" w:space="0" w:color="auto"/>
                        <w:right w:val="none" w:sz="0" w:space="0" w:color="auto"/>
                      </w:divBdr>
                      <w:divsChild>
                        <w:div w:id="179786617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6238">
          <w:marLeft w:val="0"/>
          <w:marRight w:val="0"/>
          <w:marTop w:val="0"/>
          <w:marBottom w:val="0"/>
          <w:divBdr>
            <w:top w:val="none" w:sz="0" w:space="0" w:color="auto"/>
            <w:left w:val="none" w:sz="0" w:space="0" w:color="auto"/>
            <w:bottom w:val="none" w:sz="0" w:space="0" w:color="auto"/>
            <w:right w:val="none" w:sz="0" w:space="0" w:color="auto"/>
          </w:divBdr>
          <w:divsChild>
            <w:div w:id="1397583379">
              <w:marLeft w:val="0"/>
              <w:marRight w:val="0"/>
              <w:marTop w:val="0"/>
              <w:marBottom w:val="0"/>
              <w:divBdr>
                <w:top w:val="none" w:sz="0" w:space="0" w:color="auto"/>
                <w:left w:val="none" w:sz="0" w:space="0" w:color="auto"/>
                <w:bottom w:val="none" w:sz="0" w:space="0" w:color="auto"/>
                <w:right w:val="none" w:sz="0" w:space="0" w:color="auto"/>
              </w:divBdr>
              <w:divsChild>
                <w:div w:id="461311090">
                  <w:marLeft w:val="0"/>
                  <w:marRight w:val="0"/>
                  <w:marTop w:val="0"/>
                  <w:marBottom w:val="150"/>
                  <w:divBdr>
                    <w:top w:val="none" w:sz="0" w:space="0" w:color="auto"/>
                    <w:left w:val="none" w:sz="0" w:space="0" w:color="auto"/>
                    <w:bottom w:val="none" w:sz="0" w:space="0" w:color="auto"/>
                    <w:right w:val="none" w:sz="0" w:space="0" w:color="auto"/>
                  </w:divBdr>
                  <w:divsChild>
                    <w:div w:id="147209057">
                      <w:marLeft w:val="0"/>
                      <w:marRight w:val="0"/>
                      <w:marTop w:val="0"/>
                      <w:marBottom w:val="0"/>
                      <w:divBdr>
                        <w:top w:val="none" w:sz="0" w:space="0" w:color="auto"/>
                        <w:left w:val="none" w:sz="0" w:space="0" w:color="auto"/>
                        <w:bottom w:val="none" w:sz="0" w:space="0" w:color="auto"/>
                        <w:right w:val="none" w:sz="0" w:space="0" w:color="auto"/>
                      </w:divBdr>
                    </w:div>
                  </w:divsChild>
                </w:div>
                <w:div w:id="1243487283">
                  <w:marLeft w:val="0"/>
                  <w:marRight w:val="0"/>
                  <w:marTop w:val="75"/>
                  <w:marBottom w:val="0"/>
                  <w:divBdr>
                    <w:top w:val="none" w:sz="0" w:space="0" w:color="auto"/>
                    <w:left w:val="none" w:sz="0" w:space="0" w:color="auto"/>
                    <w:bottom w:val="none" w:sz="0" w:space="0" w:color="auto"/>
                    <w:right w:val="none" w:sz="0" w:space="0" w:color="auto"/>
                  </w:divBdr>
                  <w:divsChild>
                    <w:div w:id="613514898">
                      <w:marLeft w:val="0"/>
                      <w:marRight w:val="0"/>
                      <w:marTop w:val="0"/>
                      <w:marBottom w:val="0"/>
                      <w:divBdr>
                        <w:top w:val="none" w:sz="0" w:space="0" w:color="auto"/>
                        <w:left w:val="none" w:sz="0" w:space="0" w:color="auto"/>
                        <w:bottom w:val="none" w:sz="0" w:space="0" w:color="auto"/>
                        <w:right w:val="none" w:sz="0" w:space="0" w:color="auto"/>
                      </w:divBdr>
                      <w:divsChild>
                        <w:div w:id="28103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2486577">
      <w:bodyDiv w:val="1"/>
      <w:marLeft w:val="0"/>
      <w:marRight w:val="0"/>
      <w:marTop w:val="0"/>
      <w:marBottom w:val="0"/>
      <w:divBdr>
        <w:top w:val="none" w:sz="0" w:space="0" w:color="auto"/>
        <w:left w:val="none" w:sz="0" w:space="0" w:color="auto"/>
        <w:bottom w:val="none" w:sz="0" w:space="0" w:color="auto"/>
        <w:right w:val="none" w:sz="0" w:space="0" w:color="auto"/>
      </w:divBdr>
    </w:div>
    <w:div w:id="1126042437">
      <w:bodyDiv w:val="1"/>
      <w:marLeft w:val="0"/>
      <w:marRight w:val="0"/>
      <w:marTop w:val="0"/>
      <w:marBottom w:val="0"/>
      <w:divBdr>
        <w:top w:val="none" w:sz="0" w:space="0" w:color="auto"/>
        <w:left w:val="none" w:sz="0" w:space="0" w:color="auto"/>
        <w:bottom w:val="none" w:sz="0" w:space="0" w:color="auto"/>
        <w:right w:val="none" w:sz="0" w:space="0" w:color="auto"/>
      </w:divBdr>
    </w:div>
    <w:div w:id="1138458188">
      <w:bodyDiv w:val="1"/>
      <w:marLeft w:val="0"/>
      <w:marRight w:val="0"/>
      <w:marTop w:val="0"/>
      <w:marBottom w:val="0"/>
      <w:divBdr>
        <w:top w:val="none" w:sz="0" w:space="0" w:color="auto"/>
        <w:left w:val="none" w:sz="0" w:space="0" w:color="auto"/>
        <w:bottom w:val="none" w:sz="0" w:space="0" w:color="auto"/>
        <w:right w:val="none" w:sz="0" w:space="0" w:color="auto"/>
      </w:divBdr>
    </w:div>
    <w:div w:id="1152217594">
      <w:bodyDiv w:val="1"/>
      <w:marLeft w:val="0"/>
      <w:marRight w:val="0"/>
      <w:marTop w:val="0"/>
      <w:marBottom w:val="0"/>
      <w:divBdr>
        <w:top w:val="none" w:sz="0" w:space="0" w:color="auto"/>
        <w:left w:val="none" w:sz="0" w:space="0" w:color="auto"/>
        <w:bottom w:val="none" w:sz="0" w:space="0" w:color="auto"/>
        <w:right w:val="none" w:sz="0" w:space="0" w:color="auto"/>
      </w:divBdr>
    </w:div>
    <w:div w:id="1152478571">
      <w:bodyDiv w:val="1"/>
      <w:marLeft w:val="0"/>
      <w:marRight w:val="0"/>
      <w:marTop w:val="0"/>
      <w:marBottom w:val="0"/>
      <w:divBdr>
        <w:top w:val="none" w:sz="0" w:space="0" w:color="auto"/>
        <w:left w:val="none" w:sz="0" w:space="0" w:color="auto"/>
        <w:bottom w:val="none" w:sz="0" w:space="0" w:color="auto"/>
        <w:right w:val="none" w:sz="0" w:space="0" w:color="auto"/>
      </w:divBdr>
    </w:div>
    <w:div w:id="1158225105">
      <w:bodyDiv w:val="1"/>
      <w:marLeft w:val="0"/>
      <w:marRight w:val="0"/>
      <w:marTop w:val="0"/>
      <w:marBottom w:val="0"/>
      <w:divBdr>
        <w:top w:val="none" w:sz="0" w:space="0" w:color="auto"/>
        <w:left w:val="none" w:sz="0" w:space="0" w:color="auto"/>
        <w:bottom w:val="none" w:sz="0" w:space="0" w:color="auto"/>
        <w:right w:val="none" w:sz="0" w:space="0" w:color="auto"/>
      </w:divBdr>
    </w:div>
    <w:div w:id="1181119376">
      <w:bodyDiv w:val="1"/>
      <w:marLeft w:val="0"/>
      <w:marRight w:val="0"/>
      <w:marTop w:val="0"/>
      <w:marBottom w:val="0"/>
      <w:divBdr>
        <w:top w:val="none" w:sz="0" w:space="0" w:color="auto"/>
        <w:left w:val="none" w:sz="0" w:space="0" w:color="auto"/>
        <w:bottom w:val="none" w:sz="0" w:space="0" w:color="auto"/>
        <w:right w:val="none" w:sz="0" w:space="0" w:color="auto"/>
      </w:divBdr>
    </w:div>
    <w:div w:id="1185287953">
      <w:bodyDiv w:val="1"/>
      <w:marLeft w:val="0"/>
      <w:marRight w:val="0"/>
      <w:marTop w:val="0"/>
      <w:marBottom w:val="0"/>
      <w:divBdr>
        <w:top w:val="none" w:sz="0" w:space="0" w:color="auto"/>
        <w:left w:val="none" w:sz="0" w:space="0" w:color="auto"/>
        <w:bottom w:val="none" w:sz="0" w:space="0" w:color="auto"/>
        <w:right w:val="none" w:sz="0" w:space="0" w:color="auto"/>
      </w:divBdr>
    </w:div>
    <w:div w:id="1191185112">
      <w:bodyDiv w:val="1"/>
      <w:marLeft w:val="0"/>
      <w:marRight w:val="0"/>
      <w:marTop w:val="0"/>
      <w:marBottom w:val="0"/>
      <w:divBdr>
        <w:top w:val="none" w:sz="0" w:space="0" w:color="auto"/>
        <w:left w:val="none" w:sz="0" w:space="0" w:color="auto"/>
        <w:bottom w:val="none" w:sz="0" w:space="0" w:color="auto"/>
        <w:right w:val="none" w:sz="0" w:space="0" w:color="auto"/>
      </w:divBdr>
    </w:div>
    <w:div w:id="1192494104">
      <w:bodyDiv w:val="1"/>
      <w:marLeft w:val="0"/>
      <w:marRight w:val="0"/>
      <w:marTop w:val="0"/>
      <w:marBottom w:val="0"/>
      <w:divBdr>
        <w:top w:val="none" w:sz="0" w:space="0" w:color="auto"/>
        <w:left w:val="none" w:sz="0" w:space="0" w:color="auto"/>
        <w:bottom w:val="none" w:sz="0" w:space="0" w:color="auto"/>
        <w:right w:val="none" w:sz="0" w:space="0" w:color="auto"/>
      </w:divBdr>
    </w:div>
    <w:div w:id="1218778203">
      <w:bodyDiv w:val="1"/>
      <w:marLeft w:val="0"/>
      <w:marRight w:val="0"/>
      <w:marTop w:val="0"/>
      <w:marBottom w:val="0"/>
      <w:divBdr>
        <w:top w:val="none" w:sz="0" w:space="0" w:color="auto"/>
        <w:left w:val="none" w:sz="0" w:space="0" w:color="auto"/>
        <w:bottom w:val="none" w:sz="0" w:space="0" w:color="auto"/>
        <w:right w:val="none" w:sz="0" w:space="0" w:color="auto"/>
      </w:divBdr>
    </w:div>
    <w:div w:id="1223911255">
      <w:bodyDiv w:val="1"/>
      <w:marLeft w:val="0"/>
      <w:marRight w:val="0"/>
      <w:marTop w:val="0"/>
      <w:marBottom w:val="0"/>
      <w:divBdr>
        <w:top w:val="none" w:sz="0" w:space="0" w:color="auto"/>
        <w:left w:val="none" w:sz="0" w:space="0" w:color="auto"/>
        <w:bottom w:val="none" w:sz="0" w:space="0" w:color="auto"/>
        <w:right w:val="none" w:sz="0" w:space="0" w:color="auto"/>
      </w:divBdr>
    </w:div>
    <w:div w:id="1227371676">
      <w:bodyDiv w:val="1"/>
      <w:marLeft w:val="0"/>
      <w:marRight w:val="0"/>
      <w:marTop w:val="0"/>
      <w:marBottom w:val="0"/>
      <w:divBdr>
        <w:top w:val="none" w:sz="0" w:space="0" w:color="auto"/>
        <w:left w:val="none" w:sz="0" w:space="0" w:color="auto"/>
        <w:bottom w:val="none" w:sz="0" w:space="0" w:color="auto"/>
        <w:right w:val="none" w:sz="0" w:space="0" w:color="auto"/>
      </w:divBdr>
    </w:div>
    <w:div w:id="1235244169">
      <w:bodyDiv w:val="1"/>
      <w:marLeft w:val="0"/>
      <w:marRight w:val="0"/>
      <w:marTop w:val="0"/>
      <w:marBottom w:val="0"/>
      <w:divBdr>
        <w:top w:val="none" w:sz="0" w:space="0" w:color="auto"/>
        <w:left w:val="none" w:sz="0" w:space="0" w:color="auto"/>
        <w:bottom w:val="none" w:sz="0" w:space="0" w:color="auto"/>
        <w:right w:val="none" w:sz="0" w:space="0" w:color="auto"/>
      </w:divBdr>
    </w:div>
    <w:div w:id="1246573421">
      <w:bodyDiv w:val="1"/>
      <w:marLeft w:val="0"/>
      <w:marRight w:val="0"/>
      <w:marTop w:val="0"/>
      <w:marBottom w:val="0"/>
      <w:divBdr>
        <w:top w:val="none" w:sz="0" w:space="0" w:color="auto"/>
        <w:left w:val="none" w:sz="0" w:space="0" w:color="auto"/>
        <w:bottom w:val="none" w:sz="0" w:space="0" w:color="auto"/>
        <w:right w:val="none" w:sz="0" w:space="0" w:color="auto"/>
      </w:divBdr>
    </w:div>
    <w:div w:id="1267927663">
      <w:bodyDiv w:val="1"/>
      <w:marLeft w:val="0"/>
      <w:marRight w:val="0"/>
      <w:marTop w:val="0"/>
      <w:marBottom w:val="0"/>
      <w:divBdr>
        <w:top w:val="none" w:sz="0" w:space="0" w:color="auto"/>
        <w:left w:val="none" w:sz="0" w:space="0" w:color="auto"/>
        <w:bottom w:val="none" w:sz="0" w:space="0" w:color="auto"/>
        <w:right w:val="none" w:sz="0" w:space="0" w:color="auto"/>
      </w:divBdr>
    </w:div>
    <w:div w:id="1270041144">
      <w:bodyDiv w:val="1"/>
      <w:marLeft w:val="0"/>
      <w:marRight w:val="0"/>
      <w:marTop w:val="0"/>
      <w:marBottom w:val="0"/>
      <w:divBdr>
        <w:top w:val="none" w:sz="0" w:space="0" w:color="auto"/>
        <w:left w:val="none" w:sz="0" w:space="0" w:color="auto"/>
        <w:bottom w:val="none" w:sz="0" w:space="0" w:color="auto"/>
        <w:right w:val="none" w:sz="0" w:space="0" w:color="auto"/>
      </w:divBdr>
      <w:divsChild>
        <w:div w:id="918444861">
          <w:marLeft w:val="0"/>
          <w:marRight w:val="0"/>
          <w:marTop w:val="0"/>
          <w:marBottom w:val="0"/>
          <w:divBdr>
            <w:top w:val="none" w:sz="0" w:space="0" w:color="auto"/>
            <w:left w:val="none" w:sz="0" w:space="0" w:color="auto"/>
            <w:bottom w:val="none" w:sz="0" w:space="0" w:color="auto"/>
            <w:right w:val="none" w:sz="0" w:space="0" w:color="auto"/>
          </w:divBdr>
          <w:divsChild>
            <w:div w:id="150754478">
              <w:marLeft w:val="0"/>
              <w:marRight w:val="0"/>
              <w:marTop w:val="0"/>
              <w:marBottom w:val="0"/>
              <w:divBdr>
                <w:top w:val="none" w:sz="0" w:space="0" w:color="auto"/>
                <w:left w:val="none" w:sz="0" w:space="0" w:color="auto"/>
                <w:bottom w:val="none" w:sz="0" w:space="0" w:color="auto"/>
                <w:right w:val="none" w:sz="0" w:space="0" w:color="auto"/>
              </w:divBdr>
              <w:divsChild>
                <w:div w:id="128599105">
                  <w:marLeft w:val="0"/>
                  <w:marRight w:val="0"/>
                  <w:marTop w:val="0"/>
                  <w:marBottom w:val="0"/>
                  <w:divBdr>
                    <w:top w:val="none" w:sz="0" w:space="0" w:color="auto"/>
                    <w:left w:val="none" w:sz="0" w:space="0" w:color="auto"/>
                    <w:bottom w:val="none" w:sz="0" w:space="0" w:color="auto"/>
                    <w:right w:val="none" w:sz="0" w:space="0" w:color="auto"/>
                  </w:divBdr>
                  <w:divsChild>
                    <w:div w:id="995034486">
                      <w:marLeft w:val="0"/>
                      <w:marRight w:val="0"/>
                      <w:marTop w:val="0"/>
                      <w:marBottom w:val="0"/>
                      <w:divBdr>
                        <w:top w:val="none" w:sz="0" w:space="0" w:color="auto"/>
                        <w:left w:val="none" w:sz="0" w:space="0" w:color="auto"/>
                        <w:bottom w:val="none" w:sz="0" w:space="0" w:color="auto"/>
                        <w:right w:val="none" w:sz="0" w:space="0" w:color="auto"/>
                      </w:divBdr>
                      <w:divsChild>
                        <w:div w:id="16172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8155">
          <w:marLeft w:val="0"/>
          <w:marRight w:val="0"/>
          <w:marTop w:val="0"/>
          <w:marBottom w:val="0"/>
          <w:divBdr>
            <w:top w:val="none" w:sz="0" w:space="0" w:color="auto"/>
            <w:left w:val="none" w:sz="0" w:space="0" w:color="auto"/>
            <w:bottom w:val="none" w:sz="0" w:space="0" w:color="auto"/>
            <w:right w:val="none" w:sz="0" w:space="0" w:color="auto"/>
          </w:divBdr>
          <w:divsChild>
            <w:div w:id="1548754990">
              <w:marLeft w:val="0"/>
              <w:marRight w:val="0"/>
              <w:marTop w:val="0"/>
              <w:marBottom w:val="0"/>
              <w:divBdr>
                <w:top w:val="none" w:sz="0" w:space="0" w:color="auto"/>
                <w:left w:val="none" w:sz="0" w:space="0" w:color="auto"/>
                <w:bottom w:val="none" w:sz="0" w:space="0" w:color="auto"/>
                <w:right w:val="none" w:sz="0" w:space="0" w:color="auto"/>
              </w:divBdr>
              <w:divsChild>
                <w:div w:id="572548255">
                  <w:marLeft w:val="0"/>
                  <w:marRight w:val="0"/>
                  <w:marTop w:val="0"/>
                  <w:marBottom w:val="0"/>
                  <w:divBdr>
                    <w:top w:val="none" w:sz="0" w:space="0" w:color="auto"/>
                    <w:left w:val="none" w:sz="0" w:space="0" w:color="auto"/>
                    <w:bottom w:val="none" w:sz="0" w:space="0" w:color="auto"/>
                    <w:right w:val="none" w:sz="0" w:space="0" w:color="auto"/>
                  </w:divBdr>
                  <w:divsChild>
                    <w:div w:id="369380889">
                      <w:marLeft w:val="0"/>
                      <w:marRight w:val="0"/>
                      <w:marTop w:val="0"/>
                      <w:marBottom w:val="0"/>
                      <w:divBdr>
                        <w:top w:val="none" w:sz="0" w:space="0" w:color="auto"/>
                        <w:left w:val="none" w:sz="0" w:space="0" w:color="auto"/>
                        <w:bottom w:val="none" w:sz="0" w:space="0" w:color="auto"/>
                        <w:right w:val="none" w:sz="0" w:space="0" w:color="auto"/>
                      </w:divBdr>
                      <w:divsChild>
                        <w:div w:id="1340549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56144">
          <w:marLeft w:val="0"/>
          <w:marRight w:val="0"/>
          <w:marTop w:val="0"/>
          <w:marBottom w:val="0"/>
          <w:divBdr>
            <w:top w:val="none" w:sz="0" w:space="0" w:color="auto"/>
            <w:left w:val="none" w:sz="0" w:space="0" w:color="auto"/>
            <w:bottom w:val="none" w:sz="0" w:space="0" w:color="auto"/>
            <w:right w:val="none" w:sz="0" w:space="0" w:color="auto"/>
          </w:divBdr>
          <w:divsChild>
            <w:div w:id="1487891385">
              <w:marLeft w:val="0"/>
              <w:marRight w:val="0"/>
              <w:marTop w:val="0"/>
              <w:marBottom w:val="0"/>
              <w:divBdr>
                <w:top w:val="none" w:sz="0" w:space="0" w:color="auto"/>
                <w:left w:val="none" w:sz="0" w:space="0" w:color="auto"/>
                <w:bottom w:val="none" w:sz="0" w:space="0" w:color="auto"/>
                <w:right w:val="none" w:sz="0" w:space="0" w:color="auto"/>
              </w:divBdr>
              <w:divsChild>
                <w:div w:id="753893303">
                  <w:marLeft w:val="0"/>
                  <w:marRight w:val="0"/>
                  <w:marTop w:val="0"/>
                  <w:marBottom w:val="150"/>
                  <w:divBdr>
                    <w:top w:val="none" w:sz="0" w:space="0" w:color="auto"/>
                    <w:left w:val="none" w:sz="0" w:space="0" w:color="auto"/>
                    <w:bottom w:val="none" w:sz="0" w:space="0" w:color="auto"/>
                    <w:right w:val="none" w:sz="0" w:space="0" w:color="auto"/>
                  </w:divBdr>
                  <w:divsChild>
                    <w:div w:id="1048139853">
                      <w:marLeft w:val="0"/>
                      <w:marRight w:val="0"/>
                      <w:marTop w:val="0"/>
                      <w:marBottom w:val="0"/>
                      <w:divBdr>
                        <w:top w:val="none" w:sz="0" w:space="0" w:color="auto"/>
                        <w:left w:val="none" w:sz="0" w:space="0" w:color="auto"/>
                        <w:bottom w:val="none" w:sz="0" w:space="0" w:color="auto"/>
                        <w:right w:val="none" w:sz="0" w:space="0" w:color="auto"/>
                      </w:divBdr>
                    </w:div>
                  </w:divsChild>
                </w:div>
                <w:div w:id="1302424783">
                  <w:marLeft w:val="0"/>
                  <w:marRight w:val="0"/>
                  <w:marTop w:val="75"/>
                  <w:marBottom w:val="0"/>
                  <w:divBdr>
                    <w:top w:val="none" w:sz="0" w:space="0" w:color="auto"/>
                    <w:left w:val="none" w:sz="0" w:space="0" w:color="auto"/>
                    <w:bottom w:val="none" w:sz="0" w:space="0" w:color="auto"/>
                    <w:right w:val="none" w:sz="0" w:space="0" w:color="auto"/>
                  </w:divBdr>
                  <w:divsChild>
                    <w:div w:id="340090999">
                      <w:marLeft w:val="0"/>
                      <w:marRight w:val="0"/>
                      <w:marTop w:val="0"/>
                      <w:marBottom w:val="0"/>
                      <w:divBdr>
                        <w:top w:val="none" w:sz="0" w:space="0" w:color="auto"/>
                        <w:left w:val="none" w:sz="0" w:space="0" w:color="auto"/>
                        <w:bottom w:val="none" w:sz="0" w:space="0" w:color="auto"/>
                        <w:right w:val="none" w:sz="0" w:space="0" w:color="auto"/>
                      </w:divBdr>
                      <w:divsChild>
                        <w:div w:id="884676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2779059">
      <w:bodyDiv w:val="1"/>
      <w:marLeft w:val="0"/>
      <w:marRight w:val="0"/>
      <w:marTop w:val="0"/>
      <w:marBottom w:val="0"/>
      <w:divBdr>
        <w:top w:val="none" w:sz="0" w:space="0" w:color="auto"/>
        <w:left w:val="none" w:sz="0" w:space="0" w:color="auto"/>
        <w:bottom w:val="none" w:sz="0" w:space="0" w:color="auto"/>
        <w:right w:val="none" w:sz="0" w:space="0" w:color="auto"/>
      </w:divBdr>
    </w:div>
    <w:div w:id="1273633870">
      <w:bodyDiv w:val="1"/>
      <w:marLeft w:val="0"/>
      <w:marRight w:val="0"/>
      <w:marTop w:val="0"/>
      <w:marBottom w:val="0"/>
      <w:divBdr>
        <w:top w:val="none" w:sz="0" w:space="0" w:color="auto"/>
        <w:left w:val="none" w:sz="0" w:space="0" w:color="auto"/>
        <w:bottom w:val="none" w:sz="0" w:space="0" w:color="auto"/>
        <w:right w:val="none" w:sz="0" w:space="0" w:color="auto"/>
      </w:divBdr>
    </w:div>
    <w:div w:id="1279796118">
      <w:bodyDiv w:val="1"/>
      <w:marLeft w:val="0"/>
      <w:marRight w:val="0"/>
      <w:marTop w:val="0"/>
      <w:marBottom w:val="0"/>
      <w:divBdr>
        <w:top w:val="none" w:sz="0" w:space="0" w:color="auto"/>
        <w:left w:val="none" w:sz="0" w:space="0" w:color="auto"/>
        <w:bottom w:val="none" w:sz="0" w:space="0" w:color="auto"/>
        <w:right w:val="none" w:sz="0" w:space="0" w:color="auto"/>
      </w:divBdr>
    </w:div>
    <w:div w:id="1281916126">
      <w:bodyDiv w:val="1"/>
      <w:marLeft w:val="0"/>
      <w:marRight w:val="0"/>
      <w:marTop w:val="0"/>
      <w:marBottom w:val="0"/>
      <w:divBdr>
        <w:top w:val="none" w:sz="0" w:space="0" w:color="auto"/>
        <w:left w:val="none" w:sz="0" w:space="0" w:color="auto"/>
        <w:bottom w:val="none" w:sz="0" w:space="0" w:color="auto"/>
        <w:right w:val="none" w:sz="0" w:space="0" w:color="auto"/>
      </w:divBdr>
    </w:div>
    <w:div w:id="1282228140">
      <w:bodyDiv w:val="1"/>
      <w:marLeft w:val="0"/>
      <w:marRight w:val="0"/>
      <w:marTop w:val="0"/>
      <w:marBottom w:val="0"/>
      <w:divBdr>
        <w:top w:val="none" w:sz="0" w:space="0" w:color="auto"/>
        <w:left w:val="none" w:sz="0" w:space="0" w:color="auto"/>
        <w:bottom w:val="none" w:sz="0" w:space="0" w:color="auto"/>
        <w:right w:val="none" w:sz="0" w:space="0" w:color="auto"/>
      </w:divBdr>
    </w:div>
    <w:div w:id="1286623281">
      <w:bodyDiv w:val="1"/>
      <w:marLeft w:val="0"/>
      <w:marRight w:val="0"/>
      <w:marTop w:val="0"/>
      <w:marBottom w:val="0"/>
      <w:divBdr>
        <w:top w:val="none" w:sz="0" w:space="0" w:color="auto"/>
        <w:left w:val="none" w:sz="0" w:space="0" w:color="auto"/>
        <w:bottom w:val="none" w:sz="0" w:space="0" w:color="auto"/>
        <w:right w:val="none" w:sz="0" w:space="0" w:color="auto"/>
      </w:divBdr>
    </w:div>
    <w:div w:id="1294873961">
      <w:bodyDiv w:val="1"/>
      <w:marLeft w:val="0"/>
      <w:marRight w:val="0"/>
      <w:marTop w:val="0"/>
      <w:marBottom w:val="0"/>
      <w:divBdr>
        <w:top w:val="none" w:sz="0" w:space="0" w:color="auto"/>
        <w:left w:val="none" w:sz="0" w:space="0" w:color="auto"/>
        <w:bottom w:val="none" w:sz="0" w:space="0" w:color="auto"/>
        <w:right w:val="none" w:sz="0" w:space="0" w:color="auto"/>
      </w:divBdr>
    </w:div>
    <w:div w:id="1306084942">
      <w:bodyDiv w:val="1"/>
      <w:marLeft w:val="0"/>
      <w:marRight w:val="0"/>
      <w:marTop w:val="0"/>
      <w:marBottom w:val="0"/>
      <w:divBdr>
        <w:top w:val="none" w:sz="0" w:space="0" w:color="auto"/>
        <w:left w:val="none" w:sz="0" w:space="0" w:color="auto"/>
        <w:bottom w:val="none" w:sz="0" w:space="0" w:color="auto"/>
        <w:right w:val="none" w:sz="0" w:space="0" w:color="auto"/>
      </w:divBdr>
    </w:div>
    <w:div w:id="1309021269">
      <w:bodyDiv w:val="1"/>
      <w:marLeft w:val="0"/>
      <w:marRight w:val="0"/>
      <w:marTop w:val="0"/>
      <w:marBottom w:val="0"/>
      <w:divBdr>
        <w:top w:val="none" w:sz="0" w:space="0" w:color="auto"/>
        <w:left w:val="none" w:sz="0" w:space="0" w:color="auto"/>
        <w:bottom w:val="none" w:sz="0" w:space="0" w:color="auto"/>
        <w:right w:val="none" w:sz="0" w:space="0" w:color="auto"/>
      </w:divBdr>
    </w:div>
    <w:div w:id="1312322823">
      <w:bodyDiv w:val="1"/>
      <w:marLeft w:val="0"/>
      <w:marRight w:val="0"/>
      <w:marTop w:val="0"/>
      <w:marBottom w:val="0"/>
      <w:divBdr>
        <w:top w:val="none" w:sz="0" w:space="0" w:color="auto"/>
        <w:left w:val="none" w:sz="0" w:space="0" w:color="auto"/>
        <w:bottom w:val="none" w:sz="0" w:space="0" w:color="auto"/>
        <w:right w:val="none" w:sz="0" w:space="0" w:color="auto"/>
      </w:divBdr>
    </w:div>
    <w:div w:id="1331758636">
      <w:bodyDiv w:val="1"/>
      <w:marLeft w:val="0"/>
      <w:marRight w:val="0"/>
      <w:marTop w:val="0"/>
      <w:marBottom w:val="0"/>
      <w:divBdr>
        <w:top w:val="none" w:sz="0" w:space="0" w:color="auto"/>
        <w:left w:val="none" w:sz="0" w:space="0" w:color="auto"/>
        <w:bottom w:val="none" w:sz="0" w:space="0" w:color="auto"/>
        <w:right w:val="none" w:sz="0" w:space="0" w:color="auto"/>
      </w:divBdr>
    </w:div>
    <w:div w:id="1335299171">
      <w:bodyDiv w:val="1"/>
      <w:marLeft w:val="0"/>
      <w:marRight w:val="0"/>
      <w:marTop w:val="0"/>
      <w:marBottom w:val="0"/>
      <w:divBdr>
        <w:top w:val="none" w:sz="0" w:space="0" w:color="auto"/>
        <w:left w:val="none" w:sz="0" w:space="0" w:color="auto"/>
        <w:bottom w:val="none" w:sz="0" w:space="0" w:color="auto"/>
        <w:right w:val="none" w:sz="0" w:space="0" w:color="auto"/>
      </w:divBdr>
    </w:div>
    <w:div w:id="1340888080">
      <w:bodyDiv w:val="1"/>
      <w:marLeft w:val="0"/>
      <w:marRight w:val="0"/>
      <w:marTop w:val="0"/>
      <w:marBottom w:val="0"/>
      <w:divBdr>
        <w:top w:val="none" w:sz="0" w:space="0" w:color="auto"/>
        <w:left w:val="none" w:sz="0" w:space="0" w:color="auto"/>
        <w:bottom w:val="none" w:sz="0" w:space="0" w:color="auto"/>
        <w:right w:val="none" w:sz="0" w:space="0" w:color="auto"/>
      </w:divBdr>
    </w:div>
    <w:div w:id="1342702903">
      <w:bodyDiv w:val="1"/>
      <w:marLeft w:val="0"/>
      <w:marRight w:val="0"/>
      <w:marTop w:val="0"/>
      <w:marBottom w:val="0"/>
      <w:divBdr>
        <w:top w:val="none" w:sz="0" w:space="0" w:color="auto"/>
        <w:left w:val="none" w:sz="0" w:space="0" w:color="auto"/>
        <w:bottom w:val="none" w:sz="0" w:space="0" w:color="auto"/>
        <w:right w:val="none" w:sz="0" w:space="0" w:color="auto"/>
      </w:divBdr>
    </w:div>
    <w:div w:id="1353071410">
      <w:bodyDiv w:val="1"/>
      <w:marLeft w:val="0"/>
      <w:marRight w:val="0"/>
      <w:marTop w:val="0"/>
      <w:marBottom w:val="0"/>
      <w:divBdr>
        <w:top w:val="none" w:sz="0" w:space="0" w:color="auto"/>
        <w:left w:val="none" w:sz="0" w:space="0" w:color="auto"/>
        <w:bottom w:val="none" w:sz="0" w:space="0" w:color="auto"/>
        <w:right w:val="none" w:sz="0" w:space="0" w:color="auto"/>
      </w:divBdr>
      <w:divsChild>
        <w:div w:id="1592621662">
          <w:marLeft w:val="0"/>
          <w:marRight w:val="0"/>
          <w:marTop w:val="0"/>
          <w:marBottom w:val="0"/>
          <w:divBdr>
            <w:top w:val="none" w:sz="0" w:space="0" w:color="auto"/>
            <w:left w:val="none" w:sz="0" w:space="0" w:color="auto"/>
            <w:bottom w:val="none" w:sz="0" w:space="0" w:color="auto"/>
            <w:right w:val="none" w:sz="0" w:space="0" w:color="auto"/>
          </w:divBdr>
          <w:divsChild>
            <w:div w:id="832718405">
              <w:marLeft w:val="0"/>
              <w:marRight w:val="0"/>
              <w:marTop w:val="0"/>
              <w:marBottom w:val="0"/>
              <w:divBdr>
                <w:top w:val="none" w:sz="0" w:space="0" w:color="auto"/>
                <w:left w:val="none" w:sz="0" w:space="0" w:color="auto"/>
                <w:bottom w:val="none" w:sz="0" w:space="0" w:color="auto"/>
                <w:right w:val="none" w:sz="0" w:space="0" w:color="auto"/>
              </w:divBdr>
              <w:divsChild>
                <w:div w:id="597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7407">
          <w:marLeft w:val="0"/>
          <w:marRight w:val="0"/>
          <w:marTop w:val="0"/>
          <w:marBottom w:val="0"/>
          <w:divBdr>
            <w:top w:val="none" w:sz="0" w:space="0" w:color="auto"/>
            <w:left w:val="none" w:sz="0" w:space="0" w:color="auto"/>
            <w:bottom w:val="none" w:sz="0" w:space="0" w:color="auto"/>
            <w:right w:val="none" w:sz="0" w:space="0" w:color="auto"/>
          </w:divBdr>
          <w:divsChild>
            <w:div w:id="3092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0152">
      <w:bodyDiv w:val="1"/>
      <w:marLeft w:val="0"/>
      <w:marRight w:val="0"/>
      <w:marTop w:val="0"/>
      <w:marBottom w:val="0"/>
      <w:divBdr>
        <w:top w:val="none" w:sz="0" w:space="0" w:color="auto"/>
        <w:left w:val="none" w:sz="0" w:space="0" w:color="auto"/>
        <w:bottom w:val="none" w:sz="0" w:space="0" w:color="auto"/>
        <w:right w:val="none" w:sz="0" w:space="0" w:color="auto"/>
      </w:divBdr>
    </w:div>
    <w:div w:id="1354458304">
      <w:bodyDiv w:val="1"/>
      <w:marLeft w:val="0"/>
      <w:marRight w:val="0"/>
      <w:marTop w:val="0"/>
      <w:marBottom w:val="0"/>
      <w:divBdr>
        <w:top w:val="none" w:sz="0" w:space="0" w:color="auto"/>
        <w:left w:val="none" w:sz="0" w:space="0" w:color="auto"/>
        <w:bottom w:val="none" w:sz="0" w:space="0" w:color="auto"/>
        <w:right w:val="none" w:sz="0" w:space="0" w:color="auto"/>
      </w:divBdr>
    </w:div>
    <w:div w:id="1361664935">
      <w:bodyDiv w:val="1"/>
      <w:marLeft w:val="0"/>
      <w:marRight w:val="0"/>
      <w:marTop w:val="0"/>
      <w:marBottom w:val="0"/>
      <w:divBdr>
        <w:top w:val="none" w:sz="0" w:space="0" w:color="auto"/>
        <w:left w:val="none" w:sz="0" w:space="0" w:color="auto"/>
        <w:bottom w:val="none" w:sz="0" w:space="0" w:color="auto"/>
        <w:right w:val="none" w:sz="0" w:space="0" w:color="auto"/>
      </w:divBdr>
    </w:div>
    <w:div w:id="1364552628">
      <w:bodyDiv w:val="1"/>
      <w:marLeft w:val="0"/>
      <w:marRight w:val="0"/>
      <w:marTop w:val="0"/>
      <w:marBottom w:val="0"/>
      <w:divBdr>
        <w:top w:val="none" w:sz="0" w:space="0" w:color="auto"/>
        <w:left w:val="none" w:sz="0" w:space="0" w:color="auto"/>
        <w:bottom w:val="none" w:sz="0" w:space="0" w:color="auto"/>
        <w:right w:val="none" w:sz="0" w:space="0" w:color="auto"/>
      </w:divBdr>
    </w:div>
    <w:div w:id="1366905944">
      <w:bodyDiv w:val="1"/>
      <w:marLeft w:val="0"/>
      <w:marRight w:val="0"/>
      <w:marTop w:val="0"/>
      <w:marBottom w:val="0"/>
      <w:divBdr>
        <w:top w:val="none" w:sz="0" w:space="0" w:color="auto"/>
        <w:left w:val="none" w:sz="0" w:space="0" w:color="auto"/>
        <w:bottom w:val="none" w:sz="0" w:space="0" w:color="auto"/>
        <w:right w:val="none" w:sz="0" w:space="0" w:color="auto"/>
      </w:divBdr>
    </w:div>
    <w:div w:id="1367410380">
      <w:bodyDiv w:val="1"/>
      <w:marLeft w:val="0"/>
      <w:marRight w:val="0"/>
      <w:marTop w:val="0"/>
      <w:marBottom w:val="0"/>
      <w:divBdr>
        <w:top w:val="none" w:sz="0" w:space="0" w:color="auto"/>
        <w:left w:val="none" w:sz="0" w:space="0" w:color="auto"/>
        <w:bottom w:val="none" w:sz="0" w:space="0" w:color="auto"/>
        <w:right w:val="none" w:sz="0" w:space="0" w:color="auto"/>
      </w:divBdr>
    </w:div>
    <w:div w:id="1370882107">
      <w:bodyDiv w:val="1"/>
      <w:marLeft w:val="0"/>
      <w:marRight w:val="0"/>
      <w:marTop w:val="0"/>
      <w:marBottom w:val="0"/>
      <w:divBdr>
        <w:top w:val="none" w:sz="0" w:space="0" w:color="auto"/>
        <w:left w:val="none" w:sz="0" w:space="0" w:color="auto"/>
        <w:bottom w:val="none" w:sz="0" w:space="0" w:color="auto"/>
        <w:right w:val="none" w:sz="0" w:space="0" w:color="auto"/>
      </w:divBdr>
    </w:div>
    <w:div w:id="1390033600">
      <w:bodyDiv w:val="1"/>
      <w:marLeft w:val="0"/>
      <w:marRight w:val="0"/>
      <w:marTop w:val="0"/>
      <w:marBottom w:val="0"/>
      <w:divBdr>
        <w:top w:val="none" w:sz="0" w:space="0" w:color="auto"/>
        <w:left w:val="none" w:sz="0" w:space="0" w:color="auto"/>
        <w:bottom w:val="none" w:sz="0" w:space="0" w:color="auto"/>
        <w:right w:val="none" w:sz="0" w:space="0" w:color="auto"/>
      </w:divBdr>
    </w:div>
    <w:div w:id="1393966964">
      <w:bodyDiv w:val="1"/>
      <w:marLeft w:val="0"/>
      <w:marRight w:val="0"/>
      <w:marTop w:val="0"/>
      <w:marBottom w:val="0"/>
      <w:divBdr>
        <w:top w:val="none" w:sz="0" w:space="0" w:color="auto"/>
        <w:left w:val="none" w:sz="0" w:space="0" w:color="auto"/>
        <w:bottom w:val="none" w:sz="0" w:space="0" w:color="auto"/>
        <w:right w:val="none" w:sz="0" w:space="0" w:color="auto"/>
      </w:divBdr>
    </w:div>
    <w:div w:id="1400782083">
      <w:bodyDiv w:val="1"/>
      <w:marLeft w:val="0"/>
      <w:marRight w:val="0"/>
      <w:marTop w:val="0"/>
      <w:marBottom w:val="0"/>
      <w:divBdr>
        <w:top w:val="none" w:sz="0" w:space="0" w:color="auto"/>
        <w:left w:val="none" w:sz="0" w:space="0" w:color="auto"/>
        <w:bottom w:val="none" w:sz="0" w:space="0" w:color="auto"/>
        <w:right w:val="none" w:sz="0" w:space="0" w:color="auto"/>
      </w:divBdr>
    </w:div>
    <w:div w:id="1404640327">
      <w:bodyDiv w:val="1"/>
      <w:marLeft w:val="0"/>
      <w:marRight w:val="0"/>
      <w:marTop w:val="0"/>
      <w:marBottom w:val="0"/>
      <w:divBdr>
        <w:top w:val="none" w:sz="0" w:space="0" w:color="auto"/>
        <w:left w:val="none" w:sz="0" w:space="0" w:color="auto"/>
        <w:bottom w:val="none" w:sz="0" w:space="0" w:color="auto"/>
        <w:right w:val="none" w:sz="0" w:space="0" w:color="auto"/>
      </w:divBdr>
    </w:div>
    <w:div w:id="1408840327">
      <w:bodyDiv w:val="1"/>
      <w:marLeft w:val="0"/>
      <w:marRight w:val="0"/>
      <w:marTop w:val="0"/>
      <w:marBottom w:val="0"/>
      <w:divBdr>
        <w:top w:val="none" w:sz="0" w:space="0" w:color="auto"/>
        <w:left w:val="none" w:sz="0" w:space="0" w:color="auto"/>
        <w:bottom w:val="none" w:sz="0" w:space="0" w:color="auto"/>
        <w:right w:val="none" w:sz="0" w:space="0" w:color="auto"/>
      </w:divBdr>
    </w:div>
    <w:div w:id="1411393313">
      <w:bodyDiv w:val="1"/>
      <w:marLeft w:val="0"/>
      <w:marRight w:val="0"/>
      <w:marTop w:val="0"/>
      <w:marBottom w:val="0"/>
      <w:divBdr>
        <w:top w:val="none" w:sz="0" w:space="0" w:color="auto"/>
        <w:left w:val="none" w:sz="0" w:space="0" w:color="auto"/>
        <w:bottom w:val="none" w:sz="0" w:space="0" w:color="auto"/>
        <w:right w:val="none" w:sz="0" w:space="0" w:color="auto"/>
      </w:divBdr>
    </w:div>
    <w:div w:id="1412652932">
      <w:bodyDiv w:val="1"/>
      <w:marLeft w:val="0"/>
      <w:marRight w:val="0"/>
      <w:marTop w:val="0"/>
      <w:marBottom w:val="0"/>
      <w:divBdr>
        <w:top w:val="none" w:sz="0" w:space="0" w:color="auto"/>
        <w:left w:val="none" w:sz="0" w:space="0" w:color="auto"/>
        <w:bottom w:val="none" w:sz="0" w:space="0" w:color="auto"/>
        <w:right w:val="none" w:sz="0" w:space="0" w:color="auto"/>
      </w:divBdr>
    </w:div>
    <w:div w:id="1428311124">
      <w:bodyDiv w:val="1"/>
      <w:marLeft w:val="0"/>
      <w:marRight w:val="0"/>
      <w:marTop w:val="0"/>
      <w:marBottom w:val="0"/>
      <w:divBdr>
        <w:top w:val="none" w:sz="0" w:space="0" w:color="auto"/>
        <w:left w:val="none" w:sz="0" w:space="0" w:color="auto"/>
        <w:bottom w:val="none" w:sz="0" w:space="0" w:color="auto"/>
        <w:right w:val="none" w:sz="0" w:space="0" w:color="auto"/>
      </w:divBdr>
    </w:div>
    <w:div w:id="1429279281">
      <w:bodyDiv w:val="1"/>
      <w:marLeft w:val="0"/>
      <w:marRight w:val="0"/>
      <w:marTop w:val="0"/>
      <w:marBottom w:val="0"/>
      <w:divBdr>
        <w:top w:val="none" w:sz="0" w:space="0" w:color="auto"/>
        <w:left w:val="none" w:sz="0" w:space="0" w:color="auto"/>
        <w:bottom w:val="none" w:sz="0" w:space="0" w:color="auto"/>
        <w:right w:val="none" w:sz="0" w:space="0" w:color="auto"/>
      </w:divBdr>
    </w:div>
    <w:div w:id="1433550709">
      <w:bodyDiv w:val="1"/>
      <w:marLeft w:val="0"/>
      <w:marRight w:val="0"/>
      <w:marTop w:val="0"/>
      <w:marBottom w:val="0"/>
      <w:divBdr>
        <w:top w:val="none" w:sz="0" w:space="0" w:color="auto"/>
        <w:left w:val="none" w:sz="0" w:space="0" w:color="auto"/>
        <w:bottom w:val="none" w:sz="0" w:space="0" w:color="auto"/>
        <w:right w:val="none" w:sz="0" w:space="0" w:color="auto"/>
      </w:divBdr>
    </w:div>
    <w:div w:id="1440878659">
      <w:bodyDiv w:val="1"/>
      <w:marLeft w:val="0"/>
      <w:marRight w:val="0"/>
      <w:marTop w:val="0"/>
      <w:marBottom w:val="0"/>
      <w:divBdr>
        <w:top w:val="none" w:sz="0" w:space="0" w:color="auto"/>
        <w:left w:val="none" w:sz="0" w:space="0" w:color="auto"/>
        <w:bottom w:val="none" w:sz="0" w:space="0" w:color="auto"/>
        <w:right w:val="none" w:sz="0" w:space="0" w:color="auto"/>
      </w:divBdr>
    </w:div>
    <w:div w:id="1441757157">
      <w:bodyDiv w:val="1"/>
      <w:marLeft w:val="0"/>
      <w:marRight w:val="0"/>
      <w:marTop w:val="0"/>
      <w:marBottom w:val="0"/>
      <w:divBdr>
        <w:top w:val="none" w:sz="0" w:space="0" w:color="auto"/>
        <w:left w:val="none" w:sz="0" w:space="0" w:color="auto"/>
        <w:bottom w:val="none" w:sz="0" w:space="0" w:color="auto"/>
        <w:right w:val="none" w:sz="0" w:space="0" w:color="auto"/>
      </w:divBdr>
    </w:div>
    <w:div w:id="1442605813">
      <w:bodyDiv w:val="1"/>
      <w:marLeft w:val="0"/>
      <w:marRight w:val="0"/>
      <w:marTop w:val="0"/>
      <w:marBottom w:val="0"/>
      <w:divBdr>
        <w:top w:val="none" w:sz="0" w:space="0" w:color="auto"/>
        <w:left w:val="none" w:sz="0" w:space="0" w:color="auto"/>
        <w:bottom w:val="none" w:sz="0" w:space="0" w:color="auto"/>
        <w:right w:val="none" w:sz="0" w:space="0" w:color="auto"/>
      </w:divBdr>
    </w:div>
    <w:div w:id="1447433009">
      <w:bodyDiv w:val="1"/>
      <w:marLeft w:val="0"/>
      <w:marRight w:val="0"/>
      <w:marTop w:val="0"/>
      <w:marBottom w:val="0"/>
      <w:divBdr>
        <w:top w:val="none" w:sz="0" w:space="0" w:color="auto"/>
        <w:left w:val="none" w:sz="0" w:space="0" w:color="auto"/>
        <w:bottom w:val="none" w:sz="0" w:space="0" w:color="auto"/>
        <w:right w:val="none" w:sz="0" w:space="0" w:color="auto"/>
      </w:divBdr>
      <w:divsChild>
        <w:div w:id="7754862">
          <w:marLeft w:val="0"/>
          <w:marRight w:val="0"/>
          <w:marTop w:val="0"/>
          <w:marBottom w:val="0"/>
          <w:divBdr>
            <w:top w:val="none" w:sz="0" w:space="0" w:color="auto"/>
            <w:left w:val="none" w:sz="0" w:space="0" w:color="auto"/>
            <w:bottom w:val="none" w:sz="0" w:space="0" w:color="auto"/>
            <w:right w:val="none" w:sz="0" w:space="0" w:color="auto"/>
          </w:divBdr>
          <w:divsChild>
            <w:div w:id="463349609">
              <w:marLeft w:val="0"/>
              <w:marRight w:val="0"/>
              <w:marTop w:val="0"/>
              <w:marBottom w:val="0"/>
              <w:divBdr>
                <w:top w:val="none" w:sz="0" w:space="0" w:color="auto"/>
                <w:left w:val="none" w:sz="0" w:space="0" w:color="auto"/>
                <w:bottom w:val="none" w:sz="0" w:space="0" w:color="auto"/>
                <w:right w:val="none" w:sz="0" w:space="0" w:color="auto"/>
              </w:divBdr>
              <w:divsChild>
                <w:div w:id="159545960">
                  <w:marLeft w:val="0"/>
                  <w:marRight w:val="0"/>
                  <w:marTop w:val="0"/>
                  <w:marBottom w:val="0"/>
                  <w:divBdr>
                    <w:top w:val="none" w:sz="0" w:space="0" w:color="auto"/>
                    <w:left w:val="none" w:sz="0" w:space="0" w:color="auto"/>
                    <w:bottom w:val="none" w:sz="0" w:space="0" w:color="auto"/>
                    <w:right w:val="none" w:sz="0" w:space="0" w:color="auto"/>
                  </w:divBdr>
                  <w:divsChild>
                    <w:div w:id="1334533640">
                      <w:marLeft w:val="0"/>
                      <w:marRight w:val="0"/>
                      <w:marTop w:val="0"/>
                      <w:marBottom w:val="0"/>
                      <w:divBdr>
                        <w:top w:val="none" w:sz="0" w:space="0" w:color="auto"/>
                        <w:left w:val="none" w:sz="0" w:space="0" w:color="auto"/>
                        <w:bottom w:val="none" w:sz="0" w:space="0" w:color="auto"/>
                        <w:right w:val="none" w:sz="0" w:space="0" w:color="auto"/>
                      </w:divBdr>
                      <w:divsChild>
                        <w:div w:id="20254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582007">
          <w:marLeft w:val="0"/>
          <w:marRight w:val="0"/>
          <w:marTop w:val="0"/>
          <w:marBottom w:val="0"/>
          <w:divBdr>
            <w:top w:val="none" w:sz="0" w:space="0" w:color="auto"/>
            <w:left w:val="none" w:sz="0" w:space="0" w:color="auto"/>
            <w:bottom w:val="none" w:sz="0" w:space="0" w:color="auto"/>
            <w:right w:val="none" w:sz="0" w:space="0" w:color="auto"/>
          </w:divBdr>
          <w:divsChild>
            <w:div w:id="757823975">
              <w:marLeft w:val="0"/>
              <w:marRight w:val="0"/>
              <w:marTop w:val="0"/>
              <w:marBottom w:val="0"/>
              <w:divBdr>
                <w:top w:val="none" w:sz="0" w:space="0" w:color="auto"/>
                <w:left w:val="none" w:sz="0" w:space="0" w:color="auto"/>
                <w:bottom w:val="none" w:sz="0" w:space="0" w:color="auto"/>
                <w:right w:val="none" w:sz="0" w:space="0" w:color="auto"/>
              </w:divBdr>
              <w:divsChild>
                <w:div w:id="436487354">
                  <w:marLeft w:val="0"/>
                  <w:marRight w:val="0"/>
                  <w:marTop w:val="0"/>
                  <w:marBottom w:val="0"/>
                  <w:divBdr>
                    <w:top w:val="none" w:sz="0" w:space="0" w:color="auto"/>
                    <w:left w:val="none" w:sz="0" w:space="0" w:color="auto"/>
                    <w:bottom w:val="none" w:sz="0" w:space="0" w:color="auto"/>
                    <w:right w:val="none" w:sz="0" w:space="0" w:color="auto"/>
                  </w:divBdr>
                  <w:divsChild>
                    <w:div w:id="876043134">
                      <w:marLeft w:val="0"/>
                      <w:marRight w:val="0"/>
                      <w:marTop w:val="0"/>
                      <w:marBottom w:val="0"/>
                      <w:divBdr>
                        <w:top w:val="none" w:sz="0" w:space="0" w:color="auto"/>
                        <w:left w:val="none" w:sz="0" w:space="0" w:color="auto"/>
                        <w:bottom w:val="none" w:sz="0" w:space="0" w:color="auto"/>
                        <w:right w:val="none" w:sz="0" w:space="0" w:color="auto"/>
                      </w:divBdr>
                      <w:divsChild>
                        <w:div w:id="52193801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51892">
          <w:marLeft w:val="0"/>
          <w:marRight w:val="0"/>
          <w:marTop w:val="0"/>
          <w:marBottom w:val="0"/>
          <w:divBdr>
            <w:top w:val="none" w:sz="0" w:space="0" w:color="auto"/>
            <w:left w:val="none" w:sz="0" w:space="0" w:color="auto"/>
            <w:bottom w:val="none" w:sz="0" w:space="0" w:color="auto"/>
            <w:right w:val="none" w:sz="0" w:space="0" w:color="auto"/>
          </w:divBdr>
          <w:divsChild>
            <w:div w:id="1140615518">
              <w:marLeft w:val="0"/>
              <w:marRight w:val="0"/>
              <w:marTop w:val="0"/>
              <w:marBottom w:val="0"/>
              <w:divBdr>
                <w:top w:val="none" w:sz="0" w:space="0" w:color="auto"/>
                <w:left w:val="none" w:sz="0" w:space="0" w:color="auto"/>
                <w:bottom w:val="none" w:sz="0" w:space="0" w:color="auto"/>
                <w:right w:val="none" w:sz="0" w:space="0" w:color="auto"/>
              </w:divBdr>
              <w:divsChild>
                <w:div w:id="875313167">
                  <w:marLeft w:val="0"/>
                  <w:marRight w:val="0"/>
                  <w:marTop w:val="0"/>
                  <w:marBottom w:val="150"/>
                  <w:divBdr>
                    <w:top w:val="none" w:sz="0" w:space="0" w:color="auto"/>
                    <w:left w:val="none" w:sz="0" w:space="0" w:color="auto"/>
                    <w:bottom w:val="none" w:sz="0" w:space="0" w:color="auto"/>
                    <w:right w:val="none" w:sz="0" w:space="0" w:color="auto"/>
                  </w:divBdr>
                  <w:divsChild>
                    <w:div w:id="2078239052">
                      <w:marLeft w:val="0"/>
                      <w:marRight w:val="0"/>
                      <w:marTop w:val="0"/>
                      <w:marBottom w:val="0"/>
                      <w:divBdr>
                        <w:top w:val="none" w:sz="0" w:space="0" w:color="auto"/>
                        <w:left w:val="none" w:sz="0" w:space="0" w:color="auto"/>
                        <w:bottom w:val="none" w:sz="0" w:space="0" w:color="auto"/>
                        <w:right w:val="none" w:sz="0" w:space="0" w:color="auto"/>
                      </w:divBdr>
                    </w:div>
                  </w:divsChild>
                </w:div>
                <w:div w:id="128208893">
                  <w:marLeft w:val="0"/>
                  <w:marRight w:val="0"/>
                  <w:marTop w:val="75"/>
                  <w:marBottom w:val="0"/>
                  <w:divBdr>
                    <w:top w:val="none" w:sz="0" w:space="0" w:color="auto"/>
                    <w:left w:val="none" w:sz="0" w:space="0" w:color="auto"/>
                    <w:bottom w:val="none" w:sz="0" w:space="0" w:color="auto"/>
                    <w:right w:val="none" w:sz="0" w:space="0" w:color="auto"/>
                  </w:divBdr>
                  <w:divsChild>
                    <w:div w:id="1658269819">
                      <w:marLeft w:val="0"/>
                      <w:marRight w:val="0"/>
                      <w:marTop w:val="0"/>
                      <w:marBottom w:val="0"/>
                      <w:divBdr>
                        <w:top w:val="none" w:sz="0" w:space="0" w:color="auto"/>
                        <w:left w:val="none" w:sz="0" w:space="0" w:color="auto"/>
                        <w:bottom w:val="none" w:sz="0" w:space="0" w:color="auto"/>
                        <w:right w:val="none" w:sz="0" w:space="0" w:color="auto"/>
                      </w:divBdr>
                      <w:divsChild>
                        <w:div w:id="1930042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51778149">
      <w:bodyDiv w:val="1"/>
      <w:marLeft w:val="0"/>
      <w:marRight w:val="0"/>
      <w:marTop w:val="0"/>
      <w:marBottom w:val="0"/>
      <w:divBdr>
        <w:top w:val="none" w:sz="0" w:space="0" w:color="auto"/>
        <w:left w:val="none" w:sz="0" w:space="0" w:color="auto"/>
        <w:bottom w:val="none" w:sz="0" w:space="0" w:color="auto"/>
        <w:right w:val="none" w:sz="0" w:space="0" w:color="auto"/>
      </w:divBdr>
    </w:div>
    <w:div w:id="1452239691">
      <w:bodyDiv w:val="1"/>
      <w:marLeft w:val="0"/>
      <w:marRight w:val="0"/>
      <w:marTop w:val="0"/>
      <w:marBottom w:val="0"/>
      <w:divBdr>
        <w:top w:val="none" w:sz="0" w:space="0" w:color="auto"/>
        <w:left w:val="none" w:sz="0" w:space="0" w:color="auto"/>
        <w:bottom w:val="none" w:sz="0" w:space="0" w:color="auto"/>
        <w:right w:val="none" w:sz="0" w:space="0" w:color="auto"/>
      </w:divBdr>
    </w:div>
    <w:div w:id="1452434417">
      <w:bodyDiv w:val="1"/>
      <w:marLeft w:val="0"/>
      <w:marRight w:val="0"/>
      <w:marTop w:val="0"/>
      <w:marBottom w:val="0"/>
      <w:divBdr>
        <w:top w:val="none" w:sz="0" w:space="0" w:color="auto"/>
        <w:left w:val="none" w:sz="0" w:space="0" w:color="auto"/>
        <w:bottom w:val="none" w:sz="0" w:space="0" w:color="auto"/>
        <w:right w:val="none" w:sz="0" w:space="0" w:color="auto"/>
      </w:divBdr>
    </w:div>
    <w:div w:id="1455754217">
      <w:bodyDiv w:val="1"/>
      <w:marLeft w:val="0"/>
      <w:marRight w:val="0"/>
      <w:marTop w:val="0"/>
      <w:marBottom w:val="0"/>
      <w:divBdr>
        <w:top w:val="none" w:sz="0" w:space="0" w:color="auto"/>
        <w:left w:val="none" w:sz="0" w:space="0" w:color="auto"/>
        <w:bottom w:val="none" w:sz="0" w:space="0" w:color="auto"/>
        <w:right w:val="none" w:sz="0" w:space="0" w:color="auto"/>
      </w:divBdr>
    </w:div>
    <w:div w:id="1458990127">
      <w:bodyDiv w:val="1"/>
      <w:marLeft w:val="0"/>
      <w:marRight w:val="0"/>
      <w:marTop w:val="0"/>
      <w:marBottom w:val="0"/>
      <w:divBdr>
        <w:top w:val="none" w:sz="0" w:space="0" w:color="auto"/>
        <w:left w:val="none" w:sz="0" w:space="0" w:color="auto"/>
        <w:bottom w:val="none" w:sz="0" w:space="0" w:color="auto"/>
        <w:right w:val="none" w:sz="0" w:space="0" w:color="auto"/>
      </w:divBdr>
    </w:div>
    <w:div w:id="1469322258">
      <w:bodyDiv w:val="1"/>
      <w:marLeft w:val="0"/>
      <w:marRight w:val="0"/>
      <w:marTop w:val="0"/>
      <w:marBottom w:val="0"/>
      <w:divBdr>
        <w:top w:val="none" w:sz="0" w:space="0" w:color="auto"/>
        <w:left w:val="none" w:sz="0" w:space="0" w:color="auto"/>
        <w:bottom w:val="none" w:sz="0" w:space="0" w:color="auto"/>
        <w:right w:val="none" w:sz="0" w:space="0" w:color="auto"/>
      </w:divBdr>
    </w:div>
    <w:div w:id="1472089861">
      <w:bodyDiv w:val="1"/>
      <w:marLeft w:val="0"/>
      <w:marRight w:val="0"/>
      <w:marTop w:val="0"/>
      <w:marBottom w:val="0"/>
      <w:divBdr>
        <w:top w:val="none" w:sz="0" w:space="0" w:color="auto"/>
        <w:left w:val="none" w:sz="0" w:space="0" w:color="auto"/>
        <w:bottom w:val="none" w:sz="0" w:space="0" w:color="auto"/>
        <w:right w:val="none" w:sz="0" w:space="0" w:color="auto"/>
      </w:divBdr>
    </w:div>
    <w:div w:id="1474249712">
      <w:bodyDiv w:val="1"/>
      <w:marLeft w:val="0"/>
      <w:marRight w:val="0"/>
      <w:marTop w:val="0"/>
      <w:marBottom w:val="0"/>
      <w:divBdr>
        <w:top w:val="none" w:sz="0" w:space="0" w:color="auto"/>
        <w:left w:val="none" w:sz="0" w:space="0" w:color="auto"/>
        <w:bottom w:val="none" w:sz="0" w:space="0" w:color="auto"/>
        <w:right w:val="none" w:sz="0" w:space="0" w:color="auto"/>
      </w:divBdr>
    </w:div>
    <w:div w:id="1479422813">
      <w:bodyDiv w:val="1"/>
      <w:marLeft w:val="0"/>
      <w:marRight w:val="0"/>
      <w:marTop w:val="0"/>
      <w:marBottom w:val="0"/>
      <w:divBdr>
        <w:top w:val="none" w:sz="0" w:space="0" w:color="auto"/>
        <w:left w:val="none" w:sz="0" w:space="0" w:color="auto"/>
        <w:bottom w:val="none" w:sz="0" w:space="0" w:color="auto"/>
        <w:right w:val="none" w:sz="0" w:space="0" w:color="auto"/>
      </w:divBdr>
    </w:div>
    <w:div w:id="1500383033">
      <w:bodyDiv w:val="1"/>
      <w:marLeft w:val="0"/>
      <w:marRight w:val="0"/>
      <w:marTop w:val="0"/>
      <w:marBottom w:val="0"/>
      <w:divBdr>
        <w:top w:val="none" w:sz="0" w:space="0" w:color="auto"/>
        <w:left w:val="none" w:sz="0" w:space="0" w:color="auto"/>
        <w:bottom w:val="none" w:sz="0" w:space="0" w:color="auto"/>
        <w:right w:val="none" w:sz="0" w:space="0" w:color="auto"/>
      </w:divBdr>
    </w:div>
    <w:div w:id="1508327291">
      <w:bodyDiv w:val="1"/>
      <w:marLeft w:val="0"/>
      <w:marRight w:val="0"/>
      <w:marTop w:val="0"/>
      <w:marBottom w:val="0"/>
      <w:divBdr>
        <w:top w:val="none" w:sz="0" w:space="0" w:color="auto"/>
        <w:left w:val="none" w:sz="0" w:space="0" w:color="auto"/>
        <w:bottom w:val="none" w:sz="0" w:space="0" w:color="auto"/>
        <w:right w:val="none" w:sz="0" w:space="0" w:color="auto"/>
      </w:divBdr>
    </w:div>
    <w:div w:id="1511488485">
      <w:bodyDiv w:val="1"/>
      <w:marLeft w:val="0"/>
      <w:marRight w:val="0"/>
      <w:marTop w:val="0"/>
      <w:marBottom w:val="0"/>
      <w:divBdr>
        <w:top w:val="none" w:sz="0" w:space="0" w:color="auto"/>
        <w:left w:val="none" w:sz="0" w:space="0" w:color="auto"/>
        <w:bottom w:val="none" w:sz="0" w:space="0" w:color="auto"/>
        <w:right w:val="none" w:sz="0" w:space="0" w:color="auto"/>
      </w:divBdr>
    </w:div>
    <w:div w:id="1513179664">
      <w:bodyDiv w:val="1"/>
      <w:marLeft w:val="0"/>
      <w:marRight w:val="0"/>
      <w:marTop w:val="0"/>
      <w:marBottom w:val="0"/>
      <w:divBdr>
        <w:top w:val="none" w:sz="0" w:space="0" w:color="auto"/>
        <w:left w:val="none" w:sz="0" w:space="0" w:color="auto"/>
        <w:bottom w:val="none" w:sz="0" w:space="0" w:color="auto"/>
        <w:right w:val="none" w:sz="0" w:space="0" w:color="auto"/>
      </w:divBdr>
    </w:div>
    <w:div w:id="1522008806">
      <w:bodyDiv w:val="1"/>
      <w:marLeft w:val="0"/>
      <w:marRight w:val="0"/>
      <w:marTop w:val="0"/>
      <w:marBottom w:val="0"/>
      <w:divBdr>
        <w:top w:val="none" w:sz="0" w:space="0" w:color="auto"/>
        <w:left w:val="none" w:sz="0" w:space="0" w:color="auto"/>
        <w:bottom w:val="none" w:sz="0" w:space="0" w:color="auto"/>
        <w:right w:val="none" w:sz="0" w:space="0" w:color="auto"/>
      </w:divBdr>
    </w:div>
    <w:div w:id="1530492027">
      <w:bodyDiv w:val="1"/>
      <w:marLeft w:val="0"/>
      <w:marRight w:val="0"/>
      <w:marTop w:val="0"/>
      <w:marBottom w:val="0"/>
      <w:divBdr>
        <w:top w:val="none" w:sz="0" w:space="0" w:color="auto"/>
        <w:left w:val="none" w:sz="0" w:space="0" w:color="auto"/>
        <w:bottom w:val="none" w:sz="0" w:space="0" w:color="auto"/>
        <w:right w:val="none" w:sz="0" w:space="0" w:color="auto"/>
      </w:divBdr>
    </w:div>
    <w:div w:id="1533180254">
      <w:bodyDiv w:val="1"/>
      <w:marLeft w:val="0"/>
      <w:marRight w:val="0"/>
      <w:marTop w:val="0"/>
      <w:marBottom w:val="0"/>
      <w:divBdr>
        <w:top w:val="none" w:sz="0" w:space="0" w:color="auto"/>
        <w:left w:val="none" w:sz="0" w:space="0" w:color="auto"/>
        <w:bottom w:val="none" w:sz="0" w:space="0" w:color="auto"/>
        <w:right w:val="none" w:sz="0" w:space="0" w:color="auto"/>
      </w:divBdr>
    </w:div>
    <w:div w:id="1538156000">
      <w:bodyDiv w:val="1"/>
      <w:marLeft w:val="0"/>
      <w:marRight w:val="0"/>
      <w:marTop w:val="0"/>
      <w:marBottom w:val="0"/>
      <w:divBdr>
        <w:top w:val="none" w:sz="0" w:space="0" w:color="auto"/>
        <w:left w:val="none" w:sz="0" w:space="0" w:color="auto"/>
        <w:bottom w:val="none" w:sz="0" w:space="0" w:color="auto"/>
        <w:right w:val="none" w:sz="0" w:space="0" w:color="auto"/>
      </w:divBdr>
    </w:div>
    <w:div w:id="1543667279">
      <w:bodyDiv w:val="1"/>
      <w:marLeft w:val="0"/>
      <w:marRight w:val="0"/>
      <w:marTop w:val="0"/>
      <w:marBottom w:val="0"/>
      <w:divBdr>
        <w:top w:val="none" w:sz="0" w:space="0" w:color="auto"/>
        <w:left w:val="none" w:sz="0" w:space="0" w:color="auto"/>
        <w:bottom w:val="none" w:sz="0" w:space="0" w:color="auto"/>
        <w:right w:val="none" w:sz="0" w:space="0" w:color="auto"/>
      </w:divBdr>
    </w:div>
    <w:div w:id="1567912579">
      <w:bodyDiv w:val="1"/>
      <w:marLeft w:val="0"/>
      <w:marRight w:val="0"/>
      <w:marTop w:val="0"/>
      <w:marBottom w:val="0"/>
      <w:divBdr>
        <w:top w:val="none" w:sz="0" w:space="0" w:color="auto"/>
        <w:left w:val="none" w:sz="0" w:space="0" w:color="auto"/>
        <w:bottom w:val="none" w:sz="0" w:space="0" w:color="auto"/>
        <w:right w:val="none" w:sz="0" w:space="0" w:color="auto"/>
      </w:divBdr>
    </w:div>
    <w:div w:id="1571694848">
      <w:bodyDiv w:val="1"/>
      <w:marLeft w:val="0"/>
      <w:marRight w:val="0"/>
      <w:marTop w:val="0"/>
      <w:marBottom w:val="0"/>
      <w:divBdr>
        <w:top w:val="none" w:sz="0" w:space="0" w:color="auto"/>
        <w:left w:val="none" w:sz="0" w:space="0" w:color="auto"/>
        <w:bottom w:val="none" w:sz="0" w:space="0" w:color="auto"/>
        <w:right w:val="none" w:sz="0" w:space="0" w:color="auto"/>
      </w:divBdr>
    </w:div>
    <w:div w:id="1581135980">
      <w:bodyDiv w:val="1"/>
      <w:marLeft w:val="0"/>
      <w:marRight w:val="0"/>
      <w:marTop w:val="0"/>
      <w:marBottom w:val="0"/>
      <w:divBdr>
        <w:top w:val="none" w:sz="0" w:space="0" w:color="auto"/>
        <w:left w:val="none" w:sz="0" w:space="0" w:color="auto"/>
        <w:bottom w:val="none" w:sz="0" w:space="0" w:color="auto"/>
        <w:right w:val="none" w:sz="0" w:space="0" w:color="auto"/>
      </w:divBdr>
    </w:div>
    <w:div w:id="1584678680">
      <w:bodyDiv w:val="1"/>
      <w:marLeft w:val="0"/>
      <w:marRight w:val="0"/>
      <w:marTop w:val="0"/>
      <w:marBottom w:val="0"/>
      <w:divBdr>
        <w:top w:val="none" w:sz="0" w:space="0" w:color="auto"/>
        <w:left w:val="none" w:sz="0" w:space="0" w:color="auto"/>
        <w:bottom w:val="none" w:sz="0" w:space="0" w:color="auto"/>
        <w:right w:val="none" w:sz="0" w:space="0" w:color="auto"/>
      </w:divBdr>
    </w:div>
    <w:div w:id="1585650836">
      <w:bodyDiv w:val="1"/>
      <w:marLeft w:val="0"/>
      <w:marRight w:val="0"/>
      <w:marTop w:val="0"/>
      <w:marBottom w:val="0"/>
      <w:divBdr>
        <w:top w:val="none" w:sz="0" w:space="0" w:color="auto"/>
        <w:left w:val="none" w:sz="0" w:space="0" w:color="auto"/>
        <w:bottom w:val="none" w:sz="0" w:space="0" w:color="auto"/>
        <w:right w:val="none" w:sz="0" w:space="0" w:color="auto"/>
      </w:divBdr>
    </w:div>
    <w:div w:id="1588927535">
      <w:bodyDiv w:val="1"/>
      <w:marLeft w:val="0"/>
      <w:marRight w:val="0"/>
      <w:marTop w:val="0"/>
      <w:marBottom w:val="0"/>
      <w:divBdr>
        <w:top w:val="none" w:sz="0" w:space="0" w:color="auto"/>
        <w:left w:val="none" w:sz="0" w:space="0" w:color="auto"/>
        <w:bottom w:val="none" w:sz="0" w:space="0" w:color="auto"/>
        <w:right w:val="none" w:sz="0" w:space="0" w:color="auto"/>
      </w:divBdr>
    </w:div>
    <w:div w:id="1597251605">
      <w:bodyDiv w:val="1"/>
      <w:marLeft w:val="0"/>
      <w:marRight w:val="0"/>
      <w:marTop w:val="0"/>
      <w:marBottom w:val="0"/>
      <w:divBdr>
        <w:top w:val="none" w:sz="0" w:space="0" w:color="auto"/>
        <w:left w:val="none" w:sz="0" w:space="0" w:color="auto"/>
        <w:bottom w:val="none" w:sz="0" w:space="0" w:color="auto"/>
        <w:right w:val="none" w:sz="0" w:space="0" w:color="auto"/>
      </w:divBdr>
    </w:div>
    <w:div w:id="1598560243">
      <w:bodyDiv w:val="1"/>
      <w:marLeft w:val="0"/>
      <w:marRight w:val="0"/>
      <w:marTop w:val="0"/>
      <w:marBottom w:val="0"/>
      <w:divBdr>
        <w:top w:val="none" w:sz="0" w:space="0" w:color="auto"/>
        <w:left w:val="none" w:sz="0" w:space="0" w:color="auto"/>
        <w:bottom w:val="none" w:sz="0" w:space="0" w:color="auto"/>
        <w:right w:val="none" w:sz="0" w:space="0" w:color="auto"/>
      </w:divBdr>
    </w:div>
    <w:div w:id="1610308202">
      <w:bodyDiv w:val="1"/>
      <w:marLeft w:val="0"/>
      <w:marRight w:val="0"/>
      <w:marTop w:val="0"/>
      <w:marBottom w:val="0"/>
      <w:divBdr>
        <w:top w:val="none" w:sz="0" w:space="0" w:color="auto"/>
        <w:left w:val="none" w:sz="0" w:space="0" w:color="auto"/>
        <w:bottom w:val="none" w:sz="0" w:space="0" w:color="auto"/>
        <w:right w:val="none" w:sz="0" w:space="0" w:color="auto"/>
      </w:divBdr>
      <w:divsChild>
        <w:div w:id="1753353849">
          <w:marLeft w:val="0"/>
          <w:marRight w:val="0"/>
          <w:marTop w:val="0"/>
          <w:marBottom w:val="0"/>
          <w:divBdr>
            <w:top w:val="none" w:sz="0" w:space="0" w:color="auto"/>
            <w:left w:val="none" w:sz="0" w:space="0" w:color="auto"/>
            <w:bottom w:val="none" w:sz="0" w:space="0" w:color="auto"/>
            <w:right w:val="none" w:sz="0" w:space="0" w:color="auto"/>
          </w:divBdr>
          <w:divsChild>
            <w:div w:id="2126270866">
              <w:marLeft w:val="0"/>
              <w:marRight w:val="0"/>
              <w:marTop w:val="0"/>
              <w:marBottom w:val="0"/>
              <w:divBdr>
                <w:top w:val="none" w:sz="0" w:space="0" w:color="auto"/>
                <w:left w:val="none" w:sz="0" w:space="0" w:color="auto"/>
                <w:bottom w:val="none" w:sz="0" w:space="0" w:color="auto"/>
                <w:right w:val="none" w:sz="0" w:space="0" w:color="auto"/>
              </w:divBdr>
              <w:divsChild>
                <w:div w:id="512770943">
                  <w:marLeft w:val="0"/>
                  <w:marRight w:val="0"/>
                  <w:marTop w:val="0"/>
                  <w:marBottom w:val="0"/>
                  <w:divBdr>
                    <w:top w:val="none" w:sz="0" w:space="0" w:color="auto"/>
                    <w:left w:val="none" w:sz="0" w:space="0" w:color="auto"/>
                    <w:bottom w:val="none" w:sz="0" w:space="0" w:color="auto"/>
                    <w:right w:val="none" w:sz="0" w:space="0" w:color="auto"/>
                  </w:divBdr>
                  <w:divsChild>
                    <w:div w:id="839537921">
                      <w:marLeft w:val="0"/>
                      <w:marRight w:val="0"/>
                      <w:marTop w:val="0"/>
                      <w:marBottom w:val="0"/>
                      <w:divBdr>
                        <w:top w:val="none" w:sz="0" w:space="0" w:color="auto"/>
                        <w:left w:val="none" w:sz="0" w:space="0" w:color="auto"/>
                        <w:bottom w:val="none" w:sz="0" w:space="0" w:color="auto"/>
                        <w:right w:val="none" w:sz="0" w:space="0" w:color="auto"/>
                      </w:divBdr>
                      <w:divsChild>
                        <w:div w:id="749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78217">
          <w:marLeft w:val="0"/>
          <w:marRight w:val="0"/>
          <w:marTop w:val="0"/>
          <w:marBottom w:val="0"/>
          <w:divBdr>
            <w:top w:val="none" w:sz="0" w:space="0" w:color="auto"/>
            <w:left w:val="none" w:sz="0" w:space="0" w:color="auto"/>
            <w:bottom w:val="none" w:sz="0" w:space="0" w:color="auto"/>
            <w:right w:val="none" w:sz="0" w:space="0" w:color="auto"/>
          </w:divBdr>
          <w:divsChild>
            <w:div w:id="529530986">
              <w:marLeft w:val="0"/>
              <w:marRight w:val="0"/>
              <w:marTop w:val="0"/>
              <w:marBottom w:val="0"/>
              <w:divBdr>
                <w:top w:val="none" w:sz="0" w:space="0" w:color="auto"/>
                <w:left w:val="none" w:sz="0" w:space="0" w:color="auto"/>
                <w:bottom w:val="none" w:sz="0" w:space="0" w:color="auto"/>
                <w:right w:val="none" w:sz="0" w:space="0" w:color="auto"/>
              </w:divBdr>
              <w:divsChild>
                <w:div w:id="1710379725">
                  <w:marLeft w:val="0"/>
                  <w:marRight w:val="0"/>
                  <w:marTop w:val="0"/>
                  <w:marBottom w:val="0"/>
                  <w:divBdr>
                    <w:top w:val="none" w:sz="0" w:space="0" w:color="auto"/>
                    <w:left w:val="none" w:sz="0" w:space="0" w:color="auto"/>
                    <w:bottom w:val="none" w:sz="0" w:space="0" w:color="auto"/>
                    <w:right w:val="none" w:sz="0" w:space="0" w:color="auto"/>
                  </w:divBdr>
                  <w:divsChild>
                    <w:div w:id="1892956910">
                      <w:marLeft w:val="0"/>
                      <w:marRight w:val="0"/>
                      <w:marTop w:val="0"/>
                      <w:marBottom w:val="0"/>
                      <w:divBdr>
                        <w:top w:val="none" w:sz="0" w:space="0" w:color="auto"/>
                        <w:left w:val="none" w:sz="0" w:space="0" w:color="auto"/>
                        <w:bottom w:val="none" w:sz="0" w:space="0" w:color="auto"/>
                        <w:right w:val="none" w:sz="0" w:space="0" w:color="auto"/>
                      </w:divBdr>
                      <w:divsChild>
                        <w:div w:id="114669853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7278">
          <w:marLeft w:val="0"/>
          <w:marRight w:val="0"/>
          <w:marTop w:val="0"/>
          <w:marBottom w:val="0"/>
          <w:divBdr>
            <w:top w:val="none" w:sz="0" w:space="0" w:color="auto"/>
            <w:left w:val="none" w:sz="0" w:space="0" w:color="auto"/>
            <w:bottom w:val="none" w:sz="0" w:space="0" w:color="auto"/>
            <w:right w:val="none" w:sz="0" w:space="0" w:color="auto"/>
          </w:divBdr>
          <w:divsChild>
            <w:div w:id="1921744716">
              <w:marLeft w:val="0"/>
              <w:marRight w:val="0"/>
              <w:marTop w:val="0"/>
              <w:marBottom w:val="0"/>
              <w:divBdr>
                <w:top w:val="none" w:sz="0" w:space="0" w:color="auto"/>
                <w:left w:val="none" w:sz="0" w:space="0" w:color="auto"/>
                <w:bottom w:val="none" w:sz="0" w:space="0" w:color="auto"/>
                <w:right w:val="none" w:sz="0" w:space="0" w:color="auto"/>
              </w:divBdr>
              <w:divsChild>
                <w:div w:id="327833460">
                  <w:marLeft w:val="0"/>
                  <w:marRight w:val="0"/>
                  <w:marTop w:val="0"/>
                  <w:marBottom w:val="150"/>
                  <w:divBdr>
                    <w:top w:val="none" w:sz="0" w:space="0" w:color="auto"/>
                    <w:left w:val="none" w:sz="0" w:space="0" w:color="auto"/>
                    <w:bottom w:val="none" w:sz="0" w:space="0" w:color="auto"/>
                    <w:right w:val="none" w:sz="0" w:space="0" w:color="auto"/>
                  </w:divBdr>
                  <w:divsChild>
                    <w:div w:id="10230549">
                      <w:marLeft w:val="0"/>
                      <w:marRight w:val="0"/>
                      <w:marTop w:val="0"/>
                      <w:marBottom w:val="0"/>
                      <w:divBdr>
                        <w:top w:val="none" w:sz="0" w:space="0" w:color="auto"/>
                        <w:left w:val="none" w:sz="0" w:space="0" w:color="auto"/>
                        <w:bottom w:val="none" w:sz="0" w:space="0" w:color="auto"/>
                        <w:right w:val="none" w:sz="0" w:space="0" w:color="auto"/>
                      </w:divBdr>
                    </w:div>
                  </w:divsChild>
                </w:div>
                <w:div w:id="1373652029">
                  <w:marLeft w:val="0"/>
                  <w:marRight w:val="0"/>
                  <w:marTop w:val="75"/>
                  <w:marBottom w:val="0"/>
                  <w:divBdr>
                    <w:top w:val="none" w:sz="0" w:space="0" w:color="auto"/>
                    <w:left w:val="none" w:sz="0" w:space="0" w:color="auto"/>
                    <w:bottom w:val="none" w:sz="0" w:space="0" w:color="auto"/>
                    <w:right w:val="none" w:sz="0" w:space="0" w:color="auto"/>
                  </w:divBdr>
                  <w:divsChild>
                    <w:div w:id="396053371">
                      <w:marLeft w:val="0"/>
                      <w:marRight w:val="0"/>
                      <w:marTop w:val="0"/>
                      <w:marBottom w:val="0"/>
                      <w:divBdr>
                        <w:top w:val="none" w:sz="0" w:space="0" w:color="auto"/>
                        <w:left w:val="none" w:sz="0" w:space="0" w:color="auto"/>
                        <w:bottom w:val="none" w:sz="0" w:space="0" w:color="auto"/>
                        <w:right w:val="none" w:sz="0" w:space="0" w:color="auto"/>
                      </w:divBdr>
                      <w:divsChild>
                        <w:div w:id="5498761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18176471">
      <w:bodyDiv w:val="1"/>
      <w:marLeft w:val="0"/>
      <w:marRight w:val="0"/>
      <w:marTop w:val="0"/>
      <w:marBottom w:val="0"/>
      <w:divBdr>
        <w:top w:val="none" w:sz="0" w:space="0" w:color="auto"/>
        <w:left w:val="none" w:sz="0" w:space="0" w:color="auto"/>
        <w:bottom w:val="none" w:sz="0" w:space="0" w:color="auto"/>
        <w:right w:val="none" w:sz="0" w:space="0" w:color="auto"/>
      </w:divBdr>
    </w:div>
    <w:div w:id="1627084876">
      <w:bodyDiv w:val="1"/>
      <w:marLeft w:val="0"/>
      <w:marRight w:val="0"/>
      <w:marTop w:val="0"/>
      <w:marBottom w:val="0"/>
      <w:divBdr>
        <w:top w:val="none" w:sz="0" w:space="0" w:color="auto"/>
        <w:left w:val="none" w:sz="0" w:space="0" w:color="auto"/>
        <w:bottom w:val="none" w:sz="0" w:space="0" w:color="auto"/>
        <w:right w:val="none" w:sz="0" w:space="0" w:color="auto"/>
      </w:divBdr>
    </w:div>
    <w:div w:id="1628731185">
      <w:bodyDiv w:val="1"/>
      <w:marLeft w:val="0"/>
      <w:marRight w:val="0"/>
      <w:marTop w:val="0"/>
      <w:marBottom w:val="0"/>
      <w:divBdr>
        <w:top w:val="none" w:sz="0" w:space="0" w:color="auto"/>
        <w:left w:val="none" w:sz="0" w:space="0" w:color="auto"/>
        <w:bottom w:val="none" w:sz="0" w:space="0" w:color="auto"/>
        <w:right w:val="none" w:sz="0" w:space="0" w:color="auto"/>
      </w:divBdr>
    </w:div>
    <w:div w:id="1632319987">
      <w:bodyDiv w:val="1"/>
      <w:marLeft w:val="0"/>
      <w:marRight w:val="0"/>
      <w:marTop w:val="0"/>
      <w:marBottom w:val="0"/>
      <w:divBdr>
        <w:top w:val="none" w:sz="0" w:space="0" w:color="auto"/>
        <w:left w:val="none" w:sz="0" w:space="0" w:color="auto"/>
        <w:bottom w:val="none" w:sz="0" w:space="0" w:color="auto"/>
        <w:right w:val="none" w:sz="0" w:space="0" w:color="auto"/>
      </w:divBdr>
    </w:div>
    <w:div w:id="1636376987">
      <w:bodyDiv w:val="1"/>
      <w:marLeft w:val="0"/>
      <w:marRight w:val="0"/>
      <w:marTop w:val="0"/>
      <w:marBottom w:val="0"/>
      <w:divBdr>
        <w:top w:val="none" w:sz="0" w:space="0" w:color="auto"/>
        <w:left w:val="none" w:sz="0" w:space="0" w:color="auto"/>
        <w:bottom w:val="none" w:sz="0" w:space="0" w:color="auto"/>
        <w:right w:val="none" w:sz="0" w:space="0" w:color="auto"/>
      </w:divBdr>
    </w:div>
    <w:div w:id="1658875278">
      <w:bodyDiv w:val="1"/>
      <w:marLeft w:val="0"/>
      <w:marRight w:val="0"/>
      <w:marTop w:val="0"/>
      <w:marBottom w:val="0"/>
      <w:divBdr>
        <w:top w:val="none" w:sz="0" w:space="0" w:color="auto"/>
        <w:left w:val="none" w:sz="0" w:space="0" w:color="auto"/>
        <w:bottom w:val="none" w:sz="0" w:space="0" w:color="auto"/>
        <w:right w:val="none" w:sz="0" w:space="0" w:color="auto"/>
      </w:divBdr>
    </w:div>
    <w:div w:id="1671635277">
      <w:bodyDiv w:val="1"/>
      <w:marLeft w:val="0"/>
      <w:marRight w:val="0"/>
      <w:marTop w:val="0"/>
      <w:marBottom w:val="0"/>
      <w:divBdr>
        <w:top w:val="none" w:sz="0" w:space="0" w:color="auto"/>
        <w:left w:val="none" w:sz="0" w:space="0" w:color="auto"/>
        <w:bottom w:val="none" w:sz="0" w:space="0" w:color="auto"/>
        <w:right w:val="none" w:sz="0" w:space="0" w:color="auto"/>
      </w:divBdr>
    </w:div>
    <w:div w:id="1680499579">
      <w:bodyDiv w:val="1"/>
      <w:marLeft w:val="0"/>
      <w:marRight w:val="0"/>
      <w:marTop w:val="0"/>
      <w:marBottom w:val="0"/>
      <w:divBdr>
        <w:top w:val="none" w:sz="0" w:space="0" w:color="auto"/>
        <w:left w:val="none" w:sz="0" w:space="0" w:color="auto"/>
        <w:bottom w:val="none" w:sz="0" w:space="0" w:color="auto"/>
        <w:right w:val="none" w:sz="0" w:space="0" w:color="auto"/>
      </w:divBdr>
    </w:div>
    <w:div w:id="1687168625">
      <w:bodyDiv w:val="1"/>
      <w:marLeft w:val="0"/>
      <w:marRight w:val="0"/>
      <w:marTop w:val="0"/>
      <w:marBottom w:val="0"/>
      <w:divBdr>
        <w:top w:val="none" w:sz="0" w:space="0" w:color="auto"/>
        <w:left w:val="none" w:sz="0" w:space="0" w:color="auto"/>
        <w:bottom w:val="none" w:sz="0" w:space="0" w:color="auto"/>
        <w:right w:val="none" w:sz="0" w:space="0" w:color="auto"/>
      </w:divBdr>
    </w:div>
    <w:div w:id="1701275092">
      <w:bodyDiv w:val="1"/>
      <w:marLeft w:val="0"/>
      <w:marRight w:val="0"/>
      <w:marTop w:val="0"/>
      <w:marBottom w:val="0"/>
      <w:divBdr>
        <w:top w:val="none" w:sz="0" w:space="0" w:color="auto"/>
        <w:left w:val="none" w:sz="0" w:space="0" w:color="auto"/>
        <w:bottom w:val="none" w:sz="0" w:space="0" w:color="auto"/>
        <w:right w:val="none" w:sz="0" w:space="0" w:color="auto"/>
      </w:divBdr>
    </w:div>
    <w:div w:id="1716806534">
      <w:bodyDiv w:val="1"/>
      <w:marLeft w:val="0"/>
      <w:marRight w:val="0"/>
      <w:marTop w:val="0"/>
      <w:marBottom w:val="0"/>
      <w:divBdr>
        <w:top w:val="none" w:sz="0" w:space="0" w:color="auto"/>
        <w:left w:val="none" w:sz="0" w:space="0" w:color="auto"/>
        <w:bottom w:val="none" w:sz="0" w:space="0" w:color="auto"/>
        <w:right w:val="none" w:sz="0" w:space="0" w:color="auto"/>
      </w:divBdr>
    </w:div>
    <w:div w:id="1723485088">
      <w:bodyDiv w:val="1"/>
      <w:marLeft w:val="0"/>
      <w:marRight w:val="0"/>
      <w:marTop w:val="0"/>
      <w:marBottom w:val="0"/>
      <w:divBdr>
        <w:top w:val="none" w:sz="0" w:space="0" w:color="auto"/>
        <w:left w:val="none" w:sz="0" w:space="0" w:color="auto"/>
        <w:bottom w:val="none" w:sz="0" w:space="0" w:color="auto"/>
        <w:right w:val="none" w:sz="0" w:space="0" w:color="auto"/>
      </w:divBdr>
    </w:div>
    <w:div w:id="1734039578">
      <w:bodyDiv w:val="1"/>
      <w:marLeft w:val="0"/>
      <w:marRight w:val="0"/>
      <w:marTop w:val="0"/>
      <w:marBottom w:val="0"/>
      <w:divBdr>
        <w:top w:val="none" w:sz="0" w:space="0" w:color="auto"/>
        <w:left w:val="none" w:sz="0" w:space="0" w:color="auto"/>
        <w:bottom w:val="none" w:sz="0" w:space="0" w:color="auto"/>
        <w:right w:val="none" w:sz="0" w:space="0" w:color="auto"/>
      </w:divBdr>
    </w:div>
    <w:div w:id="1737165511">
      <w:bodyDiv w:val="1"/>
      <w:marLeft w:val="0"/>
      <w:marRight w:val="0"/>
      <w:marTop w:val="0"/>
      <w:marBottom w:val="0"/>
      <w:divBdr>
        <w:top w:val="none" w:sz="0" w:space="0" w:color="auto"/>
        <w:left w:val="none" w:sz="0" w:space="0" w:color="auto"/>
        <w:bottom w:val="none" w:sz="0" w:space="0" w:color="auto"/>
        <w:right w:val="none" w:sz="0" w:space="0" w:color="auto"/>
      </w:divBdr>
    </w:div>
    <w:div w:id="1741319194">
      <w:bodyDiv w:val="1"/>
      <w:marLeft w:val="0"/>
      <w:marRight w:val="0"/>
      <w:marTop w:val="0"/>
      <w:marBottom w:val="0"/>
      <w:divBdr>
        <w:top w:val="none" w:sz="0" w:space="0" w:color="auto"/>
        <w:left w:val="none" w:sz="0" w:space="0" w:color="auto"/>
        <w:bottom w:val="none" w:sz="0" w:space="0" w:color="auto"/>
        <w:right w:val="none" w:sz="0" w:space="0" w:color="auto"/>
      </w:divBdr>
    </w:div>
    <w:div w:id="1744176335">
      <w:bodyDiv w:val="1"/>
      <w:marLeft w:val="0"/>
      <w:marRight w:val="0"/>
      <w:marTop w:val="0"/>
      <w:marBottom w:val="0"/>
      <w:divBdr>
        <w:top w:val="none" w:sz="0" w:space="0" w:color="auto"/>
        <w:left w:val="none" w:sz="0" w:space="0" w:color="auto"/>
        <w:bottom w:val="none" w:sz="0" w:space="0" w:color="auto"/>
        <w:right w:val="none" w:sz="0" w:space="0" w:color="auto"/>
      </w:divBdr>
    </w:div>
    <w:div w:id="1745757179">
      <w:bodyDiv w:val="1"/>
      <w:marLeft w:val="0"/>
      <w:marRight w:val="0"/>
      <w:marTop w:val="0"/>
      <w:marBottom w:val="0"/>
      <w:divBdr>
        <w:top w:val="none" w:sz="0" w:space="0" w:color="auto"/>
        <w:left w:val="none" w:sz="0" w:space="0" w:color="auto"/>
        <w:bottom w:val="none" w:sz="0" w:space="0" w:color="auto"/>
        <w:right w:val="none" w:sz="0" w:space="0" w:color="auto"/>
      </w:divBdr>
    </w:div>
    <w:div w:id="1747998895">
      <w:bodyDiv w:val="1"/>
      <w:marLeft w:val="0"/>
      <w:marRight w:val="0"/>
      <w:marTop w:val="0"/>
      <w:marBottom w:val="0"/>
      <w:divBdr>
        <w:top w:val="none" w:sz="0" w:space="0" w:color="auto"/>
        <w:left w:val="none" w:sz="0" w:space="0" w:color="auto"/>
        <w:bottom w:val="none" w:sz="0" w:space="0" w:color="auto"/>
        <w:right w:val="none" w:sz="0" w:space="0" w:color="auto"/>
      </w:divBdr>
    </w:div>
    <w:div w:id="1753357086">
      <w:bodyDiv w:val="1"/>
      <w:marLeft w:val="0"/>
      <w:marRight w:val="0"/>
      <w:marTop w:val="0"/>
      <w:marBottom w:val="0"/>
      <w:divBdr>
        <w:top w:val="none" w:sz="0" w:space="0" w:color="auto"/>
        <w:left w:val="none" w:sz="0" w:space="0" w:color="auto"/>
        <w:bottom w:val="none" w:sz="0" w:space="0" w:color="auto"/>
        <w:right w:val="none" w:sz="0" w:space="0" w:color="auto"/>
      </w:divBdr>
    </w:div>
    <w:div w:id="1765416668">
      <w:bodyDiv w:val="1"/>
      <w:marLeft w:val="0"/>
      <w:marRight w:val="0"/>
      <w:marTop w:val="0"/>
      <w:marBottom w:val="0"/>
      <w:divBdr>
        <w:top w:val="none" w:sz="0" w:space="0" w:color="auto"/>
        <w:left w:val="none" w:sz="0" w:space="0" w:color="auto"/>
        <w:bottom w:val="none" w:sz="0" w:space="0" w:color="auto"/>
        <w:right w:val="none" w:sz="0" w:space="0" w:color="auto"/>
      </w:divBdr>
    </w:div>
    <w:div w:id="1775201730">
      <w:bodyDiv w:val="1"/>
      <w:marLeft w:val="0"/>
      <w:marRight w:val="0"/>
      <w:marTop w:val="0"/>
      <w:marBottom w:val="0"/>
      <w:divBdr>
        <w:top w:val="none" w:sz="0" w:space="0" w:color="auto"/>
        <w:left w:val="none" w:sz="0" w:space="0" w:color="auto"/>
        <w:bottom w:val="none" w:sz="0" w:space="0" w:color="auto"/>
        <w:right w:val="none" w:sz="0" w:space="0" w:color="auto"/>
      </w:divBdr>
    </w:div>
    <w:div w:id="1775586592">
      <w:bodyDiv w:val="1"/>
      <w:marLeft w:val="0"/>
      <w:marRight w:val="0"/>
      <w:marTop w:val="0"/>
      <w:marBottom w:val="0"/>
      <w:divBdr>
        <w:top w:val="none" w:sz="0" w:space="0" w:color="auto"/>
        <w:left w:val="none" w:sz="0" w:space="0" w:color="auto"/>
        <w:bottom w:val="none" w:sz="0" w:space="0" w:color="auto"/>
        <w:right w:val="none" w:sz="0" w:space="0" w:color="auto"/>
      </w:divBdr>
    </w:div>
    <w:div w:id="1776904277">
      <w:bodyDiv w:val="1"/>
      <w:marLeft w:val="0"/>
      <w:marRight w:val="0"/>
      <w:marTop w:val="0"/>
      <w:marBottom w:val="0"/>
      <w:divBdr>
        <w:top w:val="none" w:sz="0" w:space="0" w:color="auto"/>
        <w:left w:val="none" w:sz="0" w:space="0" w:color="auto"/>
        <w:bottom w:val="none" w:sz="0" w:space="0" w:color="auto"/>
        <w:right w:val="none" w:sz="0" w:space="0" w:color="auto"/>
      </w:divBdr>
    </w:div>
    <w:div w:id="1798404360">
      <w:bodyDiv w:val="1"/>
      <w:marLeft w:val="0"/>
      <w:marRight w:val="0"/>
      <w:marTop w:val="0"/>
      <w:marBottom w:val="0"/>
      <w:divBdr>
        <w:top w:val="none" w:sz="0" w:space="0" w:color="auto"/>
        <w:left w:val="none" w:sz="0" w:space="0" w:color="auto"/>
        <w:bottom w:val="none" w:sz="0" w:space="0" w:color="auto"/>
        <w:right w:val="none" w:sz="0" w:space="0" w:color="auto"/>
      </w:divBdr>
    </w:div>
    <w:div w:id="1798717118">
      <w:bodyDiv w:val="1"/>
      <w:marLeft w:val="0"/>
      <w:marRight w:val="0"/>
      <w:marTop w:val="0"/>
      <w:marBottom w:val="0"/>
      <w:divBdr>
        <w:top w:val="none" w:sz="0" w:space="0" w:color="auto"/>
        <w:left w:val="none" w:sz="0" w:space="0" w:color="auto"/>
        <w:bottom w:val="none" w:sz="0" w:space="0" w:color="auto"/>
        <w:right w:val="none" w:sz="0" w:space="0" w:color="auto"/>
      </w:divBdr>
    </w:div>
    <w:div w:id="1799104877">
      <w:bodyDiv w:val="1"/>
      <w:marLeft w:val="0"/>
      <w:marRight w:val="0"/>
      <w:marTop w:val="0"/>
      <w:marBottom w:val="0"/>
      <w:divBdr>
        <w:top w:val="none" w:sz="0" w:space="0" w:color="auto"/>
        <w:left w:val="none" w:sz="0" w:space="0" w:color="auto"/>
        <w:bottom w:val="none" w:sz="0" w:space="0" w:color="auto"/>
        <w:right w:val="none" w:sz="0" w:space="0" w:color="auto"/>
      </w:divBdr>
    </w:div>
    <w:div w:id="1816022089">
      <w:bodyDiv w:val="1"/>
      <w:marLeft w:val="0"/>
      <w:marRight w:val="0"/>
      <w:marTop w:val="0"/>
      <w:marBottom w:val="0"/>
      <w:divBdr>
        <w:top w:val="none" w:sz="0" w:space="0" w:color="auto"/>
        <w:left w:val="none" w:sz="0" w:space="0" w:color="auto"/>
        <w:bottom w:val="none" w:sz="0" w:space="0" w:color="auto"/>
        <w:right w:val="none" w:sz="0" w:space="0" w:color="auto"/>
      </w:divBdr>
    </w:div>
    <w:div w:id="1817457704">
      <w:bodyDiv w:val="1"/>
      <w:marLeft w:val="0"/>
      <w:marRight w:val="0"/>
      <w:marTop w:val="0"/>
      <w:marBottom w:val="0"/>
      <w:divBdr>
        <w:top w:val="none" w:sz="0" w:space="0" w:color="auto"/>
        <w:left w:val="none" w:sz="0" w:space="0" w:color="auto"/>
        <w:bottom w:val="none" w:sz="0" w:space="0" w:color="auto"/>
        <w:right w:val="none" w:sz="0" w:space="0" w:color="auto"/>
      </w:divBdr>
    </w:div>
    <w:div w:id="1826779998">
      <w:bodyDiv w:val="1"/>
      <w:marLeft w:val="0"/>
      <w:marRight w:val="0"/>
      <w:marTop w:val="0"/>
      <w:marBottom w:val="0"/>
      <w:divBdr>
        <w:top w:val="none" w:sz="0" w:space="0" w:color="auto"/>
        <w:left w:val="none" w:sz="0" w:space="0" w:color="auto"/>
        <w:bottom w:val="none" w:sz="0" w:space="0" w:color="auto"/>
        <w:right w:val="none" w:sz="0" w:space="0" w:color="auto"/>
      </w:divBdr>
    </w:div>
    <w:div w:id="1827821290">
      <w:bodyDiv w:val="1"/>
      <w:marLeft w:val="0"/>
      <w:marRight w:val="0"/>
      <w:marTop w:val="0"/>
      <w:marBottom w:val="0"/>
      <w:divBdr>
        <w:top w:val="none" w:sz="0" w:space="0" w:color="auto"/>
        <w:left w:val="none" w:sz="0" w:space="0" w:color="auto"/>
        <w:bottom w:val="none" w:sz="0" w:space="0" w:color="auto"/>
        <w:right w:val="none" w:sz="0" w:space="0" w:color="auto"/>
      </w:divBdr>
    </w:div>
    <w:div w:id="1834562227">
      <w:bodyDiv w:val="1"/>
      <w:marLeft w:val="0"/>
      <w:marRight w:val="0"/>
      <w:marTop w:val="0"/>
      <w:marBottom w:val="0"/>
      <w:divBdr>
        <w:top w:val="none" w:sz="0" w:space="0" w:color="auto"/>
        <w:left w:val="none" w:sz="0" w:space="0" w:color="auto"/>
        <w:bottom w:val="none" w:sz="0" w:space="0" w:color="auto"/>
        <w:right w:val="none" w:sz="0" w:space="0" w:color="auto"/>
      </w:divBdr>
    </w:div>
    <w:div w:id="1835217186">
      <w:bodyDiv w:val="1"/>
      <w:marLeft w:val="0"/>
      <w:marRight w:val="0"/>
      <w:marTop w:val="0"/>
      <w:marBottom w:val="0"/>
      <w:divBdr>
        <w:top w:val="none" w:sz="0" w:space="0" w:color="auto"/>
        <w:left w:val="none" w:sz="0" w:space="0" w:color="auto"/>
        <w:bottom w:val="none" w:sz="0" w:space="0" w:color="auto"/>
        <w:right w:val="none" w:sz="0" w:space="0" w:color="auto"/>
      </w:divBdr>
    </w:div>
    <w:div w:id="1835686288">
      <w:bodyDiv w:val="1"/>
      <w:marLeft w:val="0"/>
      <w:marRight w:val="0"/>
      <w:marTop w:val="0"/>
      <w:marBottom w:val="0"/>
      <w:divBdr>
        <w:top w:val="none" w:sz="0" w:space="0" w:color="auto"/>
        <w:left w:val="none" w:sz="0" w:space="0" w:color="auto"/>
        <w:bottom w:val="none" w:sz="0" w:space="0" w:color="auto"/>
        <w:right w:val="none" w:sz="0" w:space="0" w:color="auto"/>
      </w:divBdr>
    </w:div>
    <w:div w:id="1838106399">
      <w:bodyDiv w:val="1"/>
      <w:marLeft w:val="0"/>
      <w:marRight w:val="0"/>
      <w:marTop w:val="0"/>
      <w:marBottom w:val="0"/>
      <w:divBdr>
        <w:top w:val="none" w:sz="0" w:space="0" w:color="auto"/>
        <w:left w:val="none" w:sz="0" w:space="0" w:color="auto"/>
        <w:bottom w:val="none" w:sz="0" w:space="0" w:color="auto"/>
        <w:right w:val="none" w:sz="0" w:space="0" w:color="auto"/>
      </w:divBdr>
    </w:div>
    <w:div w:id="1842963114">
      <w:bodyDiv w:val="1"/>
      <w:marLeft w:val="0"/>
      <w:marRight w:val="0"/>
      <w:marTop w:val="0"/>
      <w:marBottom w:val="0"/>
      <w:divBdr>
        <w:top w:val="none" w:sz="0" w:space="0" w:color="auto"/>
        <w:left w:val="none" w:sz="0" w:space="0" w:color="auto"/>
        <w:bottom w:val="none" w:sz="0" w:space="0" w:color="auto"/>
        <w:right w:val="none" w:sz="0" w:space="0" w:color="auto"/>
      </w:divBdr>
    </w:div>
    <w:div w:id="1849322518">
      <w:bodyDiv w:val="1"/>
      <w:marLeft w:val="0"/>
      <w:marRight w:val="0"/>
      <w:marTop w:val="0"/>
      <w:marBottom w:val="0"/>
      <w:divBdr>
        <w:top w:val="none" w:sz="0" w:space="0" w:color="auto"/>
        <w:left w:val="none" w:sz="0" w:space="0" w:color="auto"/>
        <w:bottom w:val="none" w:sz="0" w:space="0" w:color="auto"/>
        <w:right w:val="none" w:sz="0" w:space="0" w:color="auto"/>
      </w:divBdr>
    </w:div>
    <w:div w:id="1850560450">
      <w:bodyDiv w:val="1"/>
      <w:marLeft w:val="0"/>
      <w:marRight w:val="0"/>
      <w:marTop w:val="0"/>
      <w:marBottom w:val="0"/>
      <w:divBdr>
        <w:top w:val="none" w:sz="0" w:space="0" w:color="auto"/>
        <w:left w:val="none" w:sz="0" w:space="0" w:color="auto"/>
        <w:bottom w:val="none" w:sz="0" w:space="0" w:color="auto"/>
        <w:right w:val="none" w:sz="0" w:space="0" w:color="auto"/>
      </w:divBdr>
    </w:div>
    <w:div w:id="1862157258">
      <w:bodyDiv w:val="1"/>
      <w:marLeft w:val="0"/>
      <w:marRight w:val="0"/>
      <w:marTop w:val="0"/>
      <w:marBottom w:val="0"/>
      <w:divBdr>
        <w:top w:val="none" w:sz="0" w:space="0" w:color="auto"/>
        <w:left w:val="none" w:sz="0" w:space="0" w:color="auto"/>
        <w:bottom w:val="none" w:sz="0" w:space="0" w:color="auto"/>
        <w:right w:val="none" w:sz="0" w:space="0" w:color="auto"/>
      </w:divBdr>
    </w:div>
    <w:div w:id="1866477283">
      <w:bodyDiv w:val="1"/>
      <w:marLeft w:val="0"/>
      <w:marRight w:val="0"/>
      <w:marTop w:val="0"/>
      <w:marBottom w:val="0"/>
      <w:divBdr>
        <w:top w:val="none" w:sz="0" w:space="0" w:color="auto"/>
        <w:left w:val="none" w:sz="0" w:space="0" w:color="auto"/>
        <w:bottom w:val="none" w:sz="0" w:space="0" w:color="auto"/>
        <w:right w:val="none" w:sz="0" w:space="0" w:color="auto"/>
      </w:divBdr>
    </w:div>
    <w:div w:id="1866479066">
      <w:bodyDiv w:val="1"/>
      <w:marLeft w:val="0"/>
      <w:marRight w:val="0"/>
      <w:marTop w:val="0"/>
      <w:marBottom w:val="0"/>
      <w:divBdr>
        <w:top w:val="none" w:sz="0" w:space="0" w:color="auto"/>
        <w:left w:val="none" w:sz="0" w:space="0" w:color="auto"/>
        <w:bottom w:val="none" w:sz="0" w:space="0" w:color="auto"/>
        <w:right w:val="none" w:sz="0" w:space="0" w:color="auto"/>
      </w:divBdr>
    </w:div>
    <w:div w:id="1867254890">
      <w:bodyDiv w:val="1"/>
      <w:marLeft w:val="0"/>
      <w:marRight w:val="0"/>
      <w:marTop w:val="0"/>
      <w:marBottom w:val="0"/>
      <w:divBdr>
        <w:top w:val="none" w:sz="0" w:space="0" w:color="auto"/>
        <w:left w:val="none" w:sz="0" w:space="0" w:color="auto"/>
        <w:bottom w:val="none" w:sz="0" w:space="0" w:color="auto"/>
        <w:right w:val="none" w:sz="0" w:space="0" w:color="auto"/>
      </w:divBdr>
    </w:div>
    <w:div w:id="1871989593">
      <w:bodyDiv w:val="1"/>
      <w:marLeft w:val="0"/>
      <w:marRight w:val="0"/>
      <w:marTop w:val="0"/>
      <w:marBottom w:val="0"/>
      <w:divBdr>
        <w:top w:val="none" w:sz="0" w:space="0" w:color="auto"/>
        <w:left w:val="none" w:sz="0" w:space="0" w:color="auto"/>
        <w:bottom w:val="none" w:sz="0" w:space="0" w:color="auto"/>
        <w:right w:val="none" w:sz="0" w:space="0" w:color="auto"/>
      </w:divBdr>
    </w:div>
    <w:div w:id="1900506642">
      <w:bodyDiv w:val="1"/>
      <w:marLeft w:val="0"/>
      <w:marRight w:val="0"/>
      <w:marTop w:val="0"/>
      <w:marBottom w:val="0"/>
      <w:divBdr>
        <w:top w:val="none" w:sz="0" w:space="0" w:color="auto"/>
        <w:left w:val="none" w:sz="0" w:space="0" w:color="auto"/>
        <w:bottom w:val="none" w:sz="0" w:space="0" w:color="auto"/>
        <w:right w:val="none" w:sz="0" w:space="0" w:color="auto"/>
      </w:divBdr>
    </w:div>
    <w:div w:id="1905676230">
      <w:bodyDiv w:val="1"/>
      <w:marLeft w:val="0"/>
      <w:marRight w:val="0"/>
      <w:marTop w:val="0"/>
      <w:marBottom w:val="0"/>
      <w:divBdr>
        <w:top w:val="none" w:sz="0" w:space="0" w:color="auto"/>
        <w:left w:val="none" w:sz="0" w:space="0" w:color="auto"/>
        <w:bottom w:val="none" w:sz="0" w:space="0" w:color="auto"/>
        <w:right w:val="none" w:sz="0" w:space="0" w:color="auto"/>
      </w:divBdr>
    </w:div>
    <w:div w:id="1906840934">
      <w:bodyDiv w:val="1"/>
      <w:marLeft w:val="0"/>
      <w:marRight w:val="0"/>
      <w:marTop w:val="0"/>
      <w:marBottom w:val="0"/>
      <w:divBdr>
        <w:top w:val="none" w:sz="0" w:space="0" w:color="auto"/>
        <w:left w:val="none" w:sz="0" w:space="0" w:color="auto"/>
        <w:bottom w:val="none" w:sz="0" w:space="0" w:color="auto"/>
        <w:right w:val="none" w:sz="0" w:space="0" w:color="auto"/>
      </w:divBdr>
    </w:div>
    <w:div w:id="1913005486">
      <w:bodyDiv w:val="1"/>
      <w:marLeft w:val="0"/>
      <w:marRight w:val="0"/>
      <w:marTop w:val="0"/>
      <w:marBottom w:val="0"/>
      <w:divBdr>
        <w:top w:val="none" w:sz="0" w:space="0" w:color="auto"/>
        <w:left w:val="none" w:sz="0" w:space="0" w:color="auto"/>
        <w:bottom w:val="none" w:sz="0" w:space="0" w:color="auto"/>
        <w:right w:val="none" w:sz="0" w:space="0" w:color="auto"/>
      </w:divBdr>
    </w:div>
    <w:div w:id="1914969738">
      <w:bodyDiv w:val="1"/>
      <w:marLeft w:val="0"/>
      <w:marRight w:val="0"/>
      <w:marTop w:val="0"/>
      <w:marBottom w:val="0"/>
      <w:divBdr>
        <w:top w:val="none" w:sz="0" w:space="0" w:color="auto"/>
        <w:left w:val="none" w:sz="0" w:space="0" w:color="auto"/>
        <w:bottom w:val="none" w:sz="0" w:space="0" w:color="auto"/>
        <w:right w:val="none" w:sz="0" w:space="0" w:color="auto"/>
      </w:divBdr>
    </w:div>
    <w:div w:id="1926910737">
      <w:bodyDiv w:val="1"/>
      <w:marLeft w:val="0"/>
      <w:marRight w:val="0"/>
      <w:marTop w:val="0"/>
      <w:marBottom w:val="0"/>
      <w:divBdr>
        <w:top w:val="none" w:sz="0" w:space="0" w:color="auto"/>
        <w:left w:val="none" w:sz="0" w:space="0" w:color="auto"/>
        <w:bottom w:val="none" w:sz="0" w:space="0" w:color="auto"/>
        <w:right w:val="none" w:sz="0" w:space="0" w:color="auto"/>
      </w:divBdr>
    </w:div>
    <w:div w:id="1931816999">
      <w:bodyDiv w:val="1"/>
      <w:marLeft w:val="0"/>
      <w:marRight w:val="0"/>
      <w:marTop w:val="0"/>
      <w:marBottom w:val="0"/>
      <w:divBdr>
        <w:top w:val="none" w:sz="0" w:space="0" w:color="auto"/>
        <w:left w:val="none" w:sz="0" w:space="0" w:color="auto"/>
        <w:bottom w:val="none" w:sz="0" w:space="0" w:color="auto"/>
        <w:right w:val="none" w:sz="0" w:space="0" w:color="auto"/>
      </w:divBdr>
    </w:div>
    <w:div w:id="1951662140">
      <w:bodyDiv w:val="1"/>
      <w:marLeft w:val="0"/>
      <w:marRight w:val="0"/>
      <w:marTop w:val="0"/>
      <w:marBottom w:val="0"/>
      <w:divBdr>
        <w:top w:val="none" w:sz="0" w:space="0" w:color="auto"/>
        <w:left w:val="none" w:sz="0" w:space="0" w:color="auto"/>
        <w:bottom w:val="none" w:sz="0" w:space="0" w:color="auto"/>
        <w:right w:val="none" w:sz="0" w:space="0" w:color="auto"/>
      </w:divBdr>
    </w:div>
    <w:div w:id="1958563841">
      <w:bodyDiv w:val="1"/>
      <w:marLeft w:val="0"/>
      <w:marRight w:val="0"/>
      <w:marTop w:val="0"/>
      <w:marBottom w:val="0"/>
      <w:divBdr>
        <w:top w:val="none" w:sz="0" w:space="0" w:color="auto"/>
        <w:left w:val="none" w:sz="0" w:space="0" w:color="auto"/>
        <w:bottom w:val="none" w:sz="0" w:space="0" w:color="auto"/>
        <w:right w:val="none" w:sz="0" w:space="0" w:color="auto"/>
      </w:divBdr>
    </w:div>
    <w:div w:id="1971089169">
      <w:bodyDiv w:val="1"/>
      <w:marLeft w:val="0"/>
      <w:marRight w:val="0"/>
      <w:marTop w:val="0"/>
      <w:marBottom w:val="0"/>
      <w:divBdr>
        <w:top w:val="none" w:sz="0" w:space="0" w:color="auto"/>
        <w:left w:val="none" w:sz="0" w:space="0" w:color="auto"/>
        <w:bottom w:val="none" w:sz="0" w:space="0" w:color="auto"/>
        <w:right w:val="none" w:sz="0" w:space="0" w:color="auto"/>
      </w:divBdr>
    </w:div>
    <w:div w:id="1976447527">
      <w:bodyDiv w:val="1"/>
      <w:marLeft w:val="0"/>
      <w:marRight w:val="0"/>
      <w:marTop w:val="0"/>
      <w:marBottom w:val="0"/>
      <w:divBdr>
        <w:top w:val="none" w:sz="0" w:space="0" w:color="auto"/>
        <w:left w:val="none" w:sz="0" w:space="0" w:color="auto"/>
        <w:bottom w:val="none" w:sz="0" w:space="0" w:color="auto"/>
        <w:right w:val="none" w:sz="0" w:space="0" w:color="auto"/>
      </w:divBdr>
    </w:div>
    <w:div w:id="1976907854">
      <w:bodyDiv w:val="1"/>
      <w:marLeft w:val="0"/>
      <w:marRight w:val="0"/>
      <w:marTop w:val="0"/>
      <w:marBottom w:val="0"/>
      <w:divBdr>
        <w:top w:val="none" w:sz="0" w:space="0" w:color="auto"/>
        <w:left w:val="none" w:sz="0" w:space="0" w:color="auto"/>
        <w:bottom w:val="none" w:sz="0" w:space="0" w:color="auto"/>
        <w:right w:val="none" w:sz="0" w:space="0" w:color="auto"/>
      </w:divBdr>
    </w:div>
    <w:div w:id="1992515952">
      <w:bodyDiv w:val="1"/>
      <w:marLeft w:val="0"/>
      <w:marRight w:val="0"/>
      <w:marTop w:val="0"/>
      <w:marBottom w:val="0"/>
      <w:divBdr>
        <w:top w:val="none" w:sz="0" w:space="0" w:color="auto"/>
        <w:left w:val="none" w:sz="0" w:space="0" w:color="auto"/>
        <w:bottom w:val="none" w:sz="0" w:space="0" w:color="auto"/>
        <w:right w:val="none" w:sz="0" w:space="0" w:color="auto"/>
      </w:divBdr>
    </w:div>
    <w:div w:id="1999308078">
      <w:bodyDiv w:val="1"/>
      <w:marLeft w:val="0"/>
      <w:marRight w:val="0"/>
      <w:marTop w:val="0"/>
      <w:marBottom w:val="0"/>
      <w:divBdr>
        <w:top w:val="none" w:sz="0" w:space="0" w:color="auto"/>
        <w:left w:val="none" w:sz="0" w:space="0" w:color="auto"/>
        <w:bottom w:val="none" w:sz="0" w:space="0" w:color="auto"/>
        <w:right w:val="none" w:sz="0" w:space="0" w:color="auto"/>
      </w:divBdr>
      <w:divsChild>
        <w:div w:id="1998533537">
          <w:marLeft w:val="0"/>
          <w:marRight w:val="0"/>
          <w:marTop w:val="0"/>
          <w:marBottom w:val="0"/>
          <w:divBdr>
            <w:top w:val="none" w:sz="0" w:space="0" w:color="auto"/>
            <w:left w:val="none" w:sz="0" w:space="0" w:color="auto"/>
            <w:bottom w:val="none" w:sz="0" w:space="0" w:color="auto"/>
            <w:right w:val="none" w:sz="0" w:space="0" w:color="auto"/>
          </w:divBdr>
          <w:divsChild>
            <w:div w:id="205457772">
              <w:marLeft w:val="0"/>
              <w:marRight w:val="0"/>
              <w:marTop w:val="0"/>
              <w:marBottom w:val="0"/>
              <w:divBdr>
                <w:top w:val="none" w:sz="0" w:space="0" w:color="auto"/>
                <w:left w:val="none" w:sz="0" w:space="0" w:color="auto"/>
                <w:bottom w:val="none" w:sz="0" w:space="0" w:color="auto"/>
                <w:right w:val="none" w:sz="0" w:space="0" w:color="auto"/>
              </w:divBdr>
              <w:divsChild>
                <w:div w:id="5345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9071">
          <w:marLeft w:val="0"/>
          <w:marRight w:val="0"/>
          <w:marTop w:val="0"/>
          <w:marBottom w:val="0"/>
          <w:divBdr>
            <w:top w:val="none" w:sz="0" w:space="0" w:color="auto"/>
            <w:left w:val="none" w:sz="0" w:space="0" w:color="auto"/>
            <w:bottom w:val="none" w:sz="0" w:space="0" w:color="auto"/>
            <w:right w:val="none" w:sz="0" w:space="0" w:color="auto"/>
          </w:divBdr>
          <w:divsChild>
            <w:div w:id="930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2572">
      <w:bodyDiv w:val="1"/>
      <w:marLeft w:val="0"/>
      <w:marRight w:val="0"/>
      <w:marTop w:val="0"/>
      <w:marBottom w:val="0"/>
      <w:divBdr>
        <w:top w:val="none" w:sz="0" w:space="0" w:color="auto"/>
        <w:left w:val="none" w:sz="0" w:space="0" w:color="auto"/>
        <w:bottom w:val="none" w:sz="0" w:space="0" w:color="auto"/>
        <w:right w:val="none" w:sz="0" w:space="0" w:color="auto"/>
      </w:divBdr>
    </w:div>
    <w:div w:id="2001345248">
      <w:bodyDiv w:val="1"/>
      <w:marLeft w:val="0"/>
      <w:marRight w:val="0"/>
      <w:marTop w:val="0"/>
      <w:marBottom w:val="0"/>
      <w:divBdr>
        <w:top w:val="none" w:sz="0" w:space="0" w:color="auto"/>
        <w:left w:val="none" w:sz="0" w:space="0" w:color="auto"/>
        <w:bottom w:val="none" w:sz="0" w:space="0" w:color="auto"/>
        <w:right w:val="none" w:sz="0" w:space="0" w:color="auto"/>
      </w:divBdr>
    </w:div>
    <w:div w:id="2006937585">
      <w:bodyDiv w:val="1"/>
      <w:marLeft w:val="0"/>
      <w:marRight w:val="0"/>
      <w:marTop w:val="0"/>
      <w:marBottom w:val="0"/>
      <w:divBdr>
        <w:top w:val="none" w:sz="0" w:space="0" w:color="auto"/>
        <w:left w:val="none" w:sz="0" w:space="0" w:color="auto"/>
        <w:bottom w:val="none" w:sz="0" w:space="0" w:color="auto"/>
        <w:right w:val="none" w:sz="0" w:space="0" w:color="auto"/>
      </w:divBdr>
    </w:div>
    <w:div w:id="2009211137">
      <w:bodyDiv w:val="1"/>
      <w:marLeft w:val="0"/>
      <w:marRight w:val="0"/>
      <w:marTop w:val="0"/>
      <w:marBottom w:val="0"/>
      <w:divBdr>
        <w:top w:val="none" w:sz="0" w:space="0" w:color="auto"/>
        <w:left w:val="none" w:sz="0" w:space="0" w:color="auto"/>
        <w:bottom w:val="none" w:sz="0" w:space="0" w:color="auto"/>
        <w:right w:val="none" w:sz="0" w:space="0" w:color="auto"/>
      </w:divBdr>
    </w:div>
    <w:div w:id="2029214966">
      <w:bodyDiv w:val="1"/>
      <w:marLeft w:val="0"/>
      <w:marRight w:val="0"/>
      <w:marTop w:val="0"/>
      <w:marBottom w:val="0"/>
      <w:divBdr>
        <w:top w:val="none" w:sz="0" w:space="0" w:color="auto"/>
        <w:left w:val="none" w:sz="0" w:space="0" w:color="auto"/>
        <w:bottom w:val="none" w:sz="0" w:space="0" w:color="auto"/>
        <w:right w:val="none" w:sz="0" w:space="0" w:color="auto"/>
      </w:divBdr>
    </w:div>
    <w:div w:id="2032951521">
      <w:bodyDiv w:val="1"/>
      <w:marLeft w:val="0"/>
      <w:marRight w:val="0"/>
      <w:marTop w:val="0"/>
      <w:marBottom w:val="0"/>
      <w:divBdr>
        <w:top w:val="none" w:sz="0" w:space="0" w:color="auto"/>
        <w:left w:val="none" w:sz="0" w:space="0" w:color="auto"/>
        <w:bottom w:val="none" w:sz="0" w:space="0" w:color="auto"/>
        <w:right w:val="none" w:sz="0" w:space="0" w:color="auto"/>
      </w:divBdr>
    </w:div>
    <w:div w:id="2042511343">
      <w:bodyDiv w:val="1"/>
      <w:marLeft w:val="0"/>
      <w:marRight w:val="0"/>
      <w:marTop w:val="0"/>
      <w:marBottom w:val="0"/>
      <w:divBdr>
        <w:top w:val="none" w:sz="0" w:space="0" w:color="auto"/>
        <w:left w:val="none" w:sz="0" w:space="0" w:color="auto"/>
        <w:bottom w:val="none" w:sz="0" w:space="0" w:color="auto"/>
        <w:right w:val="none" w:sz="0" w:space="0" w:color="auto"/>
      </w:divBdr>
    </w:div>
    <w:div w:id="2042972246">
      <w:bodyDiv w:val="1"/>
      <w:marLeft w:val="0"/>
      <w:marRight w:val="0"/>
      <w:marTop w:val="0"/>
      <w:marBottom w:val="0"/>
      <w:divBdr>
        <w:top w:val="none" w:sz="0" w:space="0" w:color="auto"/>
        <w:left w:val="none" w:sz="0" w:space="0" w:color="auto"/>
        <w:bottom w:val="none" w:sz="0" w:space="0" w:color="auto"/>
        <w:right w:val="none" w:sz="0" w:space="0" w:color="auto"/>
      </w:divBdr>
    </w:div>
    <w:div w:id="2047562700">
      <w:bodyDiv w:val="1"/>
      <w:marLeft w:val="0"/>
      <w:marRight w:val="0"/>
      <w:marTop w:val="0"/>
      <w:marBottom w:val="0"/>
      <w:divBdr>
        <w:top w:val="none" w:sz="0" w:space="0" w:color="auto"/>
        <w:left w:val="none" w:sz="0" w:space="0" w:color="auto"/>
        <w:bottom w:val="none" w:sz="0" w:space="0" w:color="auto"/>
        <w:right w:val="none" w:sz="0" w:space="0" w:color="auto"/>
      </w:divBdr>
    </w:div>
    <w:div w:id="2063866671">
      <w:bodyDiv w:val="1"/>
      <w:marLeft w:val="0"/>
      <w:marRight w:val="0"/>
      <w:marTop w:val="0"/>
      <w:marBottom w:val="0"/>
      <w:divBdr>
        <w:top w:val="none" w:sz="0" w:space="0" w:color="auto"/>
        <w:left w:val="none" w:sz="0" w:space="0" w:color="auto"/>
        <w:bottom w:val="none" w:sz="0" w:space="0" w:color="auto"/>
        <w:right w:val="none" w:sz="0" w:space="0" w:color="auto"/>
      </w:divBdr>
    </w:div>
    <w:div w:id="2087920332">
      <w:bodyDiv w:val="1"/>
      <w:marLeft w:val="0"/>
      <w:marRight w:val="0"/>
      <w:marTop w:val="0"/>
      <w:marBottom w:val="0"/>
      <w:divBdr>
        <w:top w:val="none" w:sz="0" w:space="0" w:color="auto"/>
        <w:left w:val="none" w:sz="0" w:space="0" w:color="auto"/>
        <w:bottom w:val="none" w:sz="0" w:space="0" w:color="auto"/>
        <w:right w:val="none" w:sz="0" w:space="0" w:color="auto"/>
      </w:divBdr>
    </w:div>
    <w:div w:id="2088111889">
      <w:bodyDiv w:val="1"/>
      <w:marLeft w:val="0"/>
      <w:marRight w:val="0"/>
      <w:marTop w:val="0"/>
      <w:marBottom w:val="0"/>
      <w:divBdr>
        <w:top w:val="none" w:sz="0" w:space="0" w:color="auto"/>
        <w:left w:val="none" w:sz="0" w:space="0" w:color="auto"/>
        <w:bottom w:val="none" w:sz="0" w:space="0" w:color="auto"/>
        <w:right w:val="none" w:sz="0" w:space="0" w:color="auto"/>
      </w:divBdr>
    </w:div>
    <w:div w:id="2088502791">
      <w:bodyDiv w:val="1"/>
      <w:marLeft w:val="0"/>
      <w:marRight w:val="0"/>
      <w:marTop w:val="0"/>
      <w:marBottom w:val="0"/>
      <w:divBdr>
        <w:top w:val="none" w:sz="0" w:space="0" w:color="auto"/>
        <w:left w:val="none" w:sz="0" w:space="0" w:color="auto"/>
        <w:bottom w:val="none" w:sz="0" w:space="0" w:color="auto"/>
        <w:right w:val="none" w:sz="0" w:space="0" w:color="auto"/>
      </w:divBdr>
    </w:div>
    <w:div w:id="2091732829">
      <w:bodyDiv w:val="1"/>
      <w:marLeft w:val="0"/>
      <w:marRight w:val="0"/>
      <w:marTop w:val="0"/>
      <w:marBottom w:val="0"/>
      <w:divBdr>
        <w:top w:val="none" w:sz="0" w:space="0" w:color="auto"/>
        <w:left w:val="none" w:sz="0" w:space="0" w:color="auto"/>
        <w:bottom w:val="none" w:sz="0" w:space="0" w:color="auto"/>
        <w:right w:val="none" w:sz="0" w:space="0" w:color="auto"/>
      </w:divBdr>
    </w:div>
    <w:div w:id="2099520753">
      <w:bodyDiv w:val="1"/>
      <w:marLeft w:val="0"/>
      <w:marRight w:val="0"/>
      <w:marTop w:val="0"/>
      <w:marBottom w:val="0"/>
      <w:divBdr>
        <w:top w:val="none" w:sz="0" w:space="0" w:color="auto"/>
        <w:left w:val="none" w:sz="0" w:space="0" w:color="auto"/>
        <w:bottom w:val="none" w:sz="0" w:space="0" w:color="auto"/>
        <w:right w:val="none" w:sz="0" w:space="0" w:color="auto"/>
      </w:divBdr>
    </w:div>
    <w:div w:id="2100247493">
      <w:bodyDiv w:val="1"/>
      <w:marLeft w:val="0"/>
      <w:marRight w:val="0"/>
      <w:marTop w:val="0"/>
      <w:marBottom w:val="0"/>
      <w:divBdr>
        <w:top w:val="none" w:sz="0" w:space="0" w:color="auto"/>
        <w:left w:val="none" w:sz="0" w:space="0" w:color="auto"/>
        <w:bottom w:val="none" w:sz="0" w:space="0" w:color="auto"/>
        <w:right w:val="none" w:sz="0" w:space="0" w:color="auto"/>
      </w:divBdr>
    </w:div>
    <w:div w:id="2101757279">
      <w:bodyDiv w:val="1"/>
      <w:marLeft w:val="0"/>
      <w:marRight w:val="0"/>
      <w:marTop w:val="0"/>
      <w:marBottom w:val="0"/>
      <w:divBdr>
        <w:top w:val="none" w:sz="0" w:space="0" w:color="auto"/>
        <w:left w:val="none" w:sz="0" w:space="0" w:color="auto"/>
        <w:bottom w:val="none" w:sz="0" w:space="0" w:color="auto"/>
        <w:right w:val="none" w:sz="0" w:space="0" w:color="auto"/>
      </w:divBdr>
    </w:div>
    <w:div w:id="2105370283">
      <w:bodyDiv w:val="1"/>
      <w:marLeft w:val="0"/>
      <w:marRight w:val="0"/>
      <w:marTop w:val="0"/>
      <w:marBottom w:val="0"/>
      <w:divBdr>
        <w:top w:val="none" w:sz="0" w:space="0" w:color="auto"/>
        <w:left w:val="none" w:sz="0" w:space="0" w:color="auto"/>
        <w:bottom w:val="none" w:sz="0" w:space="0" w:color="auto"/>
        <w:right w:val="none" w:sz="0" w:space="0" w:color="auto"/>
      </w:divBdr>
    </w:div>
    <w:div w:id="2130976216">
      <w:bodyDiv w:val="1"/>
      <w:marLeft w:val="0"/>
      <w:marRight w:val="0"/>
      <w:marTop w:val="0"/>
      <w:marBottom w:val="0"/>
      <w:divBdr>
        <w:top w:val="none" w:sz="0" w:space="0" w:color="auto"/>
        <w:left w:val="none" w:sz="0" w:space="0" w:color="auto"/>
        <w:bottom w:val="none" w:sz="0" w:space="0" w:color="auto"/>
        <w:right w:val="none" w:sz="0" w:space="0" w:color="auto"/>
      </w:divBdr>
    </w:div>
    <w:div w:id="213687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ncbi.nlm.nih.gov/pubmed/" TargetMode="External"/><Relationship Id="rId26" Type="http://schemas.openxmlformats.org/officeDocument/2006/relationships/hyperlink" Target="https://www.ncbi.nlm.nih.gov/geo/query/acc.cgi?acc=GSE55937" TargetMode="External"/><Relationship Id="rId3" Type="http://schemas.openxmlformats.org/officeDocument/2006/relationships/styles" Target="styles.xml"/><Relationship Id="rId21" Type="http://schemas.openxmlformats.org/officeDocument/2006/relationships/hyperlink" Target="http://ieeexplore.ieee.org/"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ncbi.nlm.nih.gov/geo/query/acc.cgi?acc=GSE58294" TargetMode="External"/><Relationship Id="rId33" Type="http://schemas.openxmlformats.org/officeDocument/2006/relationships/hyperlink" Target="http://www.ncbi.nlm.nih.gov/geo/"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scholar.google.gr/" TargetMode="External"/><Relationship Id="rId29" Type="http://schemas.openxmlformats.org/officeDocument/2006/relationships/hyperlink" Target="https://www.ncbi.nlm.nih.gov/geo/query/acc.cgi?acc=GSE222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ncbi.nlm.nih.gov/geo/query/acc.cgi?acc=GSE58294"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www.ncbi.nlm.nih.gov/geo/query/acc.cgi?acc=GSE16561"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sciencedirect.com/" TargetMode="External"/><Relationship Id="rId31" Type="http://schemas.openxmlformats.org/officeDocument/2006/relationships/hyperlink" Target="https://www.ncbi.nlm.nih.gov/geo/query/acc.cgi?acc=GSE5829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mdpi.com/" TargetMode="External"/><Relationship Id="rId27" Type="http://schemas.openxmlformats.org/officeDocument/2006/relationships/hyperlink" Target="https://www.ncbi.nlm.nih.gov/geo/query/acc.cgi?acc=GSE22255" TargetMode="External"/><Relationship Id="rId30" Type="http://schemas.openxmlformats.org/officeDocument/2006/relationships/hyperlink" Target="https://www.ncbi.nlm.nih.gov/geo/query/acc.cgi?acc=GSE202709"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D717F-9CF3-4C65-A982-E9C20C17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8663</TotalTime>
  <Pages>100</Pages>
  <Words>144176</Words>
  <Characters>821808</Characters>
  <Application>Microsoft Office Word</Application>
  <DocSecurity>0</DocSecurity>
  <Lines>6848</Lines>
  <Paragraphs>1928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Τετριγγας</dc:creator>
  <cp:keywords/>
  <dc:description/>
  <cp:lastModifiedBy>Ιωαννης Τετριγγας</cp:lastModifiedBy>
  <cp:revision>15</cp:revision>
  <dcterms:created xsi:type="dcterms:W3CDTF">2024-12-10T17:27:00Z</dcterms:created>
  <dcterms:modified xsi:type="dcterms:W3CDTF">2025-06-10T08:13:00Z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id="yfslWRp3"/&gt;&lt;style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